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22222"/>
          <w:sz w:val="32"/>
          <w:szCs w:val="32"/>
        </w:rPr>
        <w:t xml:space="preserve">Platform Update — QA Sign-off: Media Safeguarding Proven, 17 July 2026</w:t>
      </w:r>
    </w:p>
    <w:p>
      <w:pPr>
        <w:spacing w:after="120"/>
      </w:pPr>
      <w:r>
        <w:rPr>
          <w:rFonts w:ascii="Arial" w:cs="Arial" w:eastAsia="Arial" w:hAnsi="Arial"/>
          <w:b w:val="false"/>
          <w:bCs w:val="false"/>
          <w:color w:val="6B6B6B"/>
          <w:sz w:val="22"/>
          <w:szCs w:val="22"/>
        </w:rPr>
        <w:t xml:space="preserve">Our QA team reviewed the whole reporting wave and passed everything they could test. Their one priority-1 request — prove that internal-only photos can never reach a donor — was executed on production today, passed 13 of 13 checks, and is now a permanent automated test.</w:t>
      </w:r>
    </w:p>
    <w:p>
      <w:pPr>
        <w:pStyle w:val="Heading1"/>
      </w:pPr>
      <w:r>
        <w:rPr>
          <w:rFonts w:ascii="Arial" w:cs="Arial" w:eastAsia="Arial" w:hAnsi="Arial"/>
          <w:b/>
          <w:bCs/>
          <w:color w:val="FC5810"/>
          <w:sz w:val="26"/>
          <w:szCs w:val="26"/>
        </w:rPr>
        <w:t xml:space="preserve">Summary</w:t>
      </w:r>
    </w:p>
    <w:p>
      <w:pPr>
        <w:spacing w:after="120"/>
      </w:pPr>
      <w:r>
        <w:rPr>
          <w:rFonts w:ascii="Arial" w:cs="Arial" w:eastAsia="Arial" w:hAnsi="Arial"/>
          <w:b w:val="false"/>
          <w:bCs w:val="false"/>
          <w:color w:val="222222"/>
          <w:sz w:val="22"/>
          <w:szCs w:val="22"/>
        </w:rPr>
        <w:t xml:space="preserve">Yesterday’s QA review of the partner-reporting wave came back almost entirely green: reporting surfaces, donor dashboard, published report access, PDF download, Arabic content, and token safety all passed. QA flagged one gap that mattered — the “negative case” of the media safeguarding rule had not yet been demonstrated, because the test package only contained an approved photo. That case is now proven on the live system and locked into our automated release checks. The audit-chain console messages QA noticed were investigated and confirmed to be our security system correctly denying access — not a defect. From the software side, the reporting pipeline is fully cleared; the remaining steps before Blue Nile reporting are human ones.</w:t>
      </w:r>
    </w:p>
    <w:p>
      <w:pPr>
        <w:pStyle w:val="Heading1"/>
      </w:pPr>
      <w:r>
        <w:rPr>
          <w:rFonts w:ascii="Arial" w:cs="Arial" w:eastAsia="Arial" w:hAnsi="Arial"/>
          <w:b/>
          <w:bCs/>
          <w:color w:val="FC5810"/>
          <w:sz w:val="26"/>
          <w:szCs w:val="26"/>
        </w:rPr>
        <w:t xml:space="preserve">1. What QA confirmed (their findings, all PASS)</w:t>
      </w:r>
    </w:p>
    <w:p>
      <w:pPr>
        <w:pStyle w:val="ListParagraph"/>
        <w:numPr>
          <w:ilvl w:val="0"/>
          <w:numId w:val="2"/>
        </w:numPr>
        <w:spacing w:after="80"/>
      </w:pPr>
      <w:r>
        <w:rPr>
          <w:rFonts w:ascii="Arial" w:cs="Arial" w:eastAsia="Arial" w:hAnsi="Arial"/>
          <w:b/>
          <w:bCs/>
          <w:color w:val="222222"/>
          <w:sz w:val="22"/>
          <w:szCs w:val="22"/>
        </w:rPr>
        <w:t xml:space="preserve">Everything visible, nothing leaked. </w:t>
      </w:r>
      <w:r>
        <w:rPr>
          <w:rFonts w:ascii="Arial" w:cs="Arial" w:eastAsia="Arial" w:hAnsi="Arial"/>
          <w:color w:val="222222"/>
          <w:sz w:val="22"/>
          <w:szCs w:val="22"/>
        </w:rPr>
        <w:t xml:space="preserve">All reporting surfaces load for the right user types; the donor dashboard shows the Partner reports section; published reports open for both the Proximate team and the donor; and no reporting token, verifier token, or private link is exposed anywhere donor-facing.</w:t>
      </w:r>
    </w:p>
    <w:p>
      <w:pPr>
        <w:pStyle w:val="ListParagraph"/>
        <w:numPr>
          <w:ilvl w:val="0"/>
          <w:numId w:val="2"/>
        </w:numPr>
        <w:spacing w:after="80"/>
      </w:pPr>
      <w:r>
        <w:rPr>
          <w:rFonts w:ascii="Arial" w:cs="Arial" w:eastAsia="Arial" w:hAnsi="Arial"/>
          <w:b/>
          <w:bCs/>
          <w:color w:val="222222"/>
          <w:sz w:val="22"/>
          <w:szCs w:val="22"/>
        </w:rPr>
        <w:t xml:space="preserve">PDF and Arabic. </w:t>
      </w:r>
      <w:r>
        <w:rPr>
          <w:rFonts w:ascii="Arial" w:cs="Arial" w:eastAsia="Arial" w:hAnsi="Arial"/>
          <w:color w:val="222222"/>
          <w:sz w:val="22"/>
          <w:szCs w:val="22"/>
        </w:rPr>
        <w:t xml:space="preserve">The donor PDF downloads as a valid multi-page document, and Arabic narrative content is present and rendering on both the report page and inside the PDF.</w:t>
      </w:r>
    </w:p>
    <w:p>
      <w:pPr>
        <w:pStyle w:val="ListParagraph"/>
        <w:numPr>
          <w:ilvl w:val="0"/>
          <w:numId w:val="2"/>
        </w:numPr>
        <w:spacing w:after="80"/>
      </w:pPr>
      <w:r>
        <w:rPr>
          <w:rFonts w:ascii="Arial" w:cs="Arial" w:eastAsia="Arial" w:hAnsi="Arial"/>
          <w:b/>
          <w:bCs/>
          <w:color w:val="222222"/>
          <w:sz w:val="22"/>
          <w:szCs w:val="22"/>
        </w:rPr>
        <w:t xml:space="preserve">Blue Nile untouched. </w:t>
      </w:r>
      <w:r>
        <w:rPr>
          <w:rFonts w:ascii="Arial" w:cs="Arial" w:eastAsia="Arial" w:hAnsi="Arial"/>
          <w:color w:val="222222"/>
          <w:sz w:val="22"/>
          <w:szCs w:val="22"/>
        </w:rPr>
        <w:t xml:space="preserve">QA (like us) used only the UAT/demo round for anything that changes data. The real Blue Nile round was reviewed read-only.</w:t>
      </w:r>
    </w:p>
    <w:p>
      <w:pPr>
        <w:pStyle w:val="Heading1"/>
      </w:pPr>
      <w:r>
        <w:rPr>
          <w:rFonts w:ascii="Arial" w:cs="Arial" w:eastAsia="Arial" w:hAnsi="Arial"/>
          <w:b/>
          <w:bCs/>
          <w:color w:val="FC5810"/>
          <w:sz w:val="26"/>
          <w:szCs w:val="26"/>
        </w:rPr>
        <w:t xml:space="preserve">2. The P1 — proving internal photos can never reach a donor</w:t>
      </w:r>
    </w:p>
    <w:p>
      <w:pPr>
        <w:spacing w:after="120"/>
      </w:pPr>
      <w:r>
        <w:rPr>
          <w:rFonts w:ascii="Arial" w:cs="Arial" w:eastAsia="Arial" w:hAnsi="Arial"/>
          <w:b w:val="false"/>
          <w:bCs w:val="false"/>
          <w:color w:val="222222"/>
          <w:sz w:val="22"/>
          <w:szCs w:val="22"/>
        </w:rPr>
        <w:t xml:space="preserve">This is the safeguarding rule that matters most for a conflict setting: every photo a partner uploads starts as internal-only, and the Proximate team must approve each one individually before a donor can see it. QA rightly pointed out we had only demonstrated the positive half (an approved photo shows). Today we ran the controlled test they specified, on the demo round, with a fresh package containing two photos — one approved, one deliberately left internal with a loud caption reading “INTERNAL-ONLY-QA-DO-NOT-SHOW”:</w:t>
      </w:r>
    </w:p>
    <w:p>
      <w:pPr>
        <w:pStyle w:val="ListParagraph"/>
        <w:numPr>
          <w:ilvl w:val="0"/>
          <w:numId w:val="2"/>
        </w:numPr>
        <w:spacing w:after="80"/>
      </w:pPr>
      <w:r>
        <w:rPr>
          <w:rFonts w:ascii="Arial" w:cs="Arial" w:eastAsia="Arial" w:hAnsi="Arial"/>
          <w:b/>
          <w:bCs/>
          <w:color w:val="222222"/>
          <w:sz w:val="22"/>
          <w:szCs w:val="22"/>
        </w:rPr>
        <w:t xml:space="preserve">The Proximate team sees both photos </w:t>
      </w:r>
      <w:r>
        <w:rPr>
          <w:rFonts w:ascii="Arial" w:cs="Arial" w:eastAsia="Arial" w:hAnsi="Arial"/>
          <w:color w:val="222222"/>
          <w:sz w:val="22"/>
          <w:szCs w:val="22"/>
        </w:rPr>
        <w:t xml:space="preserve">on the review page, with the internal one clearly marked.</w:t>
      </w:r>
    </w:p>
    <w:p>
      <w:pPr>
        <w:pStyle w:val="ListParagraph"/>
        <w:numPr>
          <w:ilvl w:val="0"/>
          <w:numId w:val="2"/>
        </w:numPr>
        <w:spacing w:after="80"/>
      </w:pPr>
      <w:r>
        <w:rPr>
          <w:rFonts w:ascii="Arial" w:cs="Arial" w:eastAsia="Arial" w:hAnsi="Arial"/>
          <w:b/>
          <w:bCs/>
          <w:color w:val="222222"/>
          <w:sz w:val="22"/>
          <w:szCs w:val="22"/>
        </w:rPr>
        <w:t xml:space="preserve">The donor sees exactly one photo </w:t>
      </w:r>
      <w:r>
        <w:rPr>
          <w:rFonts w:ascii="Arial" w:cs="Arial" w:eastAsia="Arial" w:hAnsi="Arial"/>
          <w:color w:val="222222"/>
          <w:sz w:val="22"/>
          <w:szCs w:val="22"/>
        </w:rPr>
        <w:t xml:space="preserve">— the approved one. The internal item simply does not exist in anything the donor receives.</w:t>
      </w:r>
    </w:p>
    <w:p>
      <w:pPr>
        <w:pStyle w:val="ListParagraph"/>
        <w:numPr>
          <w:ilvl w:val="0"/>
          <w:numId w:val="2"/>
        </w:numPr>
        <w:spacing w:after="80"/>
      </w:pPr>
      <w:r>
        <w:rPr>
          <w:rFonts w:ascii="Arial" w:cs="Arial" w:eastAsia="Arial" w:hAnsi="Arial"/>
          <w:b/>
          <w:bCs/>
          <w:color w:val="222222"/>
          <w:sz w:val="22"/>
          <w:szCs w:val="22"/>
        </w:rPr>
        <w:t xml:space="preserve">No trace anywhere. </w:t>
      </w:r>
      <w:r>
        <w:rPr>
          <w:rFonts w:ascii="Arial" w:cs="Arial" w:eastAsia="Arial" w:hAnsi="Arial"/>
          <w:color w:val="222222"/>
          <w:sz w:val="22"/>
          <w:szCs w:val="22"/>
        </w:rPr>
        <w:t xml:space="preserve">The hidden photo’s caption and filename appear nowhere in the donor’s report page, their report list, or the text of the PDF they download.</w:t>
      </w:r>
    </w:p>
    <w:p>
      <w:pPr>
        <w:pStyle w:val="ListParagraph"/>
        <w:numPr>
          <w:ilvl w:val="0"/>
          <w:numId w:val="2"/>
        </w:numPr>
        <w:spacing w:after="80"/>
      </w:pPr>
      <w:r>
        <w:rPr>
          <w:rFonts w:ascii="Arial" w:cs="Arial" w:eastAsia="Arial" w:hAnsi="Arial"/>
          <w:b/>
          <w:bCs/>
          <w:color w:val="222222"/>
          <w:sz w:val="22"/>
          <w:szCs w:val="22"/>
        </w:rPr>
        <w:t xml:space="preserve">The file itself is blocked. </w:t>
      </w:r>
      <w:r>
        <w:rPr>
          <w:rFonts w:ascii="Arial" w:cs="Arial" w:eastAsia="Arial" w:hAnsi="Arial"/>
          <w:color w:val="222222"/>
          <w:sz w:val="22"/>
          <w:szCs w:val="22"/>
        </w:rPr>
        <w:t xml:space="preserve">A direct attempt to fetch the internal photo’s file as the donor is refused (403), while the approved photo streams normally.</w:t>
      </w:r>
    </w:p>
    <w:p>
      <w:pPr>
        <w:spacing w:after="120"/>
      </w:pPr>
      <w:r>
        <w:rPr>
          <w:rFonts w:ascii="Arial" w:cs="Arial" w:eastAsia="Arial" w:hAnsi="Arial"/>
          <w:b w:val="false"/>
          <w:bCs w:val="false"/>
          <w:color w:val="222222"/>
          <w:sz w:val="22"/>
          <w:szCs w:val="22"/>
        </w:rPr>
        <w:t xml:space="preserve">Result: 13 of 13 checks passed on production.</w:t>
      </w:r>
    </w:p>
    <w:p>
      <w:pPr>
        <w:pStyle w:val="Heading1"/>
      </w:pPr>
      <w:r>
        <w:rPr>
          <w:rFonts w:ascii="Arial" w:cs="Arial" w:eastAsia="Arial" w:hAnsi="Arial"/>
          <w:b/>
          <w:bCs/>
          <w:color w:val="FC5810"/>
          <w:sz w:val="26"/>
          <w:szCs w:val="26"/>
        </w:rPr>
        <w:t xml:space="preserve">3. Locked in — this can never quietly break</w:t>
      </w:r>
    </w:p>
    <w:p>
      <w:pPr>
        <w:spacing w:after="120"/>
      </w:pPr>
      <w:r>
        <w:rPr>
          <w:rFonts w:ascii="Arial" w:cs="Arial" w:eastAsia="Arial" w:hAnsi="Arial"/>
          <w:b w:val="false"/>
          <w:bCs w:val="false"/>
          <w:color w:val="222222"/>
          <w:sz w:val="22"/>
          <w:szCs w:val="22"/>
        </w:rPr>
        <w:t xml:space="preserve">One-time tests fade; automated ones don’t. The same negative case now runs inside our release gate on every single deployment: the test uploads a second, never-approved photo and fails the build if a donor response ever contains any trace of it, or if the hidden file ever streams. The gate stands at 93 checks, all green. If a future change weakens the safeguarding rule, the release stops before it reaches production.</w:t>
      </w:r>
    </w:p>
    <w:p>
      <w:pPr>
        <w:pStyle w:val="Heading1"/>
      </w:pPr>
      <w:r>
        <w:rPr>
          <w:rFonts w:ascii="Arial" w:cs="Arial" w:eastAsia="Arial" w:hAnsi="Arial"/>
          <w:b/>
          <w:bCs/>
          <w:color w:val="FC5810"/>
          <w:sz w:val="26"/>
          <w:szCs w:val="26"/>
        </w:rPr>
        <w:t xml:space="preserve">4. The audit-chain console messages — investigated, working as designed</w:t>
      </w:r>
    </w:p>
    <w:p>
      <w:pPr>
        <w:spacing w:after="120"/>
      </w:pPr>
      <w:r>
        <w:rPr>
          <w:rFonts w:ascii="Arial" w:cs="Arial" w:eastAsia="Arial" w:hAnsi="Arial"/>
          <w:b w:val="false"/>
          <w:bCs w:val="false"/>
          <w:color w:val="222222"/>
          <w:sz w:val="22"/>
          <w:szCs w:val="22"/>
        </w:rPr>
        <w:t xml:space="preserve">QA noticed “403” errors in the browser console on the audit-chain page and sensibly filed them as watch-only. We traced every one: they occur when the Proximate operator account visits platform-administrator pages, whose data feeds are restricted to platform admins. The security system denies the request, returns nothing, and leaks nothing — which is exactly the deny-by-default behaviour we hardened in last week’s security wave. The operator’s own pages produce zero console errors. Nothing was filed as a bug; we noted one optional polish for later (show a friendly “admin access required” message instead of an empty panel).</w:t>
      </w:r>
    </w:p>
    <w:p>
      <w:pPr>
        <w:pStyle w:val="Heading1"/>
      </w:pPr>
      <w:r>
        <w:rPr>
          <w:rFonts w:ascii="Arial" w:cs="Arial" w:eastAsia="Arial" w:hAnsi="Arial"/>
          <w:b/>
          <w:bCs/>
          <w:color w:val="FC5810"/>
          <w:sz w:val="26"/>
          <w:szCs w:val="26"/>
        </w:rPr>
        <w:t xml:space="preserve">What remains before Blue Nile reporting goes live</w:t>
      </w:r>
    </w:p>
    <w:p>
      <w:pPr>
        <w:pStyle w:val="ListParagraph"/>
        <w:numPr>
          <w:ilvl w:val="0"/>
          <w:numId w:val="2"/>
        </w:numPr>
        <w:spacing w:after="80"/>
      </w:pPr>
      <w:r>
        <w:rPr>
          <w:rFonts w:ascii="Arial" w:cs="Arial" w:eastAsia="Arial" w:hAnsi="Arial"/>
          <w:b/>
          <w:bCs/>
          <w:color w:val="222222"/>
          <w:sz w:val="22"/>
          <w:szCs w:val="22"/>
        </w:rPr>
        <w:t xml:space="preserve">Arabic reviewer (the only QA item left): </w:t>
      </w:r>
      <w:r>
        <w:rPr>
          <w:rFonts w:ascii="Arial" w:cs="Arial" w:eastAsia="Arial" w:hAnsi="Arial"/>
          <w:color w:val="222222"/>
          <w:sz w:val="22"/>
          <w:szCs w:val="22"/>
        </w:rPr>
        <w:t xml:space="preserve">a native reader should review one generated PDF for wording, reading order and letter joining. The rendering is verified; the natural-language quality needs a human eye.</w:t>
      </w:r>
    </w:p>
    <w:p>
      <w:pPr>
        <w:pStyle w:val="ListParagraph"/>
        <w:numPr>
          <w:ilvl w:val="0"/>
          <w:numId w:val="2"/>
        </w:numPr>
        <w:spacing w:after="80"/>
      </w:pPr>
      <w:r>
        <w:rPr>
          <w:rFonts w:ascii="Arial" w:cs="Arial" w:eastAsia="Arial" w:hAnsi="Arial"/>
          <w:b/>
          <w:bCs/>
          <w:color w:val="222222"/>
          <w:sz w:val="22"/>
          <w:szCs w:val="22"/>
        </w:rPr>
        <w:t xml:space="preserve">Keep Blue Nile read-only </w:t>
      </w:r>
      <w:r>
        <w:rPr>
          <w:rFonts w:ascii="Arial" w:cs="Arial" w:eastAsia="Arial" w:hAnsi="Arial"/>
          <w:color w:val="222222"/>
          <w:sz w:val="22"/>
          <w:szCs w:val="22"/>
        </w:rPr>
        <w:t xml:space="preserve">until that sign-off — demo/UAT rounds for all practice.</w:t>
      </w:r>
    </w:p>
    <w:p>
      <w:pPr>
        <w:pStyle w:val="ListParagraph"/>
        <w:numPr>
          <w:ilvl w:val="0"/>
          <w:numId w:val="2"/>
        </w:numPr>
        <w:spacing w:after="80"/>
      </w:pPr>
      <w:r>
        <w:rPr>
          <w:rFonts w:ascii="Arial" w:cs="Arial" w:eastAsia="Arial" w:hAnsi="Arial"/>
          <w:b/>
          <w:bCs/>
          <w:color w:val="222222"/>
          <w:sz w:val="22"/>
          <w:szCs w:val="22"/>
        </w:rPr>
        <w:t xml:space="preserve">Standing team actions (unchanged): </w:t>
      </w:r>
      <w:r>
        <w:rPr>
          <w:rFonts w:ascii="Arial" w:cs="Arial" w:eastAsia="Arial" w:hAnsi="Arial"/>
          <w:color w:val="222222"/>
          <w:sz w:val="22"/>
          <w:szCs w:val="22"/>
        </w:rPr>
        <w:t xml:space="preserve">add the free SAM.gov key to Railway, complete the proximate.kuja.org DNS records if pending, remind QCF to change their temporary password, and WhatsApp report reminders remain waiting on Meta’s template approval.</w:t>
      </w:r>
    </w:p>
    <w:p>
      <w:pPr>
        <w:pStyle w:val="ListParagraph"/>
        <w:numPr>
          <w:ilvl w:val="0"/>
          <w:numId w:val="2"/>
        </w:numPr>
        <w:spacing w:after="80"/>
      </w:pPr>
      <w:r>
        <w:rPr>
          <w:rFonts w:ascii="Arial" w:cs="Arial" w:eastAsia="Arial" w:hAnsi="Arial"/>
          <w:b/>
          <w:bCs/>
          <w:color w:val="222222"/>
          <w:sz w:val="22"/>
          <w:szCs w:val="22"/>
        </w:rPr>
        <w:t xml:space="preserve">A note on sharing evidence: </w:t>
      </w:r>
      <w:r>
        <w:rPr>
          <w:rFonts w:ascii="Arial" w:cs="Arial" w:eastAsia="Arial" w:hAnsi="Arial"/>
          <w:color w:val="222222"/>
          <w:sz w:val="22"/>
          <w:szCs w:val="22"/>
        </w:rPr>
        <w:t xml:space="preserve">operator-side screens and API responses legitimately contain working tokens — share donor-side views externally, not raw operator output.</w:t>
      </w:r>
    </w:p>
    <w:p>
      <w:pPr>
        <w:spacing w:before="240"/>
      </w:pPr>
      <w:r>
        <w:rPr>
          <w:rFonts w:ascii="Arial" w:cs="Arial" w:eastAsia="Arial" w:hAnsi="Arial"/>
          <w:color w:val="6B6B6B"/>
          <w:sz w:val="18"/>
          <w:szCs w:val="18"/>
        </w:rPr>
        <w:t xml:space="preserve">Production build covered: a20ad6a26 (live now). Controlled test ran on demo round 8 / demo partner only; Blue Nile untouched. Prepared 17 July 2026.</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C5810" w:sz="6" w:space="2"/>
      </w:pBdr>
      <w:spacing w:after="100" w:before="280"/>
      <w:outlineLvl w:val="0"/>
    </w:pPr>
    <w:rPr>
      <w:rFonts w:ascii="Arial" w:cs="Arial" w:eastAsia="Arial" w:hAnsi="Arial"/>
      <w:b/>
      <w:bCs/>
      <w:color w:val="FC581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2026-07-17T16:43:58.757Z</dcterms:created>
  <dcterms:modified xsi:type="dcterms:W3CDTF">2026-07-17T16:43:58.759Z</dcterms:modified>
</cp:coreProperties>
</file>

<file path=docProps/custom.xml><?xml version="1.0" encoding="utf-8"?>
<Properties xmlns="http://schemas.openxmlformats.org/officeDocument/2006/custom-properties" xmlns:vt="http://schemas.openxmlformats.org/officeDocument/2006/docPropsVTypes"/>
</file>