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before="800" w:after="120"/>
        <w:jc w:val="center"/>
      </w:pPr>
      <w:r>
        <w:rPr>
          <w:rFonts w:ascii="Calibri" w:hAnsi="Calibri"/>
          <w:b/>
          <w:i w:val="0"/>
          <w:color w:val="1E40AF"/>
          <w:sz w:val="56"/>
        </w:rPr>
        <w:t>KUJA GRANT MANAGEMENT</w:t>
      </w:r>
    </w:p>
    <w:p>
      <w:pPr>
        <w:spacing w:before="0" w:after="240"/>
        <w:jc w:val="center"/>
      </w:pPr>
      <w:r>
        <w:rPr>
          <w:rFonts w:ascii="Calibri" w:hAnsi="Calibri"/>
          <w:b w:val="0"/>
          <w:i w:val="0"/>
          <w:color w:val="0D9488"/>
          <w:sz w:val="40"/>
        </w:rPr>
        <w:t>Client Demo Guide</w:t>
      </w:r>
    </w:p>
    <w:p>
      <w:pPr>
        <w:spacing w:before="0" w:after="400"/>
        <w:jc w:val="center"/>
      </w:pPr>
      <w:r>
        <w:rPr>
          <w:rFonts w:ascii="Calibri" w:hAnsi="Calibri"/>
          <w:b w:val="0"/>
          <w:i/>
          <w:color w:val="6B7280"/>
          <w:sz w:val="26"/>
        </w:rPr>
        <w:t>AI-Powered Grant Management for Impact</w:t>
      </w:r>
    </w:p>
    <w:p>
      <w:pPr>
        <w:jc w:val="center"/>
      </w:pPr>
      <w:r>
        <w:rPr>
          <w:color w:val="0D9488"/>
          <w:sz w:val="16"/>
        </w:rPr>
        <w:t>━━━━━━━━━━━━━━━━━━━━━━━━━━━━━━━━━━━━━━━━━━━━━━━━━━━━━━━━━━━━</w:t>
      </w:r>
    </w:p>
    <w:p>
      <w:pPr>
        <w:spacing w:before="0" w:after="120"/>
        <w:jc w:val="center"/>
      </w:pPr>
      <w:r>
        <w:rPr>
          <w:rFonts w:ascii="Calibri" w:hAnsi="Calibri"/>
          <w:b w:val="0"/>
          <w:i w:val="0"/>
          <w:color w:val="6B7280"/>
          <w:sz w:val="22"/>
        </w:rPr>
        <w:t>Prepared by Adeso  |  March 2026</w:t>
      </w:r>
    </w:p>
    <w:p>
      <w:pPr>
        <w:spacing w:before="0" w:after="120"/>
        <w:jc w:val="center"/>
      </w:pPr>
      <w:r>
        <w:rPr>
          <w:rFonts w:ascii="Calibri" w:hAnsi="Calibri"/>
          <w:b w:val="0"/>
          <w:i w:val="0"/>
          <w:color w:val="6B7280"/>
          <w:sz w:val="20"/>
        </w:rPr>
        <w:t>Live Platform: https://web-production-6f8a.up.railway.app</w:t>
      </w:r>
    </w:p>
    <w:p>
      <w:r>
        <w:br w:type="page"/>
      </w:r>
    </w:p>
    <w:p>
      <w:pPr>
        <w:pStyle w:val="Heading1"/>
      </w:pPr>
      <w:r>
        <w:rPr>
          <w:rFonts w:ascii="Calibri" w:hAnsi="Calibri"/>
          <w:color w:val="1E40AF"/>
        </w:rPr>
        <w:t>Demo Overview</w:t>
      </w:r>
    </w:p>
    <w:p>
      <w:pPr>
        <w:spacing w:before="0" w:after="240"/>
        <w:jc w:val="left"/>
      </w:pPr>
      <w:r>
        <w:rPr>
          <w:rFonts w:ascii="Calibri" w:hAnsi="Calibri"/>
          <w:b w:val="0"/>
          <w:i w:val="0"/>
          <w:color w:val="1F2A37"/>
          <w:sz w:val="22"/>
        </w:rPr>
        <w:t>This guide walks through five demo scenarios that showcase Kuja's core capabilities. Each scenario is self-contained and can be presented independently. Total demo time: approximately 25-30 minutes.</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351"/>
        <w:gridCol w:w="2351"/>
        <w:gridCol w:w="2351"/>
        <w:gridCol w:w="2351"/>
      </w:tblGrid>
      <w:tr>
        <w:tc>
          <w:tcPr>
            <w:tcW w:type="dxa" w:w="2351"/>
            <w:shd w:fill="1E40AF" w:val="clear"/>
          </w:tcPr>
          <w:p>
            <w:pPr>
              <w:jc w:val="center"/>
            </w:pPr>
            <w:r/>
            <w:r>
              <w:rPr>
                <w:rFonts w:ascii="Calibri" w:hAnsi="Calibri"/>
                <w:b/>
                <w:color w:val="FFFFFF"/>
                <w:sz w:val="20"/>
              </w:rPr>
              <w:t>#</w:t>
            </w:r>
          </w:p>
        </w:tc>
        <w:tc>
          <w:tcPr>
            <w:tcW w:type="dxa" w:w="2351"/>
            <w:shd w:fill="1E40AF" w:val="clear"/>
          </w:tcPr>
          <w:p>
            <w:pPr>
              <w:jc w:val="center"/>
            </w:pPr>
            <w:r/>
            <w:r>
              <w:rPr>
                <w:rFonts w:ascii="Calibri" w:hAnsi="Calibri"/>
                <w:b/>
                <w:color w:val="FFFFFF"/>
                <w:sz w:val="20"/>
              </w:rPr>
              <w:t>Scenario</w:t>
            </w:r>
          </w:p>
        </w:tc>
        <w:tc>
          <w:tcPr>
            <w:tcW w:type="dxa" w:w="2351"/>
            <w:shd w:fill="1E40AF" w:val="clear"/>
          </w:tcPr>
          <w:p>
            <w:pPr>
              <w:jc w:val="center"/>
            </w:pPr>
            <w:r/>
            <w:r>
              <w:rPr>
                <w:rFonts w:ascii="Calibri" w:hAnsi="Calibri"/>
                <w:b/>
                <w:color w:val="FFFFFF"/>
                <w:sz w:val="20"/>
              </w:rPr>
              <w:t>Login As</w:t>
            </w:r>
          </w:p>
        </w:tc>
        <w:tc>
          <w:tcPr>
            <w:tcW w:type="dxa" w:w="2351"/>
            <w:shd w:fill="1E40AF" w:val="clear"/>
          </w:tcPr>
          <w:p>
            <w:pPr>
              <w:jc w:val="center"/>
            </w:pPr>
            <w:r/>
            <w:r>
              <w:rPr>
                <w:rFonts w:ascii="Calibri" w:hAnsi="Calibri"/>
                <w:b/>
                <w:color w:val="FFFFFF"/>
                <w:sz w:val="20"/>
              </w:rPr>
              <w:t>Time</w:t>
            </w:r>
          </w:p>
        </w:tc>
      </w:tr>
      <w:tr>
        <w:tc>
          <w:tcPr>
            <w:tcW w:type="dxa" w:w="2351"/>
            <w:shd w:fill="F0F9FF" w:val="clear"/>
          </w:tcPr>
          <w:p>
            <w:pPr>
              <w:jc w:val="center"/>
            </w:pPr>
            <w:r/>
            <w:r>
              <w:rPr>
                <w:rFonts w:ascii="Calibri" w:hAnsi="Calibri"/>
                <w:b/>
                <w:color w:val="1E40AF"/>
                <w:sz w:val="20"/>
              </w:rPr>
              <w:t>1</w:t>
            </w:r>
          </w:p>
        </w:tc>
        <w:tc>
          <w:tcPr>
            <w:tcW w:type="dxa" w:w="2351"/>
            <w:shd w:fill="F0F9FF" w:val="clear"/>
          </w:tcPr>
          <w:p>
            <w:r/>
            <w:r>
              <w:rPr>
                <w:rFonts w:ascii="Calibri" w:hAnsi="Calibri"/>
                <w:color w:val="1F2A37"/>
                <w:sz w:val="20"/>
              </w:rPr>
              <w:t>Donor Creates a Grant with AI Document Requirements</w:t>
            </w:r>
          </w:p>
        </w:tc>
        <w:tc>
          <w:tcPr>
            <w:tcW w:type="dxa" w:w="2351"/>
            <w:shd w:fill="F0F9FF" w:val="clear"/>
          </w:tcPr>
          <w:p>
            <w:r/>
            <w:r>
              <w:rPr>
                <w:rFonts w:ascii="Calibri" w:hAnsi="Calibri"/>
                <w:color w:val="1F2A37"/>
                <w:sz w:val="20"/>
              </w:rPr>
              <w:t>sarah@globalhealth.org (Donor)</w:t>
            </w:r>
          </w:p>
        </w:tc>
        <w:tc>
          <w:tcPr>
            <w:tcW w:type="dxa" w:w="2351"/>
            <w:shd w:fill="F0F9FF" w:val="clear"/>
          </w:tcPr>
          <w:p>
            <w:r/>
            <w:r>
              <w:rPr>
                <w:rFonts w:ascii="Calibri" w:hAnsi="Calibri"/>
                <w:color w:val="1F2A37"/>
                <w:sz w:val="20"/>
              </w:rPr>
              <w:t>~8 min</w:t>
            </w:r>
          </w:p>
        </w:tc>
      </w:tr>
      <w:tr>
        <w:tc>
          <w:tcPr>
            <w:tcW w:type="dxa" w:w="2351"/>
            <w:shd w:fill="FFFFFF" w:val="clear"/>
          </w:tcPr>
          <w:p>
            <w:pPr>
              <w:jc w:val="center"/>
            </w:pPr>
            <w:r/>
            <w:r>
              <w:rPr>
                <w:rFonts w:ascii="Calibri" w:hAnsi="Calibri"/>
                <w:b/>
                <w:color w:val="1E40AF"/>
                <w:sz w:val="20"/>
              </w:rPr>
              <w:t>2</w:t>
            </w:r>
          </w:p>
        </w:tc>
        <w:tc>
          <w:tcPr>
            <w:tcW w:type="dxa" w:w="2351"/>
            <w:shd w:fill="FFFFFF" w:val="clear"/>
          </w:tcPr>
          <w:p>
            <w:r/>
            <w:r>
              <w:rPr>
                <w:rFonts w:ascii="Calibri" w:hAnsi="Calibri"/>
                <w:color w:val="1F2A37"/>
                <w:sz w:val="20"/>
              </w:rPr>
              <w:t>NGO Capacity Assessment with AI Analysis</w:t>
            </w:r>
          </w:p>
        </w:tc>
        <w:tc>
          <w:tcPr>
            <w:tcW w:type="dxa" w:w="2351"/>
            <w:shd w:fill="FFFFFF" w:val="clear"/>
          </w:tcPr>
          <w:p>
            <w:r/>
            <w:r>
              <w:rPr>
                <w:rFonts w:ascii="Calibri" w:hAnsi="Calibri"/>
                <w:color w:val="1F2A37"/>
                <w:sz w:val="20"/>
              </w:rPr>
              <w:t>fatima@amani.org (NGO)</w:t>
            </w:r>
          </w:p>
        </w:tc>
        <w:tc>
          <w:tcPr>
            <w:tcW w:type="dxa" w:w="2351"/>
            <w:shd w:fill="FFFFFF" w:val="clear"/>
          </w:tcPr>
          <w:p>
            <w:r/>
            <w:r>
              <w:rPr>
                <w:rFonts w:ascii="Calibri" w:hAnsi="Calibri"/>
                <w:color w:val="1F2A37"/>
                <w:sz w:val="20"/>
              </w:rPr>
              <w:t>~5 min</w:t>
            </w:r>
          </w:p>
        </w:tc>
      </w:tr>
      <w:tr>
        <w:tc>
          <w:tcPr>
            <w:tcW w:type="dxa" w:w="2351"/>
            <w:shd w:fill="F0F9FF" w:val="clear"/>
          </w:tcPr>
          <w:p>
            <w:pPr>
              <w:jc w:val="center"/>
            </w:pPr>
            <w:r/>
            <w:r>
              <w:rPr>
                <w:rFonts w:ascii="Calibri" w:hAnsi="Calibri"/>
                <w:b/>
                <w:color w:val="1E40AF"/>
                <w:sz w:val="20"/>
              </w:rPr>
              <w:t>3</w:t>
            </w:r>
          </w:p>
        </w:tc>
        <w:tc>
          <w:tcPr>
            <w:tcW w:type="dxa" w:w="2351"/>
            <w:shd w:fill="F0F9FF" w:val="clear"/>
          </w:tcPr>
          <w:p>
            <w:r/>
            <w:r>
              <w:rPr>
                <w:rFonts w:ascii="Calibri" w:hAnsi="Calibri"/>
                <w:color w:val="1F2A37"/>
                <w:sz w:val="20"/>
              </w:rPr>
              <w:t>Live Due Diligence: Sanctions + Registry Verification</w:t>
            </w:r>
          </w:p>
        </w:tc>
        <w:tc>
          <w:tcPr>
            <w:tcW w:type="dxa" w:w="2351"/>
            <w:shd w:fill="F0F9FF" w:val="clear"/>
          </w:tcPr>
          <w:p>
            <w:r/>
            <w:r>
              <w:rPr>
                <w:rFonts w:ascii="Calibri" w:hAnsi="Calibri"/>
                <w:color w:val="1F2A37"/>
                <w:sz w:val="20"/>
              </w:rPr>
              <w:t>sarah@globalhealth.org (Donor)</w:t>
            </w:r>
          </w:p>
        </w:tc>
        <w:tc>
          <w:tcPr>
            <w:tcW w:type="dxa" w:w="2351"/>
            <w:shd w:fill="F0F9FF" w:val="clear"/>
          </w:tcPr>
          <w:p>
            <w:r/>
            <w:r>
              <w:rPr>
                <w:rFonts w:ascii="Calibri" w:hAnsi="Calibri"/>
                <w:color w:val="1F2A37"/>
                <w:sz w:val="20"/>
              </w:rPr>
              <w:t>~5 min</w:t>
            </w:r>
          </w:p>
        </w:tc>
      </w:tr>
      <w:tr>
        <w:tc>
          <w:tcPr>
            <w:tcW w:type="dxa" w:w="2351"/>
            <w:shd w:fill="FFFFFF" w:val="clear"/>
          </w:tcPr>
          <w:p>
            <w:pPr>
              <w:jc w:val="center"/>
            </w:pPr>
            <w:r/>
            <w:r>
              <w:rPr>
                <w:rFonts w:ascii="Calibri" w:hAnsi="Calibri"/>
                <w:b/>
                <w:color w:val="1E40AF"/>
                <w:sz w:val="20"/>
              </w:rPr>
              <w:t>4</w:t>
            </w:r>
          </w:p>
        </w:tc>
        <w:tc>
          <w:tcPr>
            <w:tcW w:type="dxa" w:w="2351"/>
            <w:shd w:fill="FFFFFF" w:val="clear"/>
          </w:tcPr>
          <w:p>
            <w:r/>
            <w:r>
              <w:rPr>
                <w:rFonts w:ascii="Calibri" w:hAnsi="Calibri"/>
                <w:color w:val="1F2A37"/>
                <w:sz w:val="20"/>
              </w:rPr>
              <w:t>NGO Grant Reporting with AI Compliance Scoring</w:t>
            </w:r>
          </w:p>
        </w:tc>
        <w:tc>
          <w:tcPr>
            <w:tcW w:type="dxa" w:w="2351"/>
            <w:shd w:fill="FFFFFF" w:val="clear"/>
          </w:tcPr>
          <w:p>
            <w:r/>
            <w:r>
              <w:rPr>
                <w:rFonts w:ascii="Calibri" w:hAnsi="Calibri"/>
                <w:color w:val="1F2A37"/>
                <w:sz w:val="20"/>
              </w:rPr>
              <w:t>fatima@amani.org (NGO)</w:t>
            </w:r>
          </w:p>
        </w:tc>
        <w:tc>
          <w:tcPr>
            <w:tcW w:type="dxa" w:w="2351"/>
            <w:shd w:fill="FFFFFF" w:val="clear"/>
          </w:tcPr>
          <w:p>
            <w:r/>
            <w:r>
              <w:rPr>
                <w:rFonts w:ascii="Calibri" w:hAnsi="Calibri"/>
                <w:color w:val="1F2A37"/>
                <w:sz w:val="20"/>
              </w:rPr>
              <w:t>~5 min</w:t>
            </w:r>
          </w:p>
        </w:tc>
      </w:tr>
      <w:tr>
        <w:tc>
          <w:tcPr>
            <w:tcW w:type="dxa" w:w="2351"/>
            <w:shd w:fill="F0F9FF" w:val="clear"/>
          </w:tcPr>
          <w:p>
            <w:pPr>
              <w:jc w:val="center"/>
            </w:pPr>
            <w:r/>
            <w:r>
              <w:rPr>
                <w:rFonts w:ascii="Calibri" w:hAnsi="Calibri"/>
                <w:b/>
                <w:color w:val="1E40AF"/>
                <w:sz w:val="20"/>
              </w:rPr>
              <w:t>5</w:t>
            </w:r>
          </w:p>
        </w:tc>
        <w:tc>
          <w:tcPr>
            <w:tcW w:type="dxa" w:w="2351"/>
            <w:shd w:fill="F0F9FF" w:val="clear"/>
          </w:tcPr>
          <w:p>
            <w:r/>
            <w:r>
              <w:rPr>
                <w:rFonts w:ascii="Calibri" w:hAnsi="Calibri"/>
                <w:color w:val="1F2A37"/>
                <w:sz w:val="20"/>
              </w:rPr>
              <w:t>Multi-Language Demo (Arabic, French, Spanish)</w:t>
            </w:r>
          </w:p>
        </w:tc>
        <w:tc>
          <w:tcPr>
            <w:tcW w:type="dxa" w:w="2351"/>
            <w:shd w:fill="F0F9FF" w:val="clear"/>
          </w:tcPr>
          <w:p>
            <w:r/>
            <w:r>
              <w:rPr>
                <w:rFonts w:ascii="Calibri" w:hAnsi="Calibri"/>
                <w:color w:val="1F2A37"/>
                <w:sz w:val="20"/>
              </w:rPr>
              <w:t>Any account</w:t>
            </w:r>
          </w:p>
        </w:tc>
        <w:tc>
          <w:tcPr>
            <w:tcW w:type="dxa" w:w="2351"/>
            <w:shd w:fill="F0F9FF" w:val="clear"/>
          </w:tcPr>
          <w:p>
            <w:r/>
            <w:r>
              <w:rPr>
                <w:rFonts w:ascii="Calibri" w:hAnsi="Calibri"/>
                <w:color w:val="1F2A37"/>
                <w:sz w:val="20"/>
              </w:rPr>
              <w:t>~3 min</w:t>
            </w:r>
          </w:p>
        </w:tc>
      </w:tr>
    </w:tbl>
    <w:p/>
    <w:p>
      <w:pPr>
        <w:spacing w:before="160" w:after="120"/>
        <w:jc w:val="left"/>
      </w:pPr>
      <w:r>
        <w:rPr>
          <w:rFonts w:ascii="Calibri" w:hAnsi="Calibri"/>
          <w:b/>
          <w:i w:val="0"/>
          <w:color w:val="1E40AF"/>
          <w:sz w:val="22"/>
        </w:rPr>
        <w:t>Demo Accounts (all passwords: pass123)</w:t>
      </w:r>
    </w:p>
    <w:p>
      <w:pPr>
        <w:spacing w:after="40"/>
      </w:pPr>
      <w:r>
        <w:rPr>
          <w:rFonts w:ascii="Calibri" w:hAnsi="Calibri"/>
          <w:b/>
          <w:color w:val="0D9488"/>
          <w:sz w:val="20"/>
        </w:rPr>
        <w:t xml:space="preserve">  Donor: </w:t>
      </w:r>
      <w:r>
        <w:rPr>
          <w:rFonts w:ascii="Calibri" w:hAnsi="Calibri"/>
          <w:color w:val="1F2A37"/>
          <w:sz w:val="20"/>
        </w:rPr>
        <w:t xml:space="preserve">sarah@globalhealth.org  </w:t>
      </w:r>
      <w:r>
        <w:rPr>
          <w:rFonts w:ascii="Calibri" w:hAnsi="Calibri"/>
          <w:color w:val="6B7280"/>
          <w:sz w:val="18"/>
        </w:rPr>
        <w:t>(Sarah Mitchell — Global Health Foundation)</w:t>
      </w:r>
    </w:p>
    <w:p>
      <w:pPr>
        <w:spacing w:after="40"/>
      </w:pPr>
      <w:r>
        <w:rPr>
          <w:rFonts w:ascii="Calibri" w:hAnsi="Calibri"/>
          <w:b/>
          <w:color w:val="0D9488"/>
          <w:sz w:val="20"/>
        </w:rPr>
        <w:t xml:space="preserve">  NGO: </w:t>
      </w:r>
      <w:r>
        <w:rPr>
          <w:rFonts w:ascii="Calibri" w:hAnsi="Calibri"/>
          <w:color w:val="1F2A37"/>
          <w:sz w:val="20"/>
        </w:rPr>
        <w:t xml:space="preserve">fatima@amani.org  </w:t>
      </w:r>
      <w:r>
        <w:rPr>
          <w:rFonts w:ascii="Calibri" w:hAnsi="Calibri"/>
          <w:color w:val="6B7280"/>
          <w:sz w:val="18"/>
        </w:rPr>
        <w:t>(Fatima Hassan — Amani Community Development (Kenya))</w:t>
      </w:r>
    </w:p>
    <w:p>
      <w:pPr>
        <w:spacing w:after="40"/>
      </w:pPr>
      <w:r>
        <w:rPr>
          <w:rFonts w:ascii="Calibri" w:hAnsi="Calibri"/>
          <w:b/>
          <w:color w:val="0D9488"/>
          <w:sz w:val="20"/>
        </w:rPr>
        <w:t xml:space="preserve">  Reviewer: </w:t>
      </w:r>
      <w:r>
        <w:rPr>
          <w:rFonts w:ascii="Calibri" w:hAnsi="Calibri"/>
          <w:color w:val="1F2A37"/>
          <w:sz w:val="20"/>
        </w:rPr>
        <w:t xml:space="preserve">james@reviewer.org  </w:t>
      </w:r>
      <w:r>
        <w:rPr>
          <w:rFonts w:ascii="Calibri" w:hAnsi="Calibri"/>
          <w:color w:val="6B7280"/>
          <w:sz w:val="18"/>
        </w:rPr>
        <w:t>(James Wilson — Independent Reviewer)</w:t>
      </w:r>
    </w:p>
    <w:p>
      <w:pPr>
        <w:spacing w:after="40"/>
      </w:pPr>
      <w:r>
        <w:rPr>
          <w:rFonts w:ascii="Calibri" w:hAnsi="Calibri"/>
          <w:b/>
          <w:color w:val="0D9488"/>
          <w:sz w:val="20"/>
        </w:rPr>
        <w:t xml:space="preserve">  Admin: </w:t>
      </w:r>
      <w:r>
        <w:rPr>
          <w:rFonts w:ascii="Calibri" w:hAnsi="Calibri"/>
          <w:color w:val="1F2A37"/>
          <w:sz w:val="20"/>
        </w:rPr>
        <w:t xml:space="preserve">admin@kuja.org  </w:t>
      </w:r>
      <w:r>
        <w:rPr>
          <w:rFonts w:ascii="Calibri" w:hAnsi="Calibri"/>
          <w:color w:val="6B7280"/>
          <w:sz w:val="18"/>
        </w:rPr>
        <w:t>(System Administrator)</w:t>
      </w:r>
    </w:p>
    <w:p>
      <w:pPr>
        <w:spacing w:before="240" w:after="120"/>
        <w:jc w:val="left"/>
      </w:pPr>
      <w:r>
        <w:rPr>
          <w:rFonts w:ascii="Calibri" w:hAnsi="Calibri"/>
          <w:b/>
          <w:i w:val="0"/>
          <w:color w:val="1E40AF"/>
          <w:sz w:val="22"/>
        </w:rPr>
        <w:t>Files Included in Demo Kit (demo-files.zip)</w:t>
      </w:r>
    </w:p>
    <w:p>
      <w:pPr>
        <w:spacing w:before="40" w:after="40"/>
      </w:pPr>
      <w:r>
        <w:rPr>
          <w:rFonts w:ascii="Calibri" w:hAnsi="Calibri"/>
          <w:b/>
          <w:color w:val="0D9488"/>
          <w:sz w:val="20"/>
        </w:rPr>
        <w:t xml:space="preserve">   📄  grant_agreement_sample.txt</w:t>
      </w:r>
      <w:r>
        <w:rPr>
          <w:rFonts w:ascii="Calibri" w:hAnsi="Calibri"/>
          <w:color w:val="6B7280"/>
          <w:sz w:val="20"/>
        </w:rPr>
        <w:t xml:space="preserve">  —  Sample $500K grant agreement with reporting requirements</w:t>
      </w:r>
    </w:p>
    <w:p>
      <w:pPr>
        <w:spacing w:before="40" w:after="40"/>
      </w:pPr>
      <w:r>
        <w:rPr>
          <w:rFonts w:ascii="Calibri" w:hAnsi="Calibri"/>
          <w:b/>
          <w:color w:val="0D9488"/>
          <w:sz w:val="20"/>
        </w:rPr>
        <w:t xml:space="preserve">   📄  project_proposal.txt</w:t>
      </w:r>
      <w:r>
        <w:rPr>
          <w:rFonts w:ascii="Calibri" w:hAnsi="Calibri"/>
          <w:color w:val="6B7280"/>
          <w:sz w:val="20"/>
        </w:rPr>
        <w:t xml:space="preserve">  —  MCH project proposal for Wajir County, Kenya ($350K)</w:t>
      </w:r>
    </w:p>
    <w:p>
      <w:pPr>
        <w:spacing w:before="40" w:after="40"/>
      </w:pPr>
      <w:r>
        <w:rPr>
          <w:rFonts w:ascii="Calibri" w:hAnsi="Calibri"/>
          <w:b/>
          <w:color w:val="0D9488"/>
          <w:sz w:val="20"/>
        </w:rPr>
        <w:t xml:space="preserve">   📄  registration_certificate.txt</w:t>
      </w:r>
      <w:r>
        <w:rPr>
          <w:rFonts w:ascii="Calibri" w:hAnsi="Calibri"/>
          <w:color w:val="6B7280"/>
          <w:sz w:val="20"/>
        </w:rPr>
        <w:t xml:space="preserve">  —  Kenya NGO Board registration certificate</w:t>
      </w:r>
    </w:p>
    <w:p>
      <w:pPr>
        <w:spacing w:before="40" w:after="40"/>
      </w:pPr>
      <w:r>
        <w:rPr>
          <w:rFonts w:ascii="Calibri" w:hAnsi="Calibri"/>
          <w:b/>
          <w:color w:val="0D9488"/>
          <w:sz w:val="20"/>
        </w:rPr>
        <w:t xml:space="preserve">   📄  financial_report_q1_2026.txt</w:t>
      </w:r>
      <w:r>
        <w:rPr>
          <w:rFonts w:ascii="Calibri" w:hAnsi="Calibri"/>
          <w:color w:val="6B7280"/>
          <w:sz w:val="20"/>
        </w:rPr>
        <w:t xml:space="preserve">  —  Q1 2026 quarterly financial report</w:t>
      </w:r>
    </w:p>
    <w:p>
      <w:pPr>
        <w:spacing w:before="40" w:after="40"/>
      </w:pPr>
      <w:r>
        <w:rPr>
          <w:rFonts w:ascii="Calibri" w:hAnsi="Calibri"/>
          <w:b/>
          <w:color w:val="0D9488"/>
          <w:sz w:val="20"/>
        </w:rPr>
        <w:t xml:space="preserve">   📄  excellent_narrative_report.txt</w:t>
      </w:r>
      <w:r>
        <w:rPr>
          <w:rFonts w:ascii="Calibri" w:hAnsi="Calibri"/>
          <w:color w:val="6B7280"/>
          <w:sz w:val="20"/>
        </w:rPr>
        <w:t xml:space="preserve">  —  High-quality annual narrative report (Somalia health program)</w:t>
      </w:r>
    </w:p>
    <w:p>
      <w:pPr>
        <w:spacing w:before="40" w:after="40"/>
      </w:pPr>
      <w:r>
        <w:rPr>
          <w:rFonts w:ascii="Calibri" w:hAnsi="Calibri"/>
          <w:b/>
          <w:color w:val="0D9488"/>
          <w:sz w:val="20"/>
        </w:rPr>
        <w:t xml:space="preserve">   📄  strategic_plan_2025_2030.txt</w:t>
      </w:r>
      <w:r>
        <w:rPr>
          <w:rFonts w:ascii="Calibri" w:hAnsi="Calibri"/>
          <w:color w:val="6B7280"/>
          <w:sz w:val="20"/>
        </w:rPr>
        <w:t xml:space="preserve">  —  5-year organizational strategic plan</w:t>
      </w:r>
    </w:p>
    <w:p>
      <w:r>
        <w:br w:type="page"/>
      </w:r>
    </w:p>
    <w:p>
      <w:pPr>
        <w:pStyle w:val="Heading1"/>
      </w:pPr>
      <w:r>
        <w:rPr>
          <w:rFonts w:ascii="Calibri" w:hAnsi="Calibri"/>
          <w:color w:val="1E40AF"/>
        </w:rPr>
        <w:t>Scenario 1: Donor Creates a Grant with AI</w:t>
      </w:r>
    </w:p>
    <w:p>
      <w:pPr>
        <w:spacing w:before="0" w:after="160"/>
        <w:jc w:val="left"/>
      </w:pPr>
      <w:r>
        <w:rPr>
          <w:rFonts w:ascii="Calibri" w:hAnsi="Calibri"/>
          <w:b w:val="0"/>
          <w:i w:val="0"/>
          <w:color w:val="1F2A37"/>
          <w:sz w:val="22"/>
        </w:rPr>
        <w:t>Demonstrate the donor experience: creating a new grant opportunity with AI-generated evaluation criteria and document requirements. This showcases the 5-step grant wizard and AI integration.</w:t>
      </w:r>
    </w:p>
    <w:p>
      <w:pPr>
        <w:spacing w:before="120" w:after="120"/>
      </w:pPr>
    </w:p>
    <w:tbl>
      <w:tblPr>
        <w:tblW w:type="auto" w:w="0"/>
        <w:tblLook w:firstColumn="1" w:firstRow="1" w:lastColumn="0" w:lastRow="0" w:noHBand="0" w:noVBand="1" w:val="04A0"/>
      </w:tblPr>
      <w:tblGrid>
        <w:gridCol w:w="9406"/>
      </w:tblGrid>
      <w:tr>
        <w:tc>
          <w:tcPr>
            <w:tcW w:type="dxa" w:w="9406"/>
            <w:shd w:fill="EFF6FF" w:val="clear"/>
          </w:tcPr>
          <w:p>
            <w:r/>
            <w:r>
              <w:rPr>
                <w:rFonts w:ascii="Calibri" w:hAnsi="Calibri"/>
                <w:i/>
                <w:color w:val="1E40AF"/>
                <w:sz w:val="20"/>
              </w:rPr>
              <w:t>💡  Talking Point: "Donors configure grants once. Our AI generates tailored evaluation criteria for each required document type — proposals, budgets, certifications — so every application is scored consistently."</w:t>
            </w:r>
          </w:p>
        </w:tc>
      </w:tr>
    </w:tbl>
    <w:p/>
    <w:p>
      <w:pPr>
        <w:spacing w:before="0" w:after="120"/>
        <w:jc w:val="left"/>
      </w:pPr>
      <w:r>
        <w:rPr>
          <w:rFonts w:ascii="Calibri" w:hAnsi="Calibri"/>
          <w:b/>
          <w:i w:val="0"/>
          <w:color w:val="0D9488"/>
          <w:sz w:val="20"/>
        </w:rPr>
        <w:t>Pre-requisite: Log in as the Donor account</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135"/>
        <w:gridCol w:w="3135"/>
        <w:gridCol w:w="3135"/>
      </w:tblGrid>
      <w:tr>
        <w:tc>
          <w:tcPr>
            <w:tcW w:type="dxa" w:w="850"/>
            <w:shd w:fill="1E40AF" w:val="clear"/>
          </w:tcPr>
          <w:p>
            <w:pPr>
              <w:jc w:val="center"/>
            </w:pPr>
            <w:r/>
            <w:r>
              <w:rPr>
                <w:rFonts w:ascii="Calibri" w:hAnsi="Calibri"/>
                <w:b/>
                <w:color w:val="FFFFFF"/>
                <w:sz w:val="20"/>
              </w:rPr>
              <w:t>Step</w:t>
            </w:r>
          </w:p>
        </w:tc>
        <w:tc>
          <w:tcPr>
            <w:tcW w:type="dxa" w:w="2268"/>
            <w:shd w:fill="1E40AF" w:val="clear"/>
          </w:tcPr>
          <w:p>
            <w:pPr>
              <w:jc w:val="left"/>
            </w:pPr>
            <w:r/>
            <w:r>
              <w:rPr>
                <w:rFonts w:ascii="Calibri" w:hAnsi="Calibri"/>
                <w:b/>
                <w:color w:val="FFFFFF"/>
                <w:sz w:val="20"/>
              </w:rPr>
              <w:t>Action</w:t>
            </w:r>
          </w:p>
        </w:tc>
        <w:tc>
          <w:tcPr>
            <w:tcW w:type="dxa" w:w="6236"/>
            <w:shd w:fill="1E40AF" w:val="clear"/>
          </w:tcPr>
          <w:p>
            <w:pPr>
              <w:jc w:val="left"/>
            </w:pPr>
            <w:r/>
            <w:r>
              <w:rPr>
                <w:rFonts w:ascii="Calibri" w:hAnsi="Calibri"/>
                <w:b/>
                <w:color w:val="FFFFFF"/>
                <w:sz w:val="20"/>
              </w:rPr>
              <w:t>Details</w:t>
            </w:r>
          </w:p>
        </w:tc>
      </w:tr>
      <w:tr>
        <w:tc>
          <w:tcPr>
            <w:tcW w:type="dxa" w:w="3135"/>
            <w:shd w:fill="F0F9FF" w:val="clear"/>
          </w:tcPr>
          <w:p>
            <w:pPr>
              <w:jc w:val="center"/>
            </w:pPr>
            <w:r/>
            <w:r>
              <w:rPr>
                <w:rFonts w:ascii="Calibri" w:hAnsi="Calibri"/>
                <w:b/>
                <w:color w:val="1E40AF"/>
                <w:sz w:val="22"/>
              </w:rPr>
              <w:t>1</w:t>
            </w:r>
          </w:p>
        </w:tc>
        <w:tc>
          <w:tcPr>
            <w:tcW w:type="dxa" w:w="3135"/>
            <w:shd w:fill="F0F9FF" w:val="clear"/>
          </w:tcPr>
          <w:p>
            <w:r/>
            <w:r>
              <w:rPr>
                <w:rFonts w:ascii="Calibri" w:hAnsi="Calibri"/>
                <w:b/>
                <w:color w:val="1F2A37"/>
                <w:sz w:val="20"/>
              </w:rPr>
              <w:t>Log in as Donor</w:t>
            </w:r>
          </w:p>
        </w:tc>
        <w:tc>
          <w:tcPr>
            <w:tcW w:type="dxa" w:w="3135"/>
            <w:shd w:fill="F0F9FF" w:val="clear"/>
          </w:tcPr>
          <w:p>
            <w:r/>
            <w:r>
              <w:rPr>
                <w:rFonts w:ascii="Calibri" w:hAnsi="Calibri"/>
                <w:color w:val="1F2A37"/>
                <w:sz w:val="20"/>
              </w:rPr>
              <w:t>Navigate to the platform. Enter email: sarah@globalhealth.org and password: pass123. Click Sign In. You will see the Donor Dashboard showing Total Grants, Applications, Pending Review, and Total Awarded.</w:t>
            </w:r>
          </w:p>
        </w:tc>
      </w:tr>
      <w:tr>
        <w:tc>
          <w:tcPr>
            <w:tcW w:type="dxa" w:w="3135"/>
            <w:shd w:fill="FFFFFF" w:val="clear"/>
          </w:tcPr>
          <w:p>
            <w:pPr>
              <w:jc w:val="center"/>
            </w:pPr>
            <w:r/>
            <w:r>
              <w:rPr>
                <w:rFonts w:ascii="Calibri" w:hAnsi="Calibri"/>
                <w:b/>
                <w:color w:val="1E40AF"/>
                <w:sz w:val="22"/>
              </w:rPr>
              <w:t>2</w:t>
            </w:r>
          </w:p>
        </w:tc>
        <w:tc>
          <w:tcPr>
            <w:tcW w:type="dxa" w:w="3135"/>
            <w:shd w:fill="FFFFFF" w:val="clear"/>
          </w:tcPr>
          <w:p>
            <w:r/>
            <w:r>
              <w:rPr>
                <w:rFonts w:ascii="Calibri" w:hAnsi="Calibri"/>
                <w:b/>
                <w:color w:val="1F2A37"/>
                <w:sz w:val="20"/>
              </w:rPr>
              <w:t>Open Grant Wizard</w:t>
            </w:r>
          </w:p>
        </w:tc>
        <w:tc>
          <w:tcPr>
            <w:tcW w:type="dxa" w:w="3135"/>
            <w:shd w:fill="FFFFFF" w:val="clear"/>
          </w:tcPr>
          <w:p>
            <w:r/>
            <w:r>
              <w:rPr>
                <w:rFonts w:ascii="Calibri" w:hAnsi="Calibri"/>
                <w:color w:val="1F2A37"/>
                <w:sz w:val="20"/>
              </w:rPr>
              <w:t>Click '+ Create Grant' in the left sidebar. The 5-step wizard opens. Step 1 shows Basic Information fields.</w:t>
            </w:r>
          </w:p>
        </w:tc>
      </w:tr>
      <w:tr>
        <w:tc>
          <w:tcPr>
            <w:tcW w:type="dxa" w:w="3135"/>
            <w:shd w:fill="F0F9FF" w:val="clear"/>
          </w:tcPr>
          <w:p>
            <w:pPr>
              <w:jc w:val="center"/>
            </w:pPr>
            <w:r/>
            <w:r>
              <w:rPr>
                <w:rFonts w:ascii="Calibri" w:hAnsi="Calibri"/>
                <w:b/>
                <w:color w:val="1E40AF"/>
                <w:sz w:val="22"/>
              </w:rPr>
              <w:t>3</w:t>
            </w:r>
          </w:p>
        </w:tc>
        <w:tc>
          <w:tcPr>
            <w:tcW w:type="dxa" w:w="3135"/>
            <w:shd w:fill="F0F9FF" w:val="clear"/>
          </w:tcPr>
          <w:p>
            <w:r/>
            <w:r>
              <w:rPr>
                <w:rFonts w:ascii="Calibri" w:hAnsi="Calibri"/>
                <w:b/>
                <w:color w:val="1F2A37"/>
                <w:sz w:val="20"/>
              </w:rPr>
              <w:t>Fill Basic Info (Step 1)</w:t>
            </w:r>
          </w:p>
        </w:tc>
        <w:tc>
          <w:tcPr>
            <w:tcW w:type="dxa" w:w="3135"/>
            <w:shd w:fill="F0F9FF" w:val="clear"/>
          </w:tcPr>
          <w:p>
            <w:r/>
            <w:r>
              <w:rPr>
                <w:rFonts w:ascii="Calibri" w:hAnsi="Calibri"/>
                <w:color w:val="1F2A37"/>
                <w:sz w:val="20"/>
              </w:rPr>
              <w:t>Grant Title: Community Health Workers Scale-Up — East Africa</w:t>
              <w:br/>
              <w:t>Description: Scale-up of CHW programs across Kenya, Somalia, and Uganda...</w:t>
              <w:br/>
              <w:t>Total Funding: 500000</w:t>
              <w:br/>
              <w:t>Currency: USD</w:t>
              <w:br/>
              <w:t>Deadline: 2026-06-30</w:t>
              <w:br/>
              <w:t>Sectors: Click 'Health'</w:t>
              <w:br/>
              <w:t>Countries: Click 'Kenya' and 'Somalia'</w:t>
              <w:br/>
              <w:t>Click 'Next'.</w:t>
            </w:r>
          </w:p>
        </w:tc>
      </w:tr>
      <w:tr>
        <w:tc>
          <w:tcPr>
            <w:tcW w:type="dxa" w:w="3135"/>
            <w:shd w:fill="FFFFFF" w:val="clear"/>
          </w:tcPr>
          <w:p>
            <w:pPr>
              <w:jc w:val="center"/>
            </w:pPr>
            <w:r/>
            <w:r>
              <w:rPr>
                <w:rFonts w:ascii="Calibri" w:hAnsi="Calibri"/>
                <w:b/>
                <w:color w:val="1E40AF"/>
                <w:sz w:val="22"/>
              </w:rPr>
              <w:t>4</w:t>
            </w:r>
          </w:p>
        </w:tc>
        <w:tc>
          <w:tcPr>
            <w:tcW w:type="dxa" w:w="3135"/>
            <w:shd w:fill="FFFFFF" w:val="clear"/>
          </w:tcPr>
          <w:p>
            <w:r/>
            <w:r>
              <w:rPr>
                <w:rFonts w:ascii="Calibri" w:hAnsi="Calibri"/>
                <w:b/>
                <w:color w:val="1F2A37"/>
                <w:sz w:val="20"/>
              </w:rPr>
              <w:t>Configure Requirements (Step 2)</w:t>
            </w:r>
          </w:p>
        </w:tc>
        <w:tc>
          <w:tcPr>
            <w:tcW w:type="dxa" w:w="3135"/>
            <w:shd w:fill="FFFFFF" w:val="clear"/>
          </w:tcPr>
          <w:p>
            <w:r/>
            <w:r>
              <w:rPr>
                <w:rFonts w:ascii="Calibri" w:hAnsi="Calibri"/>
                <w:color w:val="1F2A37"/>
                <w:sz w:val="20"/>
              </w:rPr>
              <w:t>Step 2: Application Requirements. Select which document types applicants must submit. Toggle ON: Project Proposal, Budget, Registration Certificate, Organizational Capacity Statement. Each document type will get AI-generated evaluation criteria in the next step.</w:t>
            </w:r>
          </w:p>
        </w:tc>
      </w:tr>
      <w:tr>
        <w:tc>
          <w:tcPr>
            <w:tcW w:type="dxa" w:w="3135"/>
            <w:shd w:fill="F0F9FF" w:val="clear"/>
          </w:tcPr>
          <w:p>
            <w:pPr>
              <w:jc w:val="center"/>
            </w:pPr>
            <w:r/>
            <w:r>
              <w:rPr>
                <w:rFonts w:ascii="Calibri" w:hAnsi="Calibri"/>
                <w:b/>
                <w:color w:val="1E40AF"/>
                <w:sz w:val="22"/>
              </w:rPr>
              <w:t>5</w:t>
            </w:r>
          </w:p>
        </w:tc>
        <w:tc>
          <w:tcPr>
            <w:tcW w:type="dxa" w:w="3135"/>
            <w:shd w:fill="F0F9FF" w:val="clear"/>
          </w:tcPr>
          <w:p>
            <w:r/>
            <w:r>
              <w:rPr>
                <w:rFonts w:ascii="Calibri" w:hAnsi="Calibri"/>
                <w:b/>
                <w:color w:val="1F2A37"/>
                <w:sz w:val="20"/>
              </w:rPr>
              <w:t>AI Evaluation Criteria (Step 3)</w:t>
            </w:r>
          </w:p>
        </w:tc>
        <w:tc>
          <w:tcPr>
            <w:tcW w:type="dxa" w:w="3135"/>
            <w:shd w:fill="F0F9FF" w:val="clear"/>
          </w:tcPr>
          <w:p>
            <w:r/>
            <w:r>
              <w:rPr>
                <w:rFonts w:ascii="Calibri" w:hAnsi="Calibri"/>
                <w:color w:val="1F2A37"/>
                <w:sz w:val="20"/>
              </w:rPr>
              <w:t>Step 3: AI generates evaluation criteria for each document type. WAIT for AI to process — you'll see a loading spinner. Once complete, review the criteria. Each document type shows weighted scoring criteria (e.g., 'Problem Statement Clarity: 20%', 'Budget Justification: 15%'). You can edit weights or add custom criteria.</w:t>
            </w:r>
          </w:p>
        </w:tc>
      </w:tr>
      <w:tr>
        <w:tc>
          <w:tcPr>
            <w:tcW w:type="dxa" w:w="3135"/>
            <w:shd w:fill="FFFFFF" w:val="clear"/>
          </w:tcPr>
          <w:p>
            <w:pPr>
              <w:jc w:val="center"/>
            </w:pPr>
            <w:r/>
            <w:r>
              <w:rPr>
                <w:rFonts w:ascii="Calibri" w:hAnsi="Calibri"/>
                <w:b/>
                <w:color w:val="1E40AF"/>
                <w:sz w:val="22"/>
              </w:rPr>
              <w:t>6</w:t>
            </w:r>
          </w:p>
        </w:tc>
        <w:tc>
          <w:tcPr>
            <w:tcW w:type="dxa" w:w="3135"/>
            <w:shd w:fill="FFFFFF" w:val="clear"/>
          </w:tcPr>
          <w:p>
            <w:r/>
            <w:r>
              <w:rPr>
                <w:rFonts w:ascii="Calibri" w:hAnsi="Calibri"/>
                <w:b/>
                <w:color w:val="1F2A37"/>
                <w:sz w:val="20"/>
              </w:rPr>
              <w:t>Upload Grant Agreement (Step 4)</w:t>
            </w:r>
          </w:p>
        </w:tc>
        <w:tc>
          <w:tcPr>
            <w:tcW w:type="dxa" w:w="3135"/>
            <w:shd w:fill="FFFFFF" w:val="clear"/>
          </w:tcPr>
          <w:p>
            <w:r/>
            <w:r>
              <w:rPr>
                <w:rFonts w:ascii="Calibri" w:hAnsi="Calibri"/>
                <w:color w:val="1F2A37"/>
                <w:sz w:val="20"/>
              </w:rPr>
              <w:t>Step 4: Upload the grant agreement document. Use the file 'grant_agreement_sample.txt' from the demo kit. AI will extract reporting requirements, deadlines, and disbursement schedules automatically. Review the extracted data.</w:t>
            </w:r>
          </w:p>
        </w:tc>
      </w:tr>
      <w:tr>
        <w:tc>
          <w:tcPr>
            <w:tcW w:type="dxa" w:w="3135"/>
            <w:shd w:fill="F0F9FF" w:val="clear"/>
          </w:tcPr>
          <w:p>
            <w:pPr>
              <w:jc w:val="center"/>
            </w:pPr>
            <w:r/>
            <w:r>
              <w:rPr>
                <w:rFonts w:ascii="Calibri" w:hAnsi="Calibri"/>
                <w:b/>
                <w:color w:val="1E40AF"/>
                <w:sz w:val="22"/>
              </w:rPr>
              <w:t>7</w:t>
            </w:r>
          </w:p>
        </w:tc>
        <w:tc>
          <w:tcPr>
            <w:tcW w:type="dxa" w:w="3135"/>
            <w:shd w:fill="F0F9FF" w:val="clear"/>
          </w:tcPr>
          <w:p>
            <w:r/>
            <w:r>
              <w:rPr>
                <w:rFonts w:ascii="Calibri" w:hAnsi="Calibri"/>
                <w:b/>
                <w:color w:val="1F2A37"/>
                <w:sz w:val="20"/>
              </w:rPr>
              <w:t>Review &amp; Publish (Step 5)</w:t>
            </w:r>
          </w:p>
        </w:tc>
        <w:tc>
          <w:tcPr>
            <w:tcW w:type="dxa" w:w="3135"/>
            <w:shd w:fill="F0F9FF" w:val="clear"/>
          </w:tcPr>
          <w:p>
            <w:r/>
            <w:r>
              <w:rPr>
                <w:rFonts w:ascii="Calibri" w:hAnsi="Calibri"/>
                <w:color w:val="1F2A37"/>
                <w:sz w:val="20"/>
              </w:rPr>
              <w:t>Step 5 shows a summary of everything configured. Review all sections. Click 'Publish Grant' to make it live. The grant now appears on the NGO marketplace and accepting applications. You can also 'Save as Draft' to return later.</w:t>
            </w:r>
          </w:p>
        </w:tc>
      </w:tr>
      <w:tr>
        <w:tc>
          <w:tcPr>
            <w:tcW w:type="dxa" w:w="3135"/>
            <w:shd w:fill="FFFFFF" w:val="clear"/>
          </w:tcPr>
          <w:p>
            <w:pPr>
              <w:jc w:val="center"/>
            </w:pPr>
            <w:r/>
            <w:r>
              <w:rPr>
                <w:rFonts w:ascii="Calibri" w:hAnsi="Calibri"/>
                <w:b/>
                <w:color w:val="1E40AF"/>
                <w:sz w:val="22"/>
              </w:rPr>
              <w:t>8</w:t>
            </w:r>
          </w:p>
        </w:tc>
        <w:tc>
          <w:tcPr>
            <w:tcW w:type="dxa" w:w="3135"/>
            <w:shd w:fill="FFFFFF" w:val="clear"/>
          </w:tcPr>
          <w:p>
            <w:r/>
            <w:r>
              <w:rPr>
                <w:rFonts w:ascii="Calibri" w:hAnsi="Calibri"/>
                <w:b/>
                <w:color w:val="1F2A37"/>
                <w:sz w:val="20"/>
              </w:rPr>
              <w:t>Show Grant Details</w:t>
            </w:r>
          </w:p>
        </w:tc>
        <w:tc>
          <w:tcPr>
            <w:tcW w:type="dxa" w:w="3135"/>
            <w:shd w:fill="FFFFFF" w:val="clear"/>
          </w:tcPr>
          <w:p>
            <w:r/>
            <w:r>
              <w:rPr>
                <w:rFonts w:ascii="Calibri" w:hAnsi="Calibri"/>
                <w:color w:val="1F2A37"/>
                <w:sz w:val="20"/>
              </w:rPr>
              <w:t>Navigate to 'My Grants' in the sidebar. Click the newly created grant. Show the grant details page with requirements, AI criteria, and the published status.</w:t>
            </w:r>
          </w:p>
        </w:tc>
      </w:tr>
    </w:tbl>
    <w:p>
      <w:r>
        <w:br w:type="page"/>
      </w:r>
    </w:p>
    <w:p>
      <w:pPr>
        <w:pStyle w:val="Heading1"/>
      </w:pPr>
      <w:r>
        <w:rPr>
          <w:rFonts w:ascii="Calibri" w:hAnsi="Calibri"/>
          <w:color w:val="1E40AF"/>
        </w:rPr>
        <w:t>Scenario 2: NGO Capacity Assessment with AI</w:t>
      </w:r>
    </w:p>
    <w:p>
      <w:pPr>
        <w:spacing w:before="0" w:after="160"/>
        <w:jc w:val="left"/>
      </w:pPr>
      <w:r>
        <w:rPr>
          <w:rFonts w:ascii="Calibri" w:hAnsi="Calibri"/>
          <w:b w:val="0"/>
          <w:i w:val="0"/>
          <w:color w:val="1F2A37"/>
          <w:sz w:val="22"/>
        </w:rPr>
        <w:t>Demonstrate the NGO experience: running an AI-powered capacity assessment using one of five industry-standard frameworks. The AI analyzes uploaded organizational documents and generates scored results with improvement roadmaps.</w:t>
      </w:r>
    </w:p>
    <w:p>
      <w:pPr>
        <w:spacing w:before="120" w:after="120"/>
      </w:pPr>
    </w:p>
    <w:tbl>
      <w:tblPr>
        <w:tblW w:type="auto" w:w="0"/>
        <w:tblLook w:firstColumn="1" w:firstRow="1" w:lastColumn="0" w:lastRow="0" w:noHBand="0" w:noVBand="1" w:val="04A0"/>
      </w:tblPr>
      <w:tblGrid>
        <w:gridCol w:w="9406"/>
      </w:tblGrid>
      <w:tr>
        <w:tc>
          <w:tcPr>
            <w:tcW w:type="dxa" w:w="9406"/>
            <w:shd w:fill="EFF6FF" w:val="clear"/>
          </w:tcPr>
          <w:p>
            <w:r/>
            <w:r>
              <w:rPr>
                <w:rFonts w:ascii="Calibri" w:hAnsi="Calibri"/>
                <w:i/>
                <w:color w:val="1E40AF"/>
                <w:sz w:val="20"/>
              </w:rPr>
              <w:t>💡  Talking Point: "NGOs complete ONE assessment and share it with any donor. No more filling out 4-12 duplicate questionnaires per year. Five frameworks today — Kuja, STEP, UN-HACT, CHS, NUPAS — and our system is designed to add new frameworks on demand."</w:t>
            </w:r>
          </w:p>
        </w:tc>
      </w:tr>
    </w:tbl>
    <w:p/>
    <w:p>
      <w:pPr>
        <w:spacing w:before="0" w:after="120"/>
        <w:jc w:val="left"/>
      </w:pPr>
      <w:r>
        <w:rPr>
          <w:rFonts w:ascii="Calibri" w:hAnsi="Calibri"/>
          <w:b/>
          <w:i w:val="0"/>
          <w:color w:val="0D9488"/>
          <w:sz w:val="20"/>
        </w:rPr>
        <w:t>Pre-requisite: Log out and log in as the NGO account</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135"/>
        <w:gridCol w:w="3135"/>
        <w:gridCol w:w="3135"/>
      </w:tblGrid>
      <w:tr>
        <w:tc>
          <w:tcPr>
            <w:tcW w:type="dxa" w:w="850"/>
            <w:shd w:fill="1E40AF" w:val="clear"/>
          </w:tcPr>
          <w:p>
            <w:pPr>
              <w:jc w:val="center"/>
            </w:pPr>
            <w:r/>
            <w:r>
              <w:rPr>
                <w:rFonts w:ascii="Calibri" w:hAnsi="Calibri"/>
                <w:b/>
                <w:color w:val="FFFFFF"/>
                <w:sz w:val="20"/>
              </w:rPr>
              <w:t>Step</w:t>
            </w:r>
          </w:p>
        </w:tc>
        <w:tc>
          <w:tcPr>
            <w:tcW w:type="dxa" w:w="2268"/>
            <w:shd w:fill="1E40AF" w:val="clear"/>
          </w:tcPr>
          <w:p>
            <w:pPr>
              <w:jc w:val="left"/>
            </w:pPr>
            <w:r/>
            <w:r>
              <w:rPr>
                <w:rFonts w:ascii="Calibri" w:hAnsi="Calibri"/>
                <w:b/>
                <w:color w:val="FFFFFF"/>
                <w:sz w:val="20"/>
              </w:rPr>
              <w:t>Action</w:t>
            </w:r>
          </w:p>
        </w:tc>
        <w:tc>
          <w:tcPr>
            <w:tcW w:type="dxa" w:w="6236"/>
            <w:shd w:fill="1E40AF" w:val="clear"/>
          </w:tcPr>
          <w:p>
            <w:pPr>
              <w:jc w:val="left"/>
            </w:pPr>
            <w:r/>
            <w:r>
              <w:rPr>
                <w:rFonts w:ascii="Calibri" w:hAnsi="Calibri"/>
                <w:b/>
                <w:color w:val="FFFFFF"/>
                <w:sz w:val="20"/>
              </w:rPr>
              <w:t>Details</w:t>
            </w:r>
          </w:p>
        </w:tc>
      </w:tr>
      <w:tr>
        <w:tc>
          <w:tcPr>
            <w:tcW w:type="dxa" w:w="3135"/>
            <w:shd w:fill="F0F9FF" w:val="clear"/>
          </w:tcPr>
          <w:p>
            <w:pPr>
              <w:jc w:val="center"/>
            </w:pPr>
            <w:r/>
            <w:r>
              <w:rPr>
                <w:rFonts w:ascii="Calibri" w:hAnsi="Calibri"/>
                <w:b/>
                <w:color w:val="1E40AF"/>
                <w:sz w:val="22"/>
              </w:rPr>
              <w:t>1</w:t>
            </w:r>
          </w:p>
        </w:tc>
        <w:tc>
          <w:tcPr>
            <w:tcW w:type="dxa" w:w="3135"/>
            <w:shd w:fill="F0F9FF" w:val="clear"/>
          </w:tcPr>
          <w:p>
            <w:r/>
            <w:r>
              <w:rPr>
                <w:rFonts w:ascii="Calibri" w:hAnsi="Calibri"/>
                <w:b/>
                <w:color w:val="1F2A37"/>
                <w:sz w:val="20"/>
              </w:rPr>
              <w:t>Log in as NGO</w:t>
            </w:r>
          </w:p>
        </w:tc>
        <w:tc>
          <w:tcPr>
            <w:tcW w:type="dxa" w:w="3135"/>
            <w:shd w:fill="F0F9FF" w:val="clear"/>
          </w:tcPr>
          <w:p>
            <w:r/>
            <w:r>
              <w:rPr>
                <w:rFonts w:ascii="Calibri" w:hAnsi="Calibri"/>
                <w:color w:val="1F2A37"/>
                <w:sz w:val="20"/>
              </w:rPr>
              <w:t>Log out from the donor account. Enter email: fatima@amani.org and password: pass123. Click Sign In. The NGO Dashboard shows a different layout: available grants, assessment status, applications, and reports.</w:t>
            </w:r>
          </w:p>
        </w:tc>
      </w:tr>
      <w:tr>
        <w:tc>
          <w:tcPr>
            <w:tcW w:type="dxa" w:w="3135"/>
            <w:shd w:fill="FFFFFF" w:val="clear"/>
          </w:tcPr>
          <w:p>
            <w:pPr>
              <w:jc w:val="center"/>
            </w:pPr>
            <w:r/>
            <w:r>
              <w:rPr>
                <w:rFonts w:ascii="Calibri" w:hAnsi="Calibri"/>
                <w:b/>
                <w:color w:val="1E40AF"/>
                <w:sz w:val="22"/>
              </w:rPr>
              <w:t>2</w:t>
            </w:r>
          </w:p>
        </w:tc>
        <w:tc>
          <w:tcPr>
            <w:tcW w:type="dxa" w:w="3135"/>
            <w:shd w:fill="FFFFFF" w:val="clear"/>
          </w:tcPr>
          <w:p>
            <w:r/>
            <w:r>
              <w:rPr>
                <w:rFonts w:ascii="Calibri" w:hAnsi="Calibri"/>
                <w:b/>
                <w:color w:val="1F2A37"/>
                <w:sz w:val="20"/>
              </w:rPr>
              <w:t>Navigate to Assessments</w:t>
            </w:r>
          </w:p>
        </w:tc>
        <w:tc>
          <w:tcPr>
            <w:tcW w:type="dxa" w:w="3135"/>
            <w:shd w:fill="FFFFFF" w:val="clear"/>
          </w:tcPr>
          <w:p>
            <w:r/>
            <w:r>
              <w:rPr>
                <w:rFonts w:ascii="Calibri" w:hAnsi="Calibri"/>
                <w:color w:val="1F2A37"/>
                <w:sz w:val="20"/>
              </w:rPr>
              <w:t>Click 'Capacity Assessment' in the left sidebar. You'll see the list of available assessment frameworks and any previous assessments.</w:t>
            </w:r>
          </w:p>
        </w:tc>
      </w:tr>
      <w:tr>
        <w:tc>
          <w:tcPr>
            <w:tcW w:type="dxa" w:w="3135"/>
            <w:shd w:fill="F0F9FF" w:val="clear"/>
          </w:tcPr>
          <w:p>
            <w:pPr>
              <w:jc w:val="center"/>
            </w:pPr>
            <w:r/>
            <w:r>
              <w:rPr>
                <w:rFonts w:ascii="Calibri" w:hAnsi="Calibri"/>
                <w:b/>
                <w:color w:val="1E40AF"/>
                <w:sz w:val="22"/>
              </w:rPr>
              <w:t>3</w:t>
            </w:r>
          </w:p>
        </w:tc>
        <w:tc>
          <w:tcPr>
            <w:tcW w:type="dxa" w:w="3135"/>
            <w:shd w:fill="F0F9FF" w:val="clear"/>
          </w:tcPr>
          <w:p>
            <w:r/>
            <w:r>
              <w:rPr>
                <w:rFonts w:ascii="Calibri" w:hAnsi="Calibri"/>
                <w:b/>
                <w:color w:val="1F2A37"/>
                <w:sz w:val="20"/>
              </w:rPr>
              <w:t>Select a Framework</w:t>
            </w:r>
          </w:p>
        </w:tc>
        <w:tc>
          <w:tcPr>
            <w:tcW w:type="dxa" w:w="3135"/>
            <w:shd w:fill="F0F9FF" w:val="clear"/>
          </w:tcPr>
          <w:p>
            <w:r/>
            <w:r>
              <w:rPr>
                <w:rFonts w:ascii="Calibri" w:hAnsi="Calibri"/>
                <w:color w:val="1F2A37"/>
                <w:sz w:val="20"/>
              </w:rPr>
              <w:t>Click 'Start New Assessment'. Choose the 'Kuja Framework' (the proprietary comprehensive framework). Other options visible: STEP (TechSoup), UN-HACT, CHS Alliance, NUPAS. Point out that all 5 are available in one platform.</w:t>
            </w:r>
          </w:p>
        </w:tc>
      </w:tr>
      <w:tr>
        <w:tc>
          <w:tcPr>
            <w:tcW w:type="dxa" w:w="3135"/>
            <w:shd w:fill="FFFFFF" w:val="clear"/>
          </w:tcPr>
          <w:p>
            <w:pPr>
              <w:jc w:val="center"/>
            </w:pPr>
            <w:r/>
            <w:r>
              <w:rPr>
                <w:rFonts w:ascii="Calibri" w:hAnsi="Calibri"/>
                <w:b/>
                <w:color w:val="1E40AF"/>
                <w:sz w:val="22"/>
              </w:rPr>
              <w:t>4</w:t>
            </w:r>
          </w:p>
        </w:tc>
        <w:tc>
          <w:tcPr>
            <w:tcW w:type="dxa" w:w="3135"/>
            <w:shd w:fill="FFFFFF" w:val="clear"/>
          </w:tcPr>
          <w:p>
            <w:r/>
            <w:r>
              <w:rPr>
                <w:rFonts w:ascii="Calibri" w:hAnsi="Calibri"/>
                <w:b/>
                <w:color w:val="1F2A37"/>
                <w:sz w:val="20"/>
              </w:rPr>
              <w:t>Complete Assessment Questions</w:t>
            </w:r>
          </w:p>
        </w:tc>
        <w:tc>
          <w:tcPr>
            <w:tcW w:type="dxa" w:w="3135"/>
            <w:shd w:fill="FFFFFF" w:val="clear"/>
          </w:tcPr>
          <w:p>
            <w:r/>
            <w:r>
              <w:rPr>
                <w:rFonts w:ascii="Calibri" w:hAnsi="Calibri"/>
                <w:color w:val="1F2A37"/>
                <w:sz w:val="20"/>
              </w:rPr>
              <w:t>The assessment questionnaire appears with sections covering governance, financial management, program delivery, M&amp;E, and HR. Answer the questions (select ratings or enter text). For the demo, fill a few sections to show the interface.</w:t>
            </w:r>
          </w:p>
        </w:tc>
      </w:tr>
      <w:tr>
        <w:tc>
          <w:tcPr>
            <w:tcW w:type="dxa" w:w="3135"/>
            <w:shd w:fill="F0F9FF" w:val="clear"/>
          </w:tcPr>
          <w:p>
            <w:pPr>
              <w:jc w:val="center"/>
            </w:pPr>
            <w:r/>
            <w:r>
              <w:rPr>
                <w:rFonts w:ascii="Calibri" w:hAnsi="Calibri"/>
                <w:b/>
                <w:color w:val="1E40AF"/>
                <w:sz w:val="22"/>
              </w:rPr>
              <w:t>5</w:t>
            </w:r>
          </w:p>
        </w:tc>
        <w:tc>
          <w:tcPr>
            <w:tcW w:type="dxa" w:w="3135"/>
            <w:shd w:fill="F0F9FF" w:val="clear"/>
          </w:tcPr>
          <w:p>
            <w:r/>
            <w:r>
              <w:rPr>
                <w:rFonts w:ascii="Calibri" w:hAnsi="Calibri"/>
                <w:b/>
                <w:color w:val="1F2A37"/>
                <w:sz w:val="20"/>
              </w:rPr>
              <w:t>Upload Documents for AI Analysis</w:t>
            </w:r>
          </w:p>
        </w:tc>
        <w:tc>
          <w:tcPr>
            <w:tcW w:type="dxa" w:w="3135"/>
            <w:shd w:fill="F0F9FF" w:val="clear"/>
          </w:tcPr>
          <w:p>
            <w:r/>
            <w:r>
              <w:rPr>
                <w:rFonts w:ascii="Calibri" w:hAnsi="Calibri"/>
                <w:color w:val="1F2A37"/>
                <w:sz w:val="20"/>
              </w:rPr>
              <w:t>In the document upload section, upload 'strategic_plan_2025_2030.txt' from the demo kit. The AI will analyze the document against the framework criteria. WAIT for AI processing (10-15 seconds). The AI returns per-criterion scores (0-100) with specific findings.</w:t>
            </w:r>
          </w:p>
        </w:tc>
      </w:tr>
      <w:tr>
        <w:tc>
          <w:tcPr>
            <w:tcW w:type="dxa" w:w="3135"/>
            <w:shd w:fill="FFFFFF" w:val="clear"/>
          </w:tcPr>
          <w:p>
            <w:pPr>
              <w:jc w:val="center"/>
            </w:pPr>
            <w:r/>
            <w:r>
              <w:rPr>
                <w:rFonts w:ascii="Calibri" w:hAnsi="Calibri"/>
                <w:b/>
                <w:color w:val="1E40AF"/>
                <w:sz w:val="22"/>
              </w:rPr>
              <w:t>6</w:t>
            </w:r>
          </w:p>
        </w:tc>
        <w:tc>
          <w:tcPr>
            <w:tcW w:type="dxa" w:w="3135"/>
            <w:shd w:fill="FFFFFF" w:val="clear"/>
          </w:tcPr>
          <w:p>
            <w:r/>
            <w:r>
              <w:rPr>
                <w:rFonts w:ascii="Calibri" w:hAnsi="Calibri"/>
                <w:b/>
                <w:color w:val="1F2A37"/>
                <w:sz w:val="20"/>
              </w:rPr>
              <w:t>Review AI Results</w:t>
            </w:r>
          </w:p>
        </w:tc>
        <w:tc>
          <w:tcPr>
            <w:tcW w:type="dxa" w:w="3135"/>
            <w:shd w:fill="FFFFFF" w:val="clear"/>
          </w:tcPr>
          <w:p>
            <w:r/>
            <w:r>
              <w:rPr>
                <w:rFonts w:ascii="Calibri" w:hAnsi="Calibri"/>
                <w:color w:val="1F2A37"/>
                <w:sz w:val="20"/>
              </w:rPr>
              <w:t>Once AI analysis completes, review the results: overall score, per-section breakdown, identified gaps, and a 30/60/90-day improvement roadmap. Point out that these results are 'passportable' — shareable with any donor from a single assessment.</w:t>
            </w:r>
          </w:p>
        </w:tc>
      </w:tr>
      <w:tr>
        <w:tc>
          <w:tcPr>
            <w:tcW w:type="dxa" w:w="3135"/>
            <w:shd w:fill="F0F9FF" w:val="clear"/>
          </w:tcPr>
          <w:p>
            <w:pPr>
              <w:jc w:val="center"/>
            </w:pPr>
            <w:r/>
            <w:r>
              <w:rPr>
                <w:rFonts w:ascii="Calibri" w:hAnsi="Calibri"/>
                <w:b/>
                <w:color w:val="1E40AF"/>
                <w:sz w:val="22"/>
              </w:rPr>
              <w:t>7</w:t>
            </w:r>
          </w:p>
        </w:tc>
        <w:tc>
          <w:tcPr>
            <w:tcW w:type="dxa" w:w="3135"/>
            <w:shd w:fill="F0F9FF" w:val="clear"/>
          </w:tcPr>
          <w:p>
            <w:r/>
            <w:r>
              <w:rPr>
                <w:rFonts w:ascii="Calibri" w:hAnsi="Calibri"/>
                <w:b/>
                <w:color w:val="1F2A37"/>
                <w:sz w:val="20"/>
              </w:rPr>
              <w:t>Show Donor Readiness</w:t>
            </w:r>
          </w:p>
        </w:tc>
        <w:tc>
          <w:tcPr>
            <w:tcW w:type="dxa" w:w="3135"/>
            <w:shd w:fill="F0F9FF" w:val="clear"/>
          </w:tcPr>
          <w:p>
            <w:r/>
            <w:r>
              <w:rPr>
                <w:rFonts w:ascii="Calibri" w:hAnsi="Calibri"/>
                <w:color w:val="1F2A37"/>
                <w:sz w:val="20"/>
              </w:rPr>
              <w:t>Scroll to the Donor Readiness section. The assessment maps to readiness levels for different donor types: private philanthropy, bilateral, multilateral, and UN system. This helps NGOs understand which funding opportunities they qualify for.</w:t>
            </w:r>
          </w:p>
        </w:tc>
      </w:tr>
    </w:tbl>
    <w:p>
      <w:r>
        <w:br w:type="page"/>
      </w:r>
    </w:p>
    <w:p>
      <w:pPr>
        <w:pStyle w:val="Heading1"/>
      </w:pPr>
      <w:r>
        <w:rPr>
          <w:rFonts w:ascii="Calibri" w:hAnsi="Calibri"/>
          <w:color w:val="1E40AF"/>
        </w:rPr>
        <w:t>Scenario 3: Live Due Diligence</w:t>
      </w:r>
    </w:p>
    <w:p>
      <w:pPr>
        <w:spacing w:before="0" w:after="160"/>
        <w:jc w:val="left"/>
      </w:pPr>
      <w:r>
        <w:rPr>
          <w:rFonts w:ascii="Calibri" w:hAnsi="Calibri"/>
          <w:b w:val="0"/>
          <w:i w:val="0"/>
          <w:color w:val="1F2A37"/>
          <w:sz w:val="22"/>
        </w:rPr>
        <w:t>Demonstrate real-time compliance verification: sanctions screening against 5 international databases and government registry verification. This replaces manual due diligence processes that cost donors $5,000-$15,000 per organization.</w:t>
      </w:r>
    </w:p>
    <w:p>
      <w:pPr>
        <w:spacing w:before="120" w:after="120"/>
      </w:pPr>
    </w:p>
    <w:tbl>
      <w:tblPr>
        <w:tblW w:type="auto" w:w="0"/>
        <w:tblLook w:firstColumn="1" w:firstRow="1" w:lastColumn="0" w:lastRow="0" w:noHBand="0" w:noVBand="1" w:val="04A0"/>
      </w:tblPr>
      <w:tblGrid>
        <w:gridCol w:w="9406"/>
      </w:tblGrid>
      <w:tr>
        <w:tc>
          <w:tcPr>
            <w:tcW w:type="dxa" w:w="9406"/>
            <w:shd w:fill="EFF6FF" w:val="clear"/>
          </w:tcPr>
          <w:p>
            <w:r/>
            <w:r>
              <w:rPr>
                <w:rFonts w:ascii="Calibri" w:hAnsi="Calibri"/>
                <w:i/>
                <w:color w:val="1E40AF"/>
                <w:sz w:val="20"/>
              </w:rPr>
              <w:t>💡  Talking Point: "This runs against LIVE databases — UN, OFAC, EU, World Bank sanctions lists and government registries in 7 African countries today. We're designed to expand to any Global South country with a verification portal. No other platform offers this."</w:t>
            </w:r>
          </w:p>
        </w:tc>
      </w:tr>
    </w:tbl>
    <w:p/>
    <w:p>
      <w:pPr>
        <w:spacing w:before="0" w:after="120"/>
        <w:jc w:val="left"/>
      </w:pPr>
      <w:r>
        <w:rPr>
          <w:rFonts w:ascii="Calibri" w:hAnsi="Calibri"/>
          <w:b/>
          <w:i w:val="0"/>
          <w:color w:val="0D9488"/>
          <w:sz w:val="20"/>
        </w:rPr>
        <w:t>Pre-requisite: Log in as the Donor account</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135"/>
        <w:gridCol w:w="3135"/>
        <w:gridCol w:w="3135"/>
      </w:tblGrid>
      <w:tr>
        <w:tc>
          <w:tcPr>
            <w:tcW w:type="dxa" w:w="850"/>
            <w:shd w:fill="1E40AF" w:val="clear"/>
          </w:tcPr>
          <w:p>
            <w:pPr>
              <w:jc w:val="center"/>
            </w:pPr>
            <w:r/>
            <w:r>
              <w:rPr>
                <w:rFonts w:ascii="Calibri" w:hAnsi="Calibri"/>
                <w:b/>
                <w:color w:val="FFFFFF"/>
                <w:sz w:val="20"/>
              </w:rPr>
              <w:t>Step</w:t>
            </w:r>
          </w:p>
        </w:tc>
        <w:tc>
          <w:tcPr>
            <w:tcW w:type="dxa" w:w="2268"/>
            <w:shd w:fill="1E40AF" w:val="clear"/>
          </w:tcPr>
          <w:p>
            <w:pPr>
              <w:jc w:val="left"/>
            </w:pPr>
            <w:r/>
            <w:r>
              <w:rPr>
                <w:rFonts w:ascii="Calibri" w:hAnsi="Calibri"/>
                <w:b/>
                <w:color w:val="FFFFFF"/>
                <w:sz w:val="20"/>
              </w:rPr>
              <w:t>Action</w:t>
            </w:r>
          </w:p>
        </w:tc>
        <w:tc>
          <w:tcPr>
            <w:tcW w:type="dxa" w:w="6236"/>
            <w:shd w:fill="1E40AF" w:val="clear"/>
          </w:tcPr>
          <w:p>
            <w:pPr>
              <w:jc w:val="left"/>
            </w:pPr>
            <w:r/>
            <w:r>
              <w:rPr>
                <w:rFonts w:ascii="Calibri" w:hAnsi="Calibri"/>
                <w:b/>
                <w:color w:val="FFFFFF"/>
                <w:sz w:val="20"/>
              </w:rPr>
              <w:t>Details</w:t>
            </w:r>
          </w:p>
        </w:tc>
      </w:tr>
      <w:tr>
        <w:tc>
          <w:tcPr>
            <w:tcW w:type="dxa" w:w="3135"/>
            <w:shd w:fill="F0F9FF" w:val="clear"/>
          </w:tcPr>
          <w:p>
            <w:pPr>
              <w:jc w:val="center"/>
            </w:pPr>
            <w:r/>
            <w:r>
              <w:rPr>
                <w:rFonts w:ascii="Calibri" w:hAnsi="Calibri"/>
                <w:b/>
                <w:color w:val="1E40AF"/>
                <w:sz w:val="22"/>
              </w:rPr>
              <w:t>1</w:t>
            </w:r>
          </w:p>
        </w:tc>
        <w:tc>
          <w:tcPr>
            <w:tcW w:type="dxa" w:w="3135"/>
            <w:shd w:fill="F0F9FF" w:val="clear"/>
          </w:tcPr>
          <w:p>
            <w:r/>
            <w:r>
              <w:rPr>
                <w:rFonts w:ascii="Calibri" w:hAnsi="Calibri"/>
                <w:b/>
                <w:color w:val="1F2A37"/>
                <w:sz w:val="20"/>
              </w:rPr>
              <w:t>Log in as Donor</w:t>
            </w:r>
          </w:p>
        </w:tc>
        <w:tc>
          <w:tcPr>
            <w:tcW w:type="dxa" w:w="3135"/>
            <w:shd w:fill="F0F9FF" w:val="clear"/>
          </w:tcPr>
          <w:p>
            <w:r/>
            <w:r>
              <w:rPr>
                <w:rFonts w:ascii="Calibri" w:hAnsi="Calibri"/>
                <w:color w:val="1F2A37"/>
                <w:sz w:val="20"/>
              </w:rPr>
              <w:t>Navigate to the platform. Enter email: sarah@globalhealth.org and password: pass123. Click Sign In.</w:t>
            </w:r>
          </w:p>
        </w:tc>
      </w:tr>
      <w:tr>
        <w:tc>
          <w:tcPr>
            <w:tcW w:type="dxa" w:w="3135"/>
            <w:shd w:fill="FFFFFF" w:val="clear"/>
          </w:tcPr>
          <w:p>
            <w:pPr>
              <w:jc w:val="center"/>
            </w:pPr>
            <w:r/>
            <w:r>
              <w:rPr>
                <w:rFonts w:ascii="Calibri" w:hAnsi="Calibri"/>
                <w:b/>
                <w:color w:val="1E40AF"/>
                <w:sz w:val="22"/>
              </w:rPr>
              <w:t>2</w:t>
            </w:r>
          </w:p>
        </w:tc>
        <w:tc>
          <w:tcPr>
            <w:tcW w:type="dxa" w:w="3135"/>
            <w:shd w:fill="FFFFFF" w:val="clear"/>
          </w:tcPr>
          <w:p>
            <w:r/>
            <w:r>
              <w:rPr>
                <w:rFonts w:ascii="Calibri" w:hAnsi="Calibri"/>
                <w:b/>
                <w:color w:val="1F2A37"/>
                <w:sz w:val="20"/>
              </w:rPr>
              <w:t>Navigate to Compliance</w:t>
            </w:r>
          </w:p>
        </w:tc>
        <w:tc>
          <w:tcPr>
            <w:tcW w:type="dxa" w:w="3135"/>
            <w:shd w:fill="FFFFFF" w:val="clear"/>
          </w:tcPr>
          <w:p>
            <w:r/>
            <w:r>
              <w:rPr>
                <w:rFonts w:ascii="Calibri" w:hAnsi="Calibri"/>
                <w:color w:val="1F2A37"/>
                <w:sz w:val="20"/>
              </w:rPr>
              <w:t>Click 'Compliance' in the left sidebar. This opens the compliance screening dashboard.</w:t>
            </w:r>
          </w:p>
        </w:tc>
      </w:tr>
      <w:tr>
        <w:tc>
          <w:tcPr>
            <w:tcW w:type="dxa" w:w="3135"/>
            <w:shd w:fill="F0F9FF" w:val="clear"/>
          </w:tcPr>
          <w:p>
            <w:pPr>
              <w:jc w:val="center"/>
            </w:pPr>
            <w:r/>
            <w:r>
              <w:rPr>
                <w:rFonts w:ascii="Calibri" w:hAnsi="Calibri"/>
                <w:b/>
                <w:color w:val="1E40AF"/>
                <w:sz w:val="22"/>
              </w:rPr>
              <w:t>3</w:t>
            </w:r>
          </w:p>
        </w:tc>
        <w:tc>
          <w:tcPr>
            <w:tcW w:type="dxa" w:w="3135"/>
            <w:shd w:fill="F0F9FF" w:val="clear"/>
          </w:tcPr>
          <w:p>
            <w:r/>
            <w:r>
              <w:rPr>
                <w:rFonts w:ascii="Calibri" w:hAnsi="Calibri"/>
                <w:b/>
                <w:color w:val="1F2A37"/>
                <w:sz w:val="20"/>
              </w:rPr>
              <w:t>Run Sanctions Screening</w:t>
            </w:r>
          </w:p>
        </w:tc>
        <w:tc>
          <w:tcPr>
            <w:tcW w:type="dxa" w:w="3135"/>
            <w:shd w:fill="F0F9FF" w:val="clear"/>
          </w:tcPr>
          <w:p>
            <w:r/>
            <w:r>
              <w:rPr>
                <w:rFonts w:ascii="Calibri" w:hAnsi="Calibri"/>
                <w:color w:val="1F2A37"/>
                <w:sz w:val="20"/>
              </w:rPr>
              <w:t>Click 'Screen Organization'. Enter organization name: 'Amani Community Development' and country: 'Kenya'. Click 'Screen'. The system queries 5 databases in real-time:</w:t>
              <w:br/>
              <w:t>• UN Security Council Consolidated List</w:t>
              <w:br/>
              <w:t>• US OFAC SDN List</w:t>
              <w:br/>
              <w:t>• EU Financial Sanctions List</w:t>
              <w:br/>
              <w:t>• World Bank Debarment List</w:t>
              <w:br/>
              <w:t>• OpenSanctions (aggregated)</w:t>
              <w:br/>
              <w:t>Results show per-database status (Clear/Flagged) with match scores.</w:t>
            </w:r>
          </w:p>
        </w:tc>
      </w:tr>
      <w:tr>
        <w:tc>
          <w:tcPr>
            <w:tcW w:type="dxa" w:w="3135"/>
            <w:shd w:fill="FFFFFF" w:val="clear"/>
          </w:tcPr>
          <w:p>
            <w:pPr>
              <w:jc w:val="center"/>
            </w:pPr>
            <w:r/>
            <w:r>
              <w:rPr>
                <w:rFonts w:ascii="Calibri" w:hAnsi="Calibri"/>
                <w:b/>
                <w:color w:val="1E40AF"/>
                <w:sz w:val="22"/>
              </w:rPr>
              <w:t>4</w:t>
            </w:r>
          </w:p>
        </w:tc>
        <w:tc>
          <w:tcPr>
            <w:tcW w:type="dxa" w:w="3135"/>
            <w:shd w:fill="FFFFFF" w:val="clear"/>
          </w:tcPr>
          <w:p>
            <w:r/>
            <w:r>
              <w:rPr>
                <w:rFonts w:ascii="Calibri" w:hAnsi="Calibri"/>
                <w:b/>
                <w:color w:val="1F2A37"/>
                <w:sz w:val="20"/>
              </w:rPr>
              <w:t>Review Screening Results</w:t>
            </w:r>
          </w:p>
        </w:tc>
        <w:tc>
          <w:tcPr>
            <w:tcW w:type="dxa" w:w="3135"/>
            <w:shd w:fill="FFFFFF" w:val="clear"/>
          </w:tcPr>
          <w:p>
            <w:r/>
            <w:r>
              <w:rPr>
                <w:rFonts w:ascii="Calibri" w:hAnsi="Calibri"/>
                <w:color w:val="1F2A37"/>
                <w:sz w:val="20"/>
              </w:rPr>
              <w:t>The results panel shows an overall status. Each database check displays: source name, match score, matched entity (if any), and status. A clean organization shows 'CLEAR' across all databases. Point out that false positives show match details for manual review.</w:t>
            </w:r>
          </w:p>
        </w:tc>
      </w:tr>
      <w:tr>
        <w:tc>
          <w:tcPr>
            <w:tcW w:type="dxa" w:w="3135"/>
            <w:shd w:fill="F0F9FF" w:val="clear"/>
          </w:tcPr>
          <w:p>
            <w:pPr>
              <w:jc w:val="center"/>
            </w:pPr>
            <w:r/>
            <w:r>
              <w:rPr>
                <w:rFonts w:ascii="Calibri" w:hAnsi="Calibri"/>
                <w:b/>
                <w:color w:val="1E40AF"/>
                <w:sz w:val="22"/>
              </w:rPr>
              <w:t>5</w:t>
            </w:r>
          </w:p>
        </w:tc>
        <w:tc>
          <w:tcPr>
            <w:tcW w:type="dxa" w:w="3135"/>
            <w:shd w:fill="F0F9FF" w:val="clear"/>
          </w:tcPr>
          <w:p>
            <w:r/>
            <w:r>
              <w:rPr>
                <w:rFonts w:ascii="Calibri" w:hAnsi="Calibri"/>
                <w:b/>
                <w:color w:val="1F2A37"/>
                <w:sz w:val="20"/>
              </w:rPr>
              <w:t>Navigate to Registration Checks</w:t>
            </w:r>
          </w:p>
        </w:tc>
        <w:tc>
          <w:tcPr>
            <w:tcW w:type="dxa" w:w="3135"/>
            <w:shd w:fill="F0F9FF" w:val="clear"/>
          </w:tcPr>
          <w:p>
            <w:r/>
            <w:r>
              <w:rPr>
                <w:rFonts w:ascii="Calibri" w:hAnsi="Calibri"/>
                <w:color w:val="1F2A37"/>
                <w:sz w:val="20"/>
              </w:rPr>
              <w:t>Click 'Registration Checks' in the sidebar. This shows the government registry verification module.</w:t>
            </w:r>
          </w:p>
        </w:tc>
      </w:tr>
      <w:tr>
        <w:tc>
          <w:tcPr>
            <w:tcW w:type="dxa" w:w="3135"/>
            <w:shd w:fill="FFFFFF" w:val="clear"/>
          </w:tcPr>
          <w:p>
            <w:pPr>
              <w:jc w:val="center"/>
            </w:pPr>
            <w:r/>
            <w:r>
              <w:rPr>
                <w:rFonts w:ascii="Calibri" w:hAnsi="Calibri"/>
                <w:b/>
                <w:color w:val="1E40AF"/>
                <w:sz w:val="22"/>
              </w:rPr>
              <w:t>6</w:t>
            </w:r>
          </w:p>
        </w:tc>
        <w:tc>
          <w:tcPr>
            <w:tcW w:type="dxa" w:w="3135"/>
            <w:shd w:fill="FFFFFF" w:val="clear"/>
          </w:tcPr>
          <w:p>
            <w:r/>
            <w:r>
              <w:rPr>
                <w:rFonts w:ascii="Calibri" w:hAnsi="Calibri"/>
                <w:b/>
                <w:color w:val="1F2A37"/>
                <w:sz w:val="20"/>
              </w:rPr>
              <w:t>Run Registry Verification</w:t>
            </w:r>
          </w:p>
        </w:tc>
        <w:tc>
          <w:tcPr>
            <w:tcW w:type="dxa" w:w="3135"/>
            <w:shd w:fill="FFFFFF" w:val="clear"/>
          </w:tcPr>
          <w:p>
            <w:r/>
            <w:r>
              <w:rPr>
                <w:rFonts w:ascii="Calibri" w:hAnsi="Calibri"/>
                <w:color w:val="1F2A37"/>
                <w:sz w:val="20"/>
              </w:rPr>
              <w:t>Select an organization from the list (e.g., Amani Community Development). Click 'Verify Registration'. The system checks against the Kenya NGO Coordination Board registry using the org's registration number. Results show verification status, registry source, and extracted details.</w:t>
            </w:r>
          </w:p>
        </w:tc>
      </w:tr>
      <w:tr>
        <w:tc>
          <w:tcPr>
            <w:tcW w:type="dxa" w:w="3135"/>
            <w:shd w:fill="F0F9FF" w:val="clear"/>
          </w:tcPr>
          <w:p>
            <w:pPr>
              <w:jc w:val="center"/>
            </w:pPr>
            <w:r/>
            <w:r>
              <w:rPr>
                <w:rFonts w:ascii="Calibri" w:hAnsi="Calibri"/>
                <w:b/>
                <w:color w:val="1E40AF"/>
                <w:sz w:val="22"/>
              </w:rPr>
              <w:t>7</w:t>
            </w:r>
          </w:p>
        </w:tc>
        <w:tc>
          <w:tcPr>
            <w:tcW w:type="dxa" w:w="3135"/>
            <w:shd w:fill="F0F9FF" w:val="clear"/>
          </w:tcPr>
          <w:p>
            <w:r/>
            <w:r>
              <w:rPr>
                <w:rFonts w:ascii="Calibri" w:hAnsi="Calibri"/>
                <w:b/>
                <w:color w:val="1F2A37"/>
                <w:sz w:val="20"/>
              </w:rPr>
              <w:t>Show Supported Countries</w:t>
            </w:r>
          </w:p>
        </w:tc>
        <w:tc>
          <w:tcPr>
            <w:tcW w:type="dxa" w:w="3135"/>
            <w:shd w:fill="F0F9FF" w:val="clear"/>
          </w:tcPr>
          <w:p>
            <w:r/>
            <w:r>
              <w:rPr>
                <w:rFonts w:ascii="Calibri" w:hAnsi="Calibri"/>
                <w:color w:val="1F2A37"/>
                <w:sz w:val="20"/>
              </w:rPr>
              <w:t>Point out the list of supported registries: Kenya (NGO Board/BRS), Nigeria (CAC), South Africa (DSD NPO), Uganda (NGO Bureau), Tanzania (NiS), Somalia (MOIFAR), Ethiopia (ACSO). Emphasize: designed to expand to all Global South countries.</w:t>
            </w:r>
          </w:p>
        </w:tc>
      </w:tr>
      <w:tr>
        <w:tc>
          <w:tcPr>
            <w:tcW w:type="dxa" w:w="3135"/>
            <w:shd w:fill="FFFFFF" w:val="clear"/>
          </w:tcPr>
          <w:p>
            <w:pPr>
              <w:jc w:val="center"/>
            </w:pPr>
            <w:r/>
            <w:r>
              <w:rPr>
                <w:rFonts w:ascii="Calibri" w:hAnsi="Calibri"/>
                <w:b/>
                <w:color w:val="1E40AF"/>
                <w:sz w:val="22"/>
              </w:rPr>
              <w:t>8</w:t>
            </w:r>
          </w:p>
        </w:tc>
        <w:tc>
          <w:tcPr>
            <w:tcW w:type="dxa" w:w="3135"/>
            <w:shd w:fill="FFFFFF" w:val="clear"/>
          </w:tcPr>
          <w:p>
            <w:r/>
            <w:r>
              <w:rPr>
                <w:rFonts w:ascii="Calibri" w:hAnsi="Calibri"/>
                <w:b/>
                <w:color w:val="1F2A37"/>
                <w:sz w:val="20"/>
              </w:rPr>
              <w:t>Upload Registration Certificate</w:t>
            </w:r>
          </w:p>
        </w:tc>
        <w:tc>
          <w:tcPr>
            <w:tcW w:type="dxa" w:w="3135"/>
            <w:shd w:fill="FFFFFF" w:val="clear"/>
          </w:tcPr>
          <w:p>
            <w:r/>
            <w:r>
              <w:rPr>
                <w:rFonts w:ascii="Calibri" w:hAnsi="Calibri"/>
                <w:color w:val="1F2A37"/>
                <w:sz w:val="20"/>
              </w:rPr>
              <w:t>For deeper verification, upload 'registration_certificate.txt' from the demo kit. AI analyzes the certificate, extracting: organization name, registration number, date, validity, registered purposes. Cross-references with registry data.</w:t>
            </w:r>
          </w:p>
        </w:tc>
      </w:tr>
    </w:tbl>
    <w:p>
      <w:r>
        <w:br w:type="page"/>
      </w:r>
    </w:p>
    <w:p>
      <w:pPr>
        <w:pStyle w:val="Heading1"/>
      </w:pPr>
      <w:r>
        <w:rPr>
          <w:rFonts w:ascii="Calibri" w:hAnsi="Calibri"/>
          <w:color w:val="1E40AF"/>
        </w:rPr>
        <w:t>Scenario 4: NGO Grant Reporting with AI</w:t>
      </w:r>
    </w:p>
    <w:p>
      <w:pPr>
        <w:spacing w:before="0" w:after="160"/>
        <w:jc w:val="left"/>
      </w:pPr>
      <w:r>
        <w:rPr>
          <w:rFonts w:ascii="Calibri" w:hAnsi="Calibri"/>
          <w:b w:val="0"/>
          <w:i w:val="0"/>
          <w:color w:val="1F2A37"/>
          <w:sz w:val="22"/>
        </w:rPr>
        <w:t>Demonstrate the reporting workflow: NGO submits grant reports (narrative and financial), AI evaluates compliance against grant agreement requirements, and generates per-requirement scores with risk flags.</w:t>
      </w:r>
    </w:p>
    <w:p>
      <w:pPr>
        <w:spacing w:before="120" w:after="120"/>
      </w:pPr>
    </w:p>
    <w:tbl>
      <w:tblPr>
        <w:tblW w:type="auto" w:w="0"/>
        <w:tblLook w:firstColumn="1" w:firstRow="1" w:lastColumn="0" w:lastRow="0" w:noHBand="0" w:noVBand="1" w:val="04A0"/>
      </w:tblPr>
      <w:tblGrid>
        <w:gridCol w:w="9406"/>
      </w:tblGrid>
      <w:tr>
        <w:tc>
          <w:tcPr>
            <w:tcW w:type="dxa" w:w="9406"/>
            <w:shd w:fill="EFF6FF" w:val="clear"/>
          </w:tcPr>
          <w:p>
            <w:r/>
            <w:r>
              <w:rPr>
                <w:rFonts w:ascii="Calibri" w:hAnsi="Calibri"/>
                <w:i/>
                <w:color w:val="1E40AF"/>
                <w:sz w:val="20"/>
              </w:rPr>
              <w:t>💡  Talking Point: "Our AI doesn't just store reports — it reads them, scores each requirement from the grant agreement, flags risks, and gives both the NGO and donor a compliance score. This turns weeks of manual review into minutes."</w:t>
            </w:r>
          </w:p>
        </w:tc>
      </w:tr>
    </w:tbl>
    <w:p/>
    <w:p>
      <w:pPr>
        <w:spacing w:before="0" w:after="120"/>
        <w:jc w:val="left"/>
      </w:pPr>
      <w:r>
        <w:rPr>
          <w:rFonts w:ascii="Calibri" w:hAnsi="Calibri"/>
          <w:b/>
          <w:i w:val="0"/>
          <w:color w:val="0D9488"/>
          <w:sz w:val="20"/>
        </w:rPr>
        <w:t>Pre-requisite: Log in as the NGO account</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135"/>
        <w:gridCol w:w="3135"/>
        <w:gridCol w:w="3135"/>
      </w:tblGrid>
      <w:tr>
        <w:tc>
          <w:tcPr>
            <w:tcW w:type="dxa" w:w="850"/>
            <w:shd w:fill="1E40AF" w:val="clear"/>
          </w:tcPr>
          <w:p>
            <w:pPr>
              <w:jc w:val="center"/>
            </w:pPr>
            <w:r/>
            <w:r>
              <w:rPr>
                <w:rFonts w:ascii="Calibri" w:hAnsi="Calibri"/>
                <w:b/>
                <w:color w:val="FFFFFF"/>
                <w:sz w:val="20"/>
              </w:rPr>
              <w:t>Step</w:t>
            </w:r>
          </w:p>
        </w:tc>
        <w:tc>
          <w:tcPr>
            <w:tcW w:type="dxa" w:w="2268"/>
            <w:shd w:fill="1E40AF" w:val="clear"/>
          </w:tcPr>
          <w:p>
            <w:pPr>
              <w:jc w:val="left"/>
            </w:pPr>
            <w:r/>
            <w:r>
              <w:rPr>
                <w:rFonts w:ascii="Calibri" w:hAnsi="Calibri"/>
                <w:b/>
                <w:color w:val="FFFFFF"/>
                <w:sz w:val="20"/>
              </w:rPr>
              <w:t>Action</w:t>
            </w:r>
          </w:p>
        </w:tc>
        <w:tc>
          <w:tcPr>
            <w:tcW w:type="dxa" w:w="6236"/>
            <w:shd w:fill="1E40AF" w:val="clear"/>
          </w:tcPr>
          <w:p>
            <w:pPr>
              <w:jc w:val="left"/>
            </w:pPr>
            <w:r/>
            <w:r>
              <w:rPr>
                <w:rFonts w:ascii="Calibri" w:hAnsi="Calibri"/>
                <w:b/>
                <w:color w:val="FFFFFF"/>
                <w:sz w:val="20"/>
              </w:rPr>
              <w:t>Details</w:t>
            </w:r>
          </w:p>
        </w:tc>
      </w:tr>
      <w:tr>
        <w:tc>
          <w:tcPr>
            <w:tcW w:type="dxa" w:w="3135"/>
            <w:shd w:fill="F0F9FF" w:val="clear"/>
          </w:tcPr>
          <w:p>
            <w:pPr>
              <w:jc w:val="center"/>
            </w:pPr>
            <w:r/>
            <w:r>
              <w:rPr>
                <w:rFonts w:ascii="Calibri" w:hAnsi="Calibri"/>
                <w:b/>
                <w:color w:val="1E40AF"/>
                <w:sz w:val="22"/>
              </w:rPr>
              <w:t>1</w:t>
            </w:r>
          </w:p>
        </w:tc>
        <w:tc>
          <w:tcPr>
            <w:tcW w:type="dxa" w:w="3135"/>
            <w:shd w:fill="F0F9FF" w:val="clear"/>
          </w:tcPr>
          <w:p>
            <w:r/>
            <w:r>
              <w:rPr>
                <w:rFonts w:ascii="Calibri" w:hAnsi="Calibri"/>
                <w:b/>
                <w:color w:val="1F2A37"/>
                <w:sz w:val="20"/>
              </w:rPr>
              <w:t>Log in as NGO</w:t>
            </w:r>
          </w:p>
        </w:tc>
        <w:tc>
          <w:tcPr>
            <w:tcW w:type="dxa" w:w="3135"/>
            <w:shd w:fill="F0F9FF" w:val="clear"/>
          </w:tcPr>
          <w:p>
            <w:r/>
            <w:r>
              <w:rPr>
                <w:rFonts w:ascii="Calibri" w:hAnsi="Calibri"/>
                <w:color w:val="1F2A37"/>
                <w:sz w:val="20"/>
              </w:rPr>
              <w:t>Log out from the donor account. Enter email: fatima@amani.org and password: pass123. Click Sign In.</w:t>
            </w:r>
          </w:p>
        </w:tc>
      </w:tr>
      <w:tr>
        <w:tc>
          <w:tcPr>
            <w:tcW w:type="dxa" w:w="3135"/>
            <w:shd w:fill="FFFFFF" w:val="clear"/>
          </w:tcPr>
          <w:p>
            <w:pPr>
              <w:jc w:val="center"/>
            </w:pPr>
            <w:r/>
            <w:r>
              <w:rPr>
                <w:rFonts w:ascii="Calibri" w:hAnsi="Calibri"/>
                <w:b/>
                <w:color w:val="1E40AF"/>
                <w:sz w:val="22"/>
              </w:rPr>
              <w:t>2</w:t>
            </w:r>
          </w:p>
        </w:tc>
        <w:tc>
          <w:tcPr>
            <w:tcW w:type="dxa" w:w="3135"/>
            <w:shd w:fill="FFFFFF" w:val="clear"/>
          </w:tcPr>
          <w:p>
            <w:r/>
            <w:r>
              <w:rPr>
                <w:rFonts w:ascii="Calibri" w:hAnsi="Calibri"/>
                <w:b/>
                <w:color w:val="1F2A37"/>
                <w:sz w:val="20"/>
              </w:rPr>
              <w:t>Navigate to Reports</w:t>
            </w:r>
          </w:p>
        </w:tc>
        <w:tc>
          <w:tcPr>
            <w:tcW w:type="dxa" w:w="3135"/>
            <w:shd w:fill="FFFFFF" w:val="clear"/>
          </w:tcPr>
          <w:p>
            <w:r/>
            <w:r>
              <w:rPr>
                <w:rFonts w:ascii="Calibri" w:hAnsi="Calibri"/>
                <w:color w:val="1F2A37"/>
                <w:sz w:val="20"/>
              </w:rPr>
              <w:t>Click 'Grant Reports' in the left sidebar. The reports dashboard shows upcoming deadlines, submitted reports, and compliance status per grant.</w:t>
            </w:r>
          </w:p>
        </w:tc>
      </w:tr>
      <w:tr>
        <w:tc>
          <w:tcPr>
            <w:tcW w:type="dxa" w:w="3135"/>
            <w:shd w:fill="F0F9FF" w:val="clear"/>
          </w:tcPr>
          <w:p>
            <w:pPr>
              <w:jc w:val="center"/>
            </w:pPr>
            <w:r/>
            <w:r>
              <w:rPr>
                <w:rFonts w:ascii="Calibri" w:hAnsi="Calibri"/>
                <w:b/>
                <w:color w:val="1E40AF"/>
                <w:sz w:val="22"/>
              </w:rPr>
              <w:t>3</w:t>
            </w:r>
          </w:p>
        </w:tc>
        <w:tc>
          <w:tcPr>
            <w:tcW w:type="dxa" w:w="3135"/>
            <w:shd w:fill="F0F9FF" w:val="clear"/>
          </w:tcPr>
          <w:p>
            <w:r/>
            <w:r>
              <w:rPr>
                <w:rFonts w:ascii="Calibri" w:hAnsi="Calibri"/>
                <w:b/>
                <w:color w:val="1F2A37"/>
                <w:sz w:val="20"/>
              </w:rPr>
              <w:t>Select a Grant for Reporting</w:t>
            </w:r>
          </w:p>
        </w:tc>
        <w:tc>
          <w:tcPr>
            <w:tcW w:type="dxa" w:w="3135"/>
            <w:shd w:fill="F0F9FF" w:val="clear"/>
          </w:tcPr>
          <w:p>
            <w:r/>
            <w:r>
              <w:rPr>
                <w:rFonts w:ascii="Calibri" w:hAnsi="Calibri"/>
                <w:color w:val="1F2A37"/>
                <w:sz w:val="20"/>
              </w:rPr>
              <w:t>You should see the 'Community Health Workers Scale-Up Program' grant. Click 'Submit Report' or 'New Report'. Select the reporting period.</w:t>
            </w:r>
          </w:p>
        </w:tc>
      </w:tr>
      <w:tr>
        <w:tc>
          <w:tcPr>
            <w:tcW w:type="dxa" w:w="3135"/>
            <w:shd w:fill="FFFFFF" w:val="clear"/>
          </w:tcPr>
          <w:p>
            <w:pPr>
              <w:jc w:val="center"/>
            </w:pPr>
            <w:r/>
            <w:r>
              <w:rPr>
                <w:rFonts w:ascii="Calibri" w:hAnsi="Calibri"/>
                <w:b/>
                <w:color w:val="1E40AF"/>
                <w:sz w:val="22"/>
              </w:rPr>
              <w:t>4</w:t>
            </w:r>
          </w:p>
        </w:tc>
        <w:tc>
          <w:tcPr>
            <w:tcW w:type="dxa" w:w="3135"/>
            <w:shd w:fill="FFFFFF" w:val="clear"/>
          </w:tcPr>
          <w:p>
            <w:r/>
            <w:r>
              <w:rPr>
                <w:rFonts w:ascii="Calibri" w:hAnsi="Calibri"/>
                <w:b/>
                <w:color w:val="1F2A37"/>
                <w:sz w:val="20"/>
              </w:rPr>
              <w:t>Upload Narrative Report</w:t>
            </w:r>
          </w:p>
        </w:tc>
        <w:tc>
          <w:tcPr>
            <w:tcW w:type="dxa" w:w="3135"/>
            <w:shd w:fill="FFFFFF" w:val="clear"/>
          </w:tcPr>
          <w:p>
            <w:r/>
            <w:r>
              <w:rPr>
                <w:rFonts w:ascii="Calibri" w:hAnsi="Calibri"/>
                <w:color w:val="1F2A37"/>
                <w:sz w:val="20"/>
              </w:rPr>
              <w:t>In the report submission form, upload 'excellent_narrative_report.txt' from the demo kit as the narrative report. This is a comprehensive annual report from a Somalia health program with detailed results, context analysis, and financial summary.</w:t>
            </w:r>
          </w:p>
        </w:tc>
      </w:tr>
      <w:tr>
        <w:tc>
          <w:tcPr>
            <w:tcW w:type="dxa" w:w="3135"/>
            <w:shd w:fill="F0F9FF" w:val="clear"/>
          </w:tcPr>
          <w:p>
            <w:pPr>
              <w:jc w:val="center"/>
            </w:pPr>
            <w:r/>
            <w:r>
              <w:rPr>
                <w:rFonts w:ascii="Calibri" w:hAnsi="Calibri"/>
                <w:b/>
                <w:color w:val="1E40AF"/>
                <w:sz w:val="22"/>
              </w:rPr>
              <w:t>5</w:t>
            </w:r>
          </w:p>
        </w:tc>
        <w:tc>
          <w:tcPr>
            <w:tcW w:type="dxa" w:w="3135"/>
            <w:shd w:fill="F0F9FF" w:val="clear"/>
          </w:tcPr>
          <w:p>
            <w:r/>
            <w:r>
              <w:rPr>
                <w:rFonts w:ascii="Calibri" w:hAnsi="Calibri"/>
                <w:b/>
                <w:color w:val="1F2A37"/>
                <w:sz w:val="20"/>
              </w:rPr>
              <w:t>Upload Financial Report</w:t>
            </w:r>
          </w:p>
        </w:tc>
        <w:tc>
          <w:tcPr>
            <w:tcW w:type="dxa" w:w="3135"/>
            <w:shd w:fill="F0F9FF" w:val="clear"/>
          </w:tcPr>
          <w:p>
            <w:r/>
            <w:r>
              <w:rPr>
                <w:rFonts w:ascii="Calibri" w:hAnsi="Calibri"/>
                <w:color w:val="1F2A37"/>
                <w:sz w:val="20"/>
              </w:rPr>
              <w:t>Upload 'financial_report_q1_2026.txt' from the demo kit as the financial report. This shows a quarterly financial report with budget vs. actual, variance analysis, and cash flow forecast.</w:t>
            </w:r>
          </w:p>
        </w:tc>
      </w:tr>
      <w:tr>
        <w:tc>
          <w:tcPr>
            <w:tcW w:type="dxa" w:w="3135"/>
            <w:shd w:fill="FFFFFF" w:val="clear"/>
          </w:tcPr>
          <w:p>
            <w:pPr>
              <w:jc w:val="center"/>
            </w:pPr>
            <w:r/>
            <w:r>
              <w:rPr>
                <w:rFonts w:ascii="Calibri" w:hAnsi="Calibri"/>
                <w:b/>
                <w:color w:val="1E40AF"/>
                <w:sz w:val="22"/>
              </w:rPr>
              <w:t>6</w:t>
            </w:r>
          </w:p>
        </w:tc>
        <w:tc>
          <w:tcPr>
            <w:tcW w:type="dxa" w:w="3135"/>
            <w:shd w:fill="FFFFFF" w:val="clear"/>
          </w:tcPr>
          <w:p>
            <w:r/>
            <w:r>
              <w:rPr>
                <w:rFonts w:ascii="Calibri" w:hAnsi="Calibri"/>
                <w:b/>
                <w:color w:val="1F2A37"/>
                <w:sz w:val="20"/>
              </w:rPr>
              <w:t>Trigger AI Evaluation</w:t>
            </w:r>
          </w:p>
        </w:tc>
        <w:tc>
          <w:tcPr>
            <w:tcW w:type="dxa" w:w="3135"/>
            <w:shd w:fill="FFFFFF" w:val="clear"/>
          </w:tcPr>
          <w:p>
            <w:r/>
            <w:r>
              <w:rPr>
                <w:rFonts w:ascii="Calibri" w:hAnsi="Calibri"/>
                <w:color w:val="1F2A37"/>
                <w:sz w:val="20"/>
              </w:rPr>
              <w:t>Click 'Submit Report'. The AI evaluates both documents against the grant agreement's specific requirements. WAIT for AI processing (15-20 seconds). The system generates:</w:t>
              <w:br/>
              <w:t>• Overall compliance score (0-100)</w:t>
              <w:br/>
              <w:t>• Per-requirement breakdown with scores</w:t>
              <w:br/>
              <w:t>• Risk flags for under-performing areas</w:t>
              <w:br/>
              <w:t>• Specific findings with quotes from the report</w:t>
            </w:r>
          </w:p>
        </w:tc>
      </w:tr>
      <w:tr>
        <w:tc>
          <w:tcPr>
            <w:tcW w:type="dxa" w:w="3135"/>
            <w:shd w:fill="F0F9FF" w:val="clear"/>
          </w:tcPr>
          <w:p>
            <w:pPr>
              <w:jc w:val="center"/>
            </w:pPr>
            <w:r/>
            <w:r>
              <w:rPr>
                <w:rFonts w:ascii="Calibri" w:hAnsi="Calibri"/>
                <w:b/>
                <w:color w:val="1E40AF"/>
                <w:sz w:val="22"/>
              </w:rPr>
              <w:t>7</w:t>
            </w:r>
          </w:p>
        </w:tc>
        <w:tc>
          <w:tcPr>
            <w:tcW w:type="dxa" w:w="3135"/>
            <w:shd w:fill="F0F9FF" w:val="clear"/>
          </w:tcPr>
          <w:p>
            <w:r/>
            <w:r>
              <w:rPr>
                <w:rFonts w:ascii="Calibri" w:hAnsi="Calibri"/>
                <w:b/>
                <w:color w:val="1F2A37"/>
                <w:sz w:val="20"/>
              </w:rPr>
              <w:t>Review AI Compliance Results</w:t>
            </w:r>
          </w:p>
        </w:tc>
        <w:tc>
          <w:tcPr>
            <w:tcW w:type="dxa" w:w="3135"/>
            <w:shd w:fill="F0F9FF" w:val="clear"/>
          </w:tcPr>
          <w:p>
            <w:r/>
            <w:r>
              <w:rPr>
                <w:rFonts w:ascii="Calibri" w:hAnsi="Calibri"/>
                <w:color w:val="1F2A37"/>
                <w:sz w:val="20"/>
              </w:rPr>
              <w:t>The results page shows a compliance dashboard: overall score, per-section scores (financial reporting, narrative quality, M&amp;E data, etc.), and any flagged risks. The AI provides specific recommendations for improvement.</w:t>
            </w:r>
          </w:p>
        </w:tc>
      </w:tr>
      <w:tr>
        <w:tc>
          <w:tcPr>
            <w:tcW w:type="dxa" w:w="3135"/>
            <w:shd w:fill="FFFFFF" w:val="clear"/>
          </w:tcPr>
          <w:p>
            <w:pPr>
              <w:jc w:val="center"/>
            </w:pPr>
            <w:r/>
            <w:r>
              <w:rPr>
                <w:rFonts w:ascii="Calibri" w:hAnsi="Calibri"/>
                <w:b/>
                <w:color w:val="1E40AF"/>
                <w:sz w:val="22"/>
              </w:rPr>
              <w:t>8</w:t>
            </w:r>
          </w:p>
        </w:tc>
        <w:tc>
          <w:tcPr>
            <w:tcW w:type="dxa" w:w="3135"/>
            <w:shd w:fill="FFFFFF" w:val="clear"/>
          </w:tcPr>
          <w:p>
            <w:r/>
            <w:r>
              <w:rPr>
                <w:rFonts w:ascii="Calibri" w:hAnsi="Calibri"/>
                <w:b/>
                <w:color w:val="1F2A37"/>
                <w:sz w:val="20"/>
              </w:rPr>
              <w:t>Show Donor View (Optional)</w:t>
            </w:r>
          </w:p>
        </w:tc>
        <w:tc>
          <w:tcPr>
            <w:tcW w:type="dxa" w:w="3135"/>
            <w:shd w:fill="FFFFFF" w:val="clear"/>
          </w:tcPr>
          <w:p>
            <w:r/>
            <w:r>
              <w:rPr>
                <w:rFonts w:ascii="Calibri" w:hAnsi="Calibri"/>
                <w:color w:val="1F2A37"/>
                <w:sz w:val="20"/>
              </w:rPr>
              <w:t>Log out and back in as the donor (sarah@globalhealth.org). Navigate to 'Grant Reports'. You'll see the submitted report with AI scores visible to the donor. The donor can review the AI analysis and add their own review comments.</w:t>
            </w:r>
          </w:p>
        </w:tc>
      </w:tr>
    </w:tbl>
    <w:p>
      <w:r>
        <w:br w:type="page"/>
      </w:r>
    </w:p>
    <w:p>
      <w:pPr>
        <w:pStyle w:val="Heading1"/>
      </w:pPr>
      <w:r>
        <w:rPr>
          <w:rFonts w:ascii="Calibri" w:hAnsi="Calibri"/>
          <w:color w:val="1E40AF"/>
        </w:rPr>
        <w:t>Scenario 5: Multi-Language Demo</w:t>
      </w:r>
    </w:p>
    <w:p>
      <w:pPr>
        <w:spacing w:before="0" w:after="160"/>
        <w:jc w:val="left"/>
      </w:pPr>
      <w:r>
        <w:rPr>
          <w:rFonts w:ascii="Calibri" w:hAnsi="Calibri"/>
          <w:b w:val="0"/>
          <w:i w:val="0"/>
          <w:color w:val="1F2A37"/>
          <w:sz w:val="22"/>
        </w:rPr>
        <w:t>Demonstrate Kuja's multi-language support — a key differentiator that no other grant management platform offers. The platform currently supports English, French, Arabic, and Spanish, with more languages coming.</w:t>
      </w:r>
    </w:p>
    <w:p>
      <w:pPr>
        <w:spacing w:before="120" w:after="120"/>
      </w:pPr>
    </w:p>
    <w:tbl>
      <w:tblPr>
        <w:tblW w:type="auto" w:w="0"/>
        <w:tblLook w:firstColumn="1" w:firstRow="1" w:lastColumn="0" w:lastRow="0" w:noHBand="0" w:noVBand="1" w:val="04A0"/>
      </w:tblPr>
      <w:tblGrid>
        <w:gridCol w:w="9406"/>
      </w:tblGrid>
      <w:tr>
        <w:tc>
          <w:tcPr>
            <w:tcW w:type="dxa" w:w="9406"/>
            <w:shd w:fill="EFF6FF" w:val="clear"/>
          </w:tcPr>
          <w:p>
            <w:r/>
            <w:r>
              <w:rPr>
                <w:rFonts w:ascii="Calibri" w:hAnsi="Calibri"/>
                <w:i/>
                <w:color w:val="1E40AF"/>
                <w:sz w:val="20"/>
              </w:rPr>
              <w:t>💡  Talking Point: "No other grant management platform offers Arabic, French, or Spanish. Our users are in the Global South — they need tools in their languages. We have 5 languages live today and are adding more every week."</w:t>
            </w:r>
          </w:p>
        </w:tc>
      </w:tr>
    </w:tbl>
    <w:p/>
    <w:p>
      <w:pPr>
        <w:spacing w:before="0" w:after="120"/>
        <w:jc w:val="left"/>
      </w:pPr>
      <w:r>
        <w:rPr>
          <w:rFonts w:ascii="Calibri" w:hAnsi="Calibri"/>
          <w:b/>
          <w:i w:val="0"/>
          <w:color w:val="0D9488"/>
          <w:sz w:val="20"/>
        </w:rPr>
        <w:t>Pre-requisite: Be logged into any account</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135"/>
        <w:gridCol w:w="3135"/>
        <w:gridCol w:w="3135"/>
      </w:tblGrid>
      <w:tr>
        <w:tc>
          <w:tcPr>
            <w:tcW w:type="dxa" w:w="850"/>
            <w:shd w:fill="1E40AF" w:val="clear"/>
          </w:tcPr>
          <w:p>
            <w:pPr>
              <w:jc w:val="center"/>
            </w:pPr>
            <w:r/>
            <w:r>
              <w:rPr>
                <w:rFonts w:ascii="Calibri" w:hAnsi="Calibri"/>
                <w:b/>
                <w:color w:val="FFFFFF"/>
                <w:sz w:val="20"/>
              </w:rPr>
              <w:t>Step</w:t>
            </w:r>
          </w:p>
        </w:tc>
        <w:tc>
          <w:tcPr>
            <w:tcW w:type="dxa" w:w="2268"/>
            <w:shd w:fill="1E40AF" w:val="clear"/>
          </w:tcPr>
          <w:p>
            <w:pPr>
              <w:jc w:val="left"/>
            </w:pPr>
            <w:r/>
            <w:r>
              <w:rPr>
                <w:rFonts w:ascii="Calibri" w:hAnsi="Calibri"/>
                <w:b/>
                <w:color w:val="FFFFFF"/>
                <w:sz w:val="20"/>
              </w:rPr>
              <w:t>Action</w:t>
            </w:r>
          </w:p>
        </w:tc>
        <w:tc>
          <w:tcPr>
            <w:tcW w:type="dxa" w:w="6236"/>
            <w:shd w:fill="1E40AF" w:val="clear"/>
          </w:tcPr>
          <w:p>
            <w:pPr>
              <w:jc w:val="left"/>
            </w:pPr>
            <w:r/>
            <w:r>
              <w:rPr>
                <w:rFonts w:ascii="Calibri" w:hAnsi="Calibri"/>
                <w:b/>
                <w:color w:val="FFFFFF"/>
                <w:sz w:val="20"/>
              </w:rPr>
              <w:t>Details</w:t>
            </w:r>
          </w:p>
        </w:tc>
      </w:tr>
      <w:tr>
        <w:tc>
          <w:tcPr>
            <w:tcW w:type="dxa" w:w="3135"/>
            <w:shd w:fill="F0F9FF" w:val="clear"/>
          </w:tcPr>
          <w:p>
            <w:pPr>
              <w:jc w:val="center"/>
            </w:pPr>
            <w:r/>
            <w:r>
              <w:rPr>
                <w:rFonts w:ascii="Calibri" w:hAnsi="Calibri"/>
                <w:b/>
                <w:color w:val="1E40AF"/>
                <w:sz w:val="22"/>
              </w:rPr>
              <w:t>1</w:t>
            </w:r>
          </w:p>
        </w:tc>
        <w:tc>
          <w:tcPr>
            <w:tcW w:type="dxa" w:w="3135"/>
            <w:shd w:fill="F0F9FF" w:val="clear"/>
          </w:tcPr>
          <w:p>
            <w:r/>
            <w:r>
              <w:rPr>
                <w:rFonts w:ascii="Calibri" w:hAnsi="Calibri"/>
                <w:b/>
                <w:color w:val="1F2A37"/>
                <w:sz w:val="20"/>
              </w:rPr>
              <w:t>Show Language Selector</w:t>
            </w:r>
          </w:p>
        </w:tc>
        <w:tc>
          <w:tcPr>
            <w:tcW w:type="dxa" w:w="3135"/>
            <w:shd w:fill="F0F9FF" w:val="clear"/>
          </w:tcPr>
          <w:p>
            <w:r/>
            <w:r>
              <w:rPr>
                <w:rFonts w:ascii="Calibri" w:hAnsi="Calibri"/>
                <w:color w:val="1F2A37"/>
                <w:sz w:val="20"/>
              </w:rPr>
              <w:t>Point out the language selector in the top navigation bar. It shows the current language (e.g., 'English') with a globe icon.</w:t>
            </w:r>
          </w:p>
        </w:tc>
      </w:tr>
      <w:tr>
        <w:tc>
          <w:tcPr>
            <w:tcW w:type="dxa" w:w="3135"/>
            <w:shd w:fill="FFFFFF" w:val="clear"/>
          </w:tcPr>
          <w:p>
            <w:pPr>
              <w:jc w:val="center"/>
            </w:pPr>
            <w:r/>
            <w:r>
              <w:rPr>
                <w:rFonts w:ascii="Calibri" w:hAnsi="Calibri"/>
                <w:b/>
                <w:color w:val="1E40AF"/>
                <w:sz w:val="22"/>
              </w:rPr>
              <w:t>2</w:t>
            </w:r>
          </w:p>
        </w:tc>
        <w:tc>
          <w:tcPr>
            <w:tcW w:type="dxa" w:w="3135"/>
            <w:shd w:fill="FFFFFF" w:val="clear"/>
          </w:tcPr>
          <w:p>
            <w:r/>
            <w:r>
              <w:rPr>
                <w:rFonts w:ascii="Calibri" w:hAnsi="Calibri"/>
                <w:b/>
                <w:color w:val="1F2A37"/>
                <w:sz w:val="20"/>
              </w:rPr>
              <w:t>Switch to Arabic</w:t>
            </w:r>
          </w:p>
        </w:tc>
        <w:tc>
          <w:tcPr>
            <w:tcW w:type="dxa" w:w="3135"/>
            <w:shd w:fill="FFFFFF" w:val="clear"/>
          </w:tcPr>
          <w:p>
            <w:r/>
            <w:r>
              <w:rPr>
                <w:rFonts w:ascii="Calibri" w:hAnsi="Calibri"/>
                <w:color w:val="1F2A37"/>
                <w:sz w:val="20"/>
              </w:rPr>
              <w:t>Click the language selector and choose 'العربية' (Arabic). The entire interface switches to Arabic with right-to-left (RTL) layout. Navigation, labels, buttons, dashboard — everything is translated. Point out that even the AI assistant responds in Arabic.</w:t>
            </w:r>
          </w:p>
        </w:tc>
      </w:tr>
      <w:tr>
        <w:tc>
          <w:tcPr>
            <w:tcW w:type="dxa" w:w="3135"/>
            <w:shd w:fill="F0F9FF" w:val="clear"/>
          </w:tcPr>
          <w:p>
            <w:pPr>
              <w:jc w:val="center"/>
            </w:pPr>
            <w:r/>
            <w:r>
              <w:rPr>
                <w:rFonts w:ascii="Calibri" w:hAnsi="Calibri"/>
                <w:b/>
                <w:color w:val="1E40AF"/>
                <w:sz w:val="22"/>
              </w:rPr>
              <w:t>3</w:t>
            </w:r>
          </w:p>
        </w:tc>
        <w:tc>
          <w:tcPr>
            <w:tcW w:type="dxa" w:w="3135"/>
            <w:shd w:fill="F0F9FF" w:val="clear"/>
          </w:tcPr>
          <w:p>
            <w:r/>
            <w:r>
              <w:rPr>
                <w:rFonts w:ascii="Calibri" w:hAnsi="Calibri"/>
                <w:b/>
                <w:color w:val="1F2A37"/>
                <w:sz w:val="20"/>
              </w:rPr>
              <w:t>Switch to French</w:t>
            </w:r>
          </w:p>
        </w:tc>
        <w:tc>
          <w:tcPr>
            <w:tcW w:type="dxa" w:w="3135"/>
            <w:shd w:fill="F0F9FF" w:val="clear"/>
          </w:tcPr>
          <w:p>
            <w:r/>
            <w:r>
              <w:rPr>
                <w:rFonts w:ascii="Calibri" w:hAnsi="Calibri"/>
                <w:color w:val="1F2A37"/>
                <w:sz w:val="20"/>
              </w:rPr>
              <w:t>Click the language selector and choose 'Français' (French). The interface switches to French. Navigate to a few pages to show consistent translation across the platform — dashboard, grants list, forms, and reports all render in French.</w:t>
            </w:r>
          </w:p>
        </w:tc>
      </w:tr>
      <w:tr>
        <w:tc>
          <w:tcPr>
            <w:tcW w:type="dxa" w:w="3135"/>
            <w:shd w:fill="FFFFFF" w:val="clear"/>
          </w:tcPr>
          <w:p>
            <w:pPr>
              <w:jc w:val="center"/>
            </w:pPr>
            <w:r/>
            <w:r>
              <w:rPr>
                <w:rFonts w:ascii="Calibri" w:hAnsi="Calibri"/>
                <w:b/>
                <w:color w:val="1E40AF"/>
                <w:sz w:val="22"/>
              </w:rPr>
              <w:t>4</w:t>
            </w:r>
          </w:p>
        </w:tc>
        <w:tc>
          <w:tcPr>
            <w:tcW w:type="dxa" w:w="3135"/>
            <w:shd w:fill="FFFFFF" w:val="clear"/>
          </w:tcPr>
          <w:p>
            <w:r/>
            <w:r>
              <w:rPr>
                <w:rFonts w:ascii="Calibri" w:hAnsi="Calibri"/>
                <w:b/>
                <w:color w:val="1F2A37"/>
                <w:sz w:val="20"/>
              </w:rPr>
              <w:t>Switch to Spanish</w:t>
            </w:r>
          </w:p>
        </w:tc>
        <w:tc>
          <w:tcPr>
            <w:tcW w:type="dxa" w:w="3135"/>
            <w:shd w:fill="FFFFFF" w:val="clear"/>
          </w:tcPr>
          <w:p>
            <w:r/>
            <w:r>
              <w:rPr>
                <w:rFonts w:ascii="Calibri" w:hAnsi="Calibri"/>
                <w:color w:val="1F2A37"/>
                <w:sz w:val="20"/>
              </w:rPr>
              <w:t>Click the language selector and choose 'Español' (Spanish). Show the Spanish interface. Emphasize that this is live today — not a mockup or roadmap item.</w:t>
            </w:r>
          </w:p>
        </w:tc>
      </w:tr>
      <w:tr>
        <w:tc>
          <w:tcPr>
            <w:tcW w:type="dxa" w:w="3135"/>
            <w:shd w:fill="F0F9FF" w:val="clear"/>
          </w:tcPr>
          <w:p>
            <w:pPr>
              <w:jc w:val="center"/>
            </w:pPr>
            <w:r/>
            <w:r>
              <w:rPr>
                <w:rFonts w:ascii="Calibri" w:hAnsi="Calibri"/>
                <w:b/>
                <w:color w:val="1E40AF"/>
                <w:sz w:val="22"/>
              </w:rPr>
              <w:t>5</w:t>
            </w:r>
          </w:p>
        </w:tc>
        <w:tc>
          <w:tcPr>
            <w:tcW w:type="dxa" w:w="3135"/>
            <w:shd w:fill="F0F9FF" w:val="clear"/>
          </w:tcPr>
          <w:p>
            <w:r/>
            <w:r>
              <w:rPr>
                <w:rFonts w:ascii="Calibri" w:hAnsi="Calibri"/>
                <w:b/>
                <w:color w:val="1F2A37"/>
                <w:sz w:val="20"/>
              </w:rPr>
              <w:t>Return to English</w:t>
            </w:r>
          </w:p>
        </w:tc>
        <w:tc>
          <w:tcPr>
            <w:tcW w:type="dxa" w:w="3135"/>
            <w:shd w:fill="F0F9FF" w:val="clear"/>
          </w:tcPr>
          <w:p>
            <w:r/>
            <w:r>
              <w:rPr>
                <w:rFonts w:ascii="Calibri" w:hAnsi="Calibri"/>
                <w:color w:val="1F2A37"/>
                <w:sz w:val="20"/>
              </w:rPr>
              <w:t>Switch back to English to continue with any follow-up discussion. Emphasize: 675 translation keys per language, covering the entire platform. More languages (Swahili, Somali, Portuguese) in the pipeline.</w:t>
            </w:r>
          </w:p>
        </w:tc>
      </w:tr>
    </w:tbl>
    <w:p>
      <w:r>
        <w:br w:type="page"/>
      </w:r>
    </w:p>
    <w:p>
      <w:pPr>
        <w:pStyle w:val="Heading1"/>
      </w:pPr>
      <w:r>
        <w:rPr>
          <w:rFonts w:ascii="Calibri" w:hAnsi="Calibri"/>
          <w:color w:val="1E40AF"/>
        </w:rPr>
        <w:t>Demo Tips &amp; Troubleshooting</w:t>
      </w:r>
    </w:p>
    <w:p>
      <w:pPr>
        <w:spacing w:before="160" w:after="120"/>
        <w:jc w:val="left"/>
      </w:pPr>
      <w:r>
        <w:rPr>
          <w:rFonts w:ascii="Calibri" w:hAnsi="Calibri"/>
          <w:b/>
          <w:i w:val="0"/>
          <w:color w:val="1E40AF"/>
          <w:sz w:val="26"/>
        </w:rPr>
        <w:t>Before the Demo</w:t>
      </w:r>
    </w:p>
    <w:p>
      <w:pPr>
        <w:spacing w:after="60"/>
      </w:pPr>
      <w:r>
        <w:rPr>
          <w:rFonts w:ascii="Calibri" w:hAnsi="Calibri"/>
          <w:color w:val="1F2A37"/>
          <w:sz w:val="20"/>
        </w:rPr>
        <w:t xml:space="preserve">  ✓  Open the platform URL in Chrome (recommended) and verify you can log in</w:t>
      </w:r>
    </w:p>
    <w:p>
      <w:pPr>
        <w:spacing w:after="60"/>
      </w:pPr>
      <w:r>
        <w:rPr>
          <w:rFonts w:ascii="Calibri" w:hAnsi="Calibri"/>
          <w:color w:val="1F2A37"/>
          <w:sz w:val="20"/>
        </w:rPr>
        <w:t xml:space="preserve">  ✓  Have the demo-files.zip extracted and files ready to upload</w:t>
      </w:r>
    </w:p>
    <w:p>
      <w:pPr>
        <w:spacing w:after="60"/>
      </w:pPr>
      <w:r>
        <w:rPr>
          <w:rFonts w:ascii="Calibri" w:hAnsi="Calibri"/>
          <w:color w:val="1F2A37"/>
          <w:sz w:val="20"/>
        </w:rPr>
        <w:t xml:space="preserve">  ✓  Test your internet connection — sanctions screening and AI features require connectivity</w:t>
      </w:r>
    </w:p>
    <w:p>
      <w:pPr>
        <w:spacing w:after="60"/>
      </w:pPr>
      <w:r>
        <w:rPr>
          <w:rFonts w:ascii="Calibri" w:hAnsi="Calibri"/>
          <w:color w:val="1F2A37"/>
          <w:sz w:val="20"/>
        </w:rPr>
        <w:t xml:space="preserve">  ✓  Pre-load the platform in a browser tab so there's no loading delay when starting</w:t>
      </w:r>
    </w:p>
    <w:p>
      <w:pPr>
        <w:spacing w:after="60"/>
      </w:pPr>
      <w:r>
        <w:rPr>
          <w:rFonts w:ascii="Calibri" w:hAnsi="Calibri"/>
          <w:color w:val="1F2A37"/>
          <w:sz w:val="20"/>
        </w:rPr>
        <w:t xml:space="preserve">  ✓  If using the live Railway deployment, verify it's accessible at the URL above</w:t>
      </w:r>
    </w:p>
    <w:p>
      <w:pPr>
        <w:spacing w:before="240" w:after="120"/>
        <w:jc w:val="left"/>
      </w:pPr>
      <w:r>
        <w:rPr>
          <w:rFonts w:ascii="Calibri" w:hAnsi="Calibri"/>
          <w:b/>
          <w:i w:val="0"/>
          <w:color w:val="1E40AF"/>
          <w:sz w:val="26"/>
        </w:rPr>
        <w:t>During the Demo</w:t>
      </w:r>
    </w:p>
    <w:p>
      <w:pPr>
        <w:spacing w:after="60"/>
      </w:pPr>
      <w:r>
        <w:rPr>
          <w:rFonts w:ascii="Calibri" w:hAnsi="Calibri"/>
          <w:color w:val="1F2A37"/>
          <w:sz w:val="20"/>
        </w:rPr>
        <w:t xml:space="preserve">  ✓  AI features take 10-20 seconds to process — use this time to explain what's happening</w:t>
      </w:r>
    </w:p>
    <w:p>
      <w:pPr>
        <w:spacing w:after="60"/>
      </w:pPr>
      <w:r>
        <w:rPr>
          <w:rFonts w:ascii="Calibri" w:hAnsi="Calibri"/>
          <w:color w:val="1F2A37"/>
          <w:sz w:val="20"/>
        </w:rPr>
        <w:t xml:space="preserve">  ✓  If sanctions screening shows a 'flagged' result, explain it's a real-time check and false positives are expected (the system shows match scores for manual review)</w:t>
      </w:r>
    </w:p>
    <w:p>
      <w:pPr>
        <w:spacing w:after="60"/>
      </w:pPr>
      <w:r>
        <w:rPr>
          <w:rFonts w:ascii="Calibri" w:hAnsi="Calibri"/>
          <w:color w:val="1F2A37"/>
          <w:sz w:val="20"/>
        </w:rPr>
        <w:t xml:space="preserve">  ✓  Emphasize the 8-stage lifecycle: Discovery → Assessment → Due Diligence → Matching → Application → Review → Reporting → ERP</w:t>
      </w:r>
    </w:p>
    <w:p>
      <w:pPr>
        <w:spacing w:after="60"/>
      </w:pPr>
      <w:r>
        <w:rPr>
          <w:rFonts w:ascii="Calibri" w:hAnsi="Calibri"/>
          <w:color w:val="1F2A37"/>
          <w:sz w:val="20"/>
        </w:rPr>
        <w:t xml:space="preserve">  ✓  Key differentiators to highlight: only end-to-end platform, AI throughout, multi-language (no competitor has this), live due diligence, 5+ frameworks</w:t>
      </w:r>
    </w:p>
    <w:p>
      <w:pPr>
        <w:spacing w:before="240" w:after="120"/>
        <w:jc w:val="left"/>
      </w:pPr>
      <w:r>
        <w:rPr>
          <w:rFonts w:ascii="Calibri" w:hAnsi="Calibri"/>
          <w:b/>
          <w:i w:val="0"/>
          <w:color w:val="1E40AF"/>
          <w:sz w:val="26"/>
        </w:rPr>
        <w:t>If Something Goes Wrong</w:t>
      </w:r>
    </w:p>
    <w:p>
      <w:pPr>
        <w:spacing w:after="80"/>
      </w:pPr>
      <w:r>
        <w:rPr>
          <w:rFonts w:ascii="Calibri" w:hAnsi="Calibri"/>
          <w:b/>
          <w:color w:val="F59E0B"/>
          <w:sz w:val="20"/>
        </w:rPr>
        <w:t xml:space="preserve">  ⚠  AI is slow or times out: </w:t>
      </w:r>
      <w:r>
        <w:rPr>
          <w:rFonts w:ascii="Calibri" w:hAnsi="Calibri"/>
          <w:color w:val="1F2A37"/>
          <w:sz w:val="20"/>
        </w:rPr>
        <w:t>Explain that AI processing happens in real-time via Anthropic's Claude API. If slow, skip to next scenario and return later.</w:t>
      </w:r>
    </w:p>
    <w:p>
      <w:pPr>
        <w:spacing w:after="80"/>
      </w:pPr>
      <w:r>
        <w:rPr>
          <w:rFonts w:ascii="Calibri" w:hAnsi="Calibri"/>
          <w:b/>
          <w:color w:val="F59E0B"/>
          <w:sz w:val="20"/>
        </w:rPr>
        <w:t xml:space="preserve">  ⚠  Sanctions screening error: </w:t>
      </w:r>
      <w:r>
        <w:rPr>
          <w:rFonts w:ascii="Calibri" w:hAnsi="Calibri"/>
          <w:color w:val="1F2A37"/>
          <w:sz w:val="20"/>
        </w:rPr>
        <w:t>The system has fallback: if OpenSanctions API is down, it falls back to direct UN XML, OFAC CSV, and EU CSV file parsing.</w:t>
      </w:r>
    </w:p>
    <w:p>
      <w:pPr>
        <w:spacing w:after="80"/>
      </w:pPr>
      <w:r>
        <w:rPr>
          <w:rFonts w:ascii="Calibri" w:hAnsi="Calibri"/>
          <w:b/>
          <w:color w:val="F59E0B"/>
          <w:sz w:val="20"/>
        </w:rPr>
        <w:t xml:space="preserve">  ⚠  Session expires: </w:t>
      </w:r>
      <w:r>
        <w:rPr>
          <w:rFonts w:ascii="Calibri" w:hAnsi="Calibri"/>
          <w:color w:val="1F2A37"/>
          <w:sz w:val="20"/>
        </w:rPr>
        <w:t>Simply log back in — all saved data persists. Sessions expire after inactivity for security.</w:t>
      </w:r>
    </w:p>
    <w:p>
      <w:pPr>
        <w:spacing w:after="80"/>
      </w:pPr>
      <w:r>
        <w:rPr>
          <w:rFonts w:ascii="Calibri" w:hAnsi="Calibri"/>
          <w:b/>
          <w:color w:val="F59E0B"/>
          <w:sz w:val="20"/>
        </w:rPr>
        <w:t xml:space="preserve">  ⚠  Platform is down: </w:t>
      </w:r>
      <w:r>
        <w:rPr>
          <w:rFonts w:ascii="Calibri" w:hAnsi="Calibri"/>
          <w:color w:val="1F2A37"/>
          <w:sz w:val="20"/>
        </w:rPr>
        <w:t>Use the local development server as backup. Run: python run.py from the kuja-grant directory.</w:t>
      </w:r>
    </w:p>
    <w:p/>
    <w:p>
      <w:pPr>
        <w:jc w:val="center"/>
      </w:pPr>
      <w:r>
        <w:rPr>
          <w:color w:val="0D9488"/>
          <w:sz w:val="16"/>
        </w:rPr>
        <w:t>━━━━━━━━━━━━━━━━━━━━━━━━━━━━━━━━━━━━━━━━━━━━━━━━━━━━━━━━━━━━</w:t>
      </w:r>
    </w:p>
    <w:p>
      <w:pPr>
        <w:spacing w:before="0" w:after="120"/>
        <w:jc w:val="center"/>
      </w:pPr>
      <w:r>
        <w:rPr>
          <w:rFonts w:ascii="Calibri" w:hAnsi="Calibri"/>
          <w:b w:val="0"/>
          <w:i w:val="0"/>
          <w:color w:val="6B7280"/>
          <w:sz w:val="18"/>
        </w:rPr>
        <w:t>Kuja Grant Management  |  Built by Adeso  |  Confidential</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