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jc w:val="center"/>
      </w:pPr>
      <w:r>
        <w:rPr>
          <w:rFonts w:ascii="Calibri" w:hAnsi="Calibri"/>
          <w:b/>
          <w:color w:val="1E40AF"/>
          <w:sz w:val="72"/>
        </w:rPr>
        <w:t>KUJA GRANT PLATFORM</w:t>
      </w:r>
    </w:p>
    <w:p>
      <w:pPr>
        <w:spacing w:after="320"/>
        <w:jc w:val="center"/>
      </w:pPr>
      <w:r>
        <w:rPr>
          <w:color w:val="0D9488"/>
          <w:sz w:val="20"/>
        </w:rPr>
        <w:t>____________________________________________________________</w:t>
      </w:r>
    </w:p>
    <w:p>
      <w:pPr>
        <w:spacing w:after="480"/>
        <w:jc w:val="center"/>
      </w:pPr>
      <w:r>
        <w:rPr>
          <w:rFonts w:ascii="Calibri" w:hAnsi="Calibri"/>
          <w:color w:val="333333"/>
          <w:sz w:val="36"/>
        </w:rPr>
        <w:t>Go-to-Market Strategy 2026</w:t>
      </w:r>
    </w:p>
    <w:p>
      <w:pPr>
        <w:spacing w:after="240"/>
        <w:jc w:val="center"/>
      </w:pPr>
      <w:r>
        <w:rPr>
          <w:rFonts w:ascii="Calibri" w:hAnsi="Calibri"/>
          <w:color w:val="999999"/>
          <w:sz w:val="24"/>
        </w:rPr>
        <w:t>March 2026</w:t>
      </w:r>
    </w:p>
    <w:p>
      <w:pPr>
        <w:spacing w:after="960"/>
        <w:jc w:val="center"/>
      </w:pPr>
      <w:r>
        <w:rPr>
          <w:rFonts w:ascii="Calibri" w:hAnsi="Calibri"/>
          <w:b/>
          <w:color w:val="0D9488"/>
          <w:sz w:val="28"/>
        </w:rPr>
        <w:t>Adeso — African Development Solutions</w:t>
      </w:r>
    </w:p>
    <w:p>
      <w:pPr>
        <w:jc w:val="center"/>
      </w:pPr>
      <w:r>
        <w:rPr>
          <w:rFonts w:ascii="Calibri" w:hAnsi="Calibri"/>
          <w:b/>
          <w:color w:val="DC2626"/>
          <w:sz w:val="20"/>
        </w:rPr>
        <w:t>CONFIDENTIAL — FOR PARTNER DISCUSSIONS</w:t>
      </w:r>
    </w:p>
    <w:p>
      <w:r>
        <w:br w:type="page"/>
      </w:r>
    </w:p>
    <w:p>
      <w:pPr>
        <w:pStyle w:val="Heading1"/>
        <w:spacing w:before="360" w:after="160"/>
      </w:pPr>
      <w:r>
        <w:rPr>
          <w:rFonts w:ascii="Calibri" w:hAnsi="Calibri"/>
          <w:color w:val="1E40AF"/>
        </w:rPr>
        <w:t>Table of Contents</w:t>
      </w:r>
    </w:p>
    <w:p>
      <w:pPr>
        <w:spacing w:after="80"/>
        <w:ind w:left="283"/>
      </w:pPr>
      <w:r>
        <w:rPr>
          <w:rFonts w:ascii="Calibri" w:hAnsi="Calibri"/>
          <w:color w:val="333333"/>
          <w:sz w:val="24"/>
        </w:rPr>
        <w:t>1.   Executive Summary</w:t>
      </w:r>
    </w:p>
    <w:p>
      <w:pPr>
        <w:spacing w:after="80"/>
        <w:ind w:left="283"/>
      </w:pPr>
      <w:r>
        <w:rPr>
          <w:rFonts w:ascii="Calibri" w:hAnsi="Calibri"/>
          <w:color w:val="333333"/>
          <w:sz w:val="24"/>
        </w:rPr>
        <w:t>2.   Market Context &amp; Opportunity</w:t>
      </w:r>
    </w:p>
    <w:p>
      <w:pPr>
        <w:spacing w:after="80"/>
        <w:ind w:left="283"/>
      </w:pPr>
      <w:r>
        <w:rPr>
          <w:rFonts w:ascii="Calibri" w:hAnsi="Calibri"/>
          <w:color w:val="333333"/>
          <w:sz w:val="24"/>
        </w:rPr>
        <w:t>3.   Ideal Customer Profile</w:t>
      </w:r>
    </w:p>
    <w:p>
      <w:pPr>
        <w:spacing w:after="80"/>
        <w:ind w:left="283"/>
      </w:pPr>
      <w:r>
        <w:rPr>
          <w:rFonts w:ascii="Calibri" w:hAnsi="Calibri"/>
          <w:color w:val="333333"/>
          <w:sz w:val="24"/>
        </w:rPr>
        <w:t>4.   Value Proposition &amp; Positioning</w:t>
      </w:r>
    </w:p>
    <w:p>
      <w:pPr>
        <w:spacing w:after="80"/>
        <w:ind w:left="283"/>
      </w:pPr>
      <w:r>
        <w:rPr>
          <w:rFonts w:ascii="Calibri" w:hAnsi="Calibri"/>
          <w:color w:val="333333"/>
          <w:sz w:val="24"/>
        </w:rPr>
        <w:t>5.   Solution Overview</w:t>
      </w:r>
    </w:p>
    <w:p>
      <w:pPr>
        <w:spacing w:after="80"/>
        <w:ind w:left="283"/>
      </w:pPr>
      <w:r>
        <w:rPr>
          <w:rFonts w:ascii="Calibri" w:hAnsi="Calibri"/>
          <w:color w:val="333333"/>
          <w:sz w:val="24"/>
        </w:rPr>
        <w:t>6.   GTM Motion &amp; Sales Strategy</w:t>
      </w:r>
    </w:p>
    <w:p>
      <w:pPr>
        <w:spacing w:after="80"/>
        <w:ind w:left="283"/>
      </w:pPr>
      <w:r>
        <w:rPr>
          <w:rFonts w:ascii="Calibri" w:hAnsi="Calibri"/>
          <w:color w:val="333333"/>
          <w:sz w:val="24"/>
        </w:rPr>
        <w:t>7.   Channel &amp; Partnership Strategy</w:t>
      </w:r>
    </w:p>
    <w:p>
      <w:pPr>
        <w:spacing w:after="80"/>
        <w:ind w:left="283"/>
      </w:pPr>
      <w:r>
        <w:rPr>
          <w:rFonts w:ascii="Calibri" w:hAnsi="Calibri"/>
          <w:color w:val="333333"/>
          <w:sz w:val="24"/>
        </w:rPr>
        <w:t>8.   Competitive Landscape</w:t>
      </w:r>
    </w:p>
    <w:p>
      <w:pPr>
        <w:spacing w:after="80"/>
        <w:ind w:left="283"/>
      </w:pPr>
      <w:r>
        <w:rPr>
          <w:rFonts w:ascii="Calibri" w:hAnsi="Calibri"/>
          <w:color w:val="333333"/>
          <w:sz w:val="24"/>
        </w:rPr>
        <w:t>9.   Revenue Model &amp; Unit Economics</w:t>
      </w:r>
    </w:p>
    <w:p>
      <w:pPr>
        <w:spacing w:after="80"/>
        <w:ind w:left="283"/>
      </w:pPr>
      <w:r>
        <w:rPr>
          <w:rFonts w:ascii="Calibri" w:hAnsi="Calibri"/>
          <w:color w:val="333333"/>
          <w:sz w:val="24"/>
        </w:rPr>
        <w:t>10.   2026 Targets &amp; Milestones</w:t>
      </w:r>
    </w:p>
    <w:p>
      <w:pPr>
        <w:spacing w:after="80"/>
        <w:ind w:left="283"/>
      </w:pPr>
      <w:r>
        <w:rPr>
          <w:rFonts w:ascii="Calibri" w:hAnsi="Calibri"/>
          <w:color w:val="333333"/>
          <w:sz w:val="24"/>
        </w:rPr>
        <w:t>11.   Team &amp; Traction</w:t>
      </w:r>
    </w:p>
    <w:p>
      <w:pPr>
        <w:spacing w:after="80"/>
        <w:ind w:left="283"/>
      </w:pPr>
      <w:r>
        <w:rPr>
          <w:rFonts w:ascii="Calibri" w:hAnsi="Calibri"/>
          <w:color w:val="333333"/>
          <w:sz w:val="24"/>
        </w:rPr>
        <w:t>12.   The Ask</w:t>
      </w:r>
    </w:p>
    <w:p>
      <w:r>
        <w:br w:type="page"/>
      </w:r>
    </w:p>
    <w:p>
      <w:pPr>
        <w:pStyle w:val="Heading1"/>
        <w:spacing w:before="360" w:after="160"/>
      </w:pPr>
      <w:r>
        <w:rPr>
          <w:rFonts w:ascii="Calibri" w:hAnsi="Calibri"/>
          <w:color w:val="1E40AF"/>
        </w:rPr>
        <w:t>1. Executive Summary</w:t>
      </w:r>
    </w:p>
    <w:p>
      <w:pPr>
        <w:spacing w:after="120" w:line="300" w:lineRule="exact"/>
      </w:pPr>
      <w:r>
        <w:rPr>
          <w:rFonts w:ascii="Calibri" w:hAnsi="Calibri"/>
          <w:b w:val="0"/>
          <w:i w:val="0"/>
          <w:color w:val="333333"/>
          <w:sz w:val="21"/>
        </w:rPr>
        <w:t>The $2.75B grant management software market—growing to $4.79B by 2030 at 10.3% CAGR—has no solution designed for the Global South. The 2025 USAID dissolution (83% of programs cancelled, $36B in aid cuts) has created urgent demand for diversified funding infrastructure that does not yet exist.</w:t>
      </w:r>
    </w:p>
    <w:p>
      <w:pPr>
        <w:spacing w:after="120" w:line="300" w:lineRule="exact"/>
      </w:pPr>
      <w:r>
        <w:rPr>
          <w:rFonts w:ascii="Calibri" w:hAnsi="Calibri"/>
          <w:b w:val="0"/>
          <w:i w:val="0"/>
          <w:color w:val="333333"/>
          <w:sz w:val="21"/>
        </w:rPr>
        <w:t>Kuja is the first AI-powered end-to-end grant management platform purpose-built for the Global South. Incubated by Adeso (30+ years in humanitarian work, co-founder of NEAR Network), Kuja spans 8 integrated lifecycle stages from marketplace discovery to ERP operations. It is the only platform combining marketplace, capacity assessment, grant management, AI-powered analysis, and ERP in a single solution.</w:t>
      </w:r>
    </w:p>
    <w:p>
      <w:pPr>
        <w:spacing w:after="120" w:line="300" w:lineRule="exact"/>
      </w:pPr>
      <w:r>
        <w:rPr>
          <w:rFonts w:ascii="Calibri" w:hAnsi="Calibri"/>
          <w:b w:val="0"/>
          <w:i w:val="0"/>
          <w:color w:val="333333"/>
          <w:sz w:val="21"/>
        </w:rPr>
        <w:t>600+ marketplace users, 200+ organizations, 8 pipeline partners, platform live at https://web-production-6f8a.up.railway.app. 2026 revenue target: $1M. Path to profitability at $2M+ ARR by 2029.</w:t>
      </w:r>
    </w:p>
    <w:p>
      <w:r>
        <w:br w:type="page"/>
      </w:r>
    </w:p>
    <w:p>
      <w:pPr>
        <w:pStyle w:val="Heading1"/>
        <w:spacing w:before="360" w:after="160"/>
      </w:pPr>
      <w:r>
        <w:rPr>
          <w:rFonts w:ascii="Calibri" w:hAnsi="Calibri"/>
          <w:color w:val="1E40AF"/>
        </w:rPr>
        <w:t>2. Market Context &amp; Opportunity</w:t>
      </w:r>
    </w:p>
    <w:p>
      <w:pPr>
        <w:pStyle w:val="Heading2"/>
        <w:spacing w:before="280" w:after="120"/>
      </w:pPr>
      <w:r>
        <w:rPr>
          <w:rFonts w:ascii="Calibri" w:hAnsi="Calibri"/>
          <w:color w:val="0D9488"/>
        </w:rPr>
        <w:t>Why Now: Three Convergent Forces</w:t>
      </w:r>
    </w:p>
    <w:p>
      <w:pPr>
        <w:spacing w:after="120" w:line="300" w:lineRule="exact"/>
      </w:pPr>
      <w:r>
        <w:rPr>
          <w:rFonts w:ascii="Calibri" w:hAnsi="Calibri"/>
          <w:b/>
          <w:color w:val="1E40AF"/>
          <w:sz w:val="21"/>
        </w:rPr>
        <w:t xml:space="preserve">1. USAID Disruption: </w:t>
      </w:r>
      <w:r>
        <w:rPr>
          <w:rFonts w:ascii="Calibri" w:hAnsi="Calibri"/>
          <w:color w:val="333333"/>
          <w:sz w:val="21"/>
        </w:rPr>
        <w:t>83% of programs cancelled (March 2025), $36B in aid cuts, 81+ NGOs closed field offices. Organizations need alternative funding pathways immediately.</w:t>
      </w:r>
    </w:p>
    <w:p>
      <w:pPr>
        <w:spacing w:after="120" w:line="300" w:lineRule="exact"/>
      </w:pPr>
      <w:r>
        <w:rPr>
          <w:rFonts w:ascii="Calibri" w:hAnsi="Calibri"/>
          <w:b/>
          <w:color w:val="1E40AF"/>
          <w:sz w:val="21"/>
        </w:rPr>
        <w:t xml:space="preserve">2. Localization Imperative: </w:t>
      </w:r>
      <w:r>
        <w:rPr>
          <w:rFonts w:ascii="Calibri" w:hAnsi="Calibri"/>
          <w:color w:val="333333"/>
          <w:sz w:val="21"/>
        </w:rPr>
        <w:t>Grand Bargain 2.0 commits to 25% direct funding to local actors — the actual figure remains below 5%. New infrastructure is needed to close this gap.</w:t>
      </w:r>
    </w:p>
    <w:p>
      <w:pPr>
        <w:spacing w:after="120" w:line="300" w:lineRule="exact"/>
      </w:pPr>
      <w:r>
        <w:rPr>
          <w:rFonts w:ascii="Calibri" w:hAnsi="Calibri"/>
          <w:b/>
          <w:color w:val="1E40AF"/>
          <w:sz w:val="21"/>
        </w:rPr>
        <w:t xml:space="preserve">3. AI Readiness: </w:t>
      </w:r>
      <w:r>
        <w:rPr>
          <w:rFonts w:ascii="Calibri" w:hAnsi="Calibri"/>
          <w:color w:val="333333"/>
          <w:sz w:val="21"/>
        </w:rPr>
        <w:t>90% of nonprofits and 94% of foundations want to expand AI use (CEP “AI With Purpose” 2025). The sector is ready for intelligent automation.</w:t>
      </w:r>
    </w:p>
    <w:p>
      <w:pPr>
        <w:pStyle w:val="Heading2"/>
        <w:spacing w:before="280" w:after="120"/>
      </w:pPr>
      <w:r>
        <w:rPr>
          <w:rFonts w:ascii="Calibri" w:hAnsi="Calibri"/>
          <w:color w:val="0D9488"/>
        </w:rPr>
        <w:t>Total Addressable Market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Metric</w:t>
            </w:r>
          </w:p>
        </w:tc>
        <w:tc>
          <w:tcPr>
            <w:tcW w:type="dxa" w:w="3135"/>
            <w:shd w:fill="1E40AF" w:val="clear"/>
          </w:tcPr>
          <w:p>
            <w:pPr>
              <w:spacing w:before="40" w:after="40"/>
            </w:pPr>
            <w:r/>
            <w:r>
              <w:rPr>
                <w:rFonts w:ascii="Calibri" w:hAnsi="Calibri"/>
                <w:b/>
                <w:color w:val="FFFFFF"/>
                <w:sz w:val="18"/>
              </w:rPr>
              <w:t>Value</w:t>
            </w:r>
          </w:p>
        </w:tc>
        <w:tc>
          <w:tcPr>
            <w:tcW w:type="dxa" w:w="3135"/>
            <w:shd w:fill="1E40AF" w:val="clear"/>
          </w:tcPr>
          <w:p>
            <w:pPr>
              <w:spacing w:before="40" w:after="40"/>
            </w:pPr>
            <w:r/>
            <w:r>
              <w:rPr>
                <w:rFonts w:ascii="Calibri" w:hAnsi="Calibri"/>
                <w:b/>
                <w:color w:val="FFFFFF"/>
                <w:sz w:val="18"/>
              </w:rPr>
              <w:t>Source</w:t>
            </w:r>
          </w:p>
        </w:tc>
      </w:tr>
      <w:tr>
        <w:tc>
          <w:tcPr>
            <w:tcW w:type="dxa" w:w="3135"/>
          </w:tcPr>
          <w:p>
            <w:pPr>
              <w:spacing w:before="40" w:after="40"/>
            </w:pPr>
            <w:r/>
            <w:r>
              <w:rPr>
                <w:rFonts w:ascii="Calibri" w:hAnsi="Calibri"/>
                <w:b w:val="0"/>
                <w:color w:val="333333"/>
                <w:sz w:val="18"/>
              </w:rPr>
              <w:t>Total Addressable Market (2024)</w:t>
            </w:r>
          </w:p>
        </w:tc>
        <w:tc>
          <w:tcPr>
            <w:tcW w:type="dxa" w:w="3135"/>
          </w:tcPr>
          <w:p>
            <w:pPr>
              <w:spacing w:before="40" w:after="40"/>
            </w:pPr>
            <w:r/>
            <w:r>
              <w:rPr>
                <w:rFonts w:ascii="Calibri" w:hAnsi="Calibri"/>
                <w:b w:val="0"/>
                <w:color w:val="333333"/>
                <w:sz w:val="18"/>
              </w:rPr>
              <w:t>$2.75B</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TAM Projected (2030)</w:t>
            </w:r>
          </w:p>
        </w:tc>
        <w:tc>
          <w:tcPr>
            <w:tcW w:type="dxa" w:w="3135"/>
            <w:shd w:fill="F0F7FF" w:val="clear"/>
          </w:tcPr>
          <w:p>
            <w:pPr>
              <w:spacing w:before="40" w:after="40"/>
            </w:pPr>
            <w:r/>
            <w:r>
              <w:rPr>
                <w:rFonts w:ascii="Calibri" w:hAnsi="Calibri"/>
                <w:b w:val="0"/>
                <w:color w:val="333333"/>
                <w:sz w:val="18"/>
              </w:rPr>
              <w:t>$4.79B (10.3% CAGR)</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Serviceable Available Market</w:t>
            </w:r>
          </w:p>
        </w:tc>
        <w:tc>
          <w:tcPr>
            <w:tcW w:type="dxa" w:w="3135"/>
          </w:tcPr>
          <w:p>
            <w:pPr>
              <w:spacing w:before="40" w:after="40"/>
            </w:pPr>
            <w:r/>
            <w:r>
              <w:rPr>
                <w:rFonts w:ascii="Calibri" w:hAnsi="Calibri"/>
                <w:b w:val="0"/>
                <w:color w:val="333333"/>
                <w:sz w:val="18"/>
              </w:rPr>
              <w:t>~$1.6B (NGO segment, 58.2%)</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Serviceable Obtainable Market (2026)</w:t>
            </w:r>
          </w:p>
        </w:tc>
        <w:tc>
          <w:tcPr>
            <w:tcW w:type="dxa" w:w="3135"/>
            <w:shd w:fill="F0F7FF" w:val="clear"/>
          </w:tcPr>
          <w:p>
            <w:pPr>
              <w:spacing w:before="40" w:after="40"/>
            </w:pPr>
            <w:r/>
            <w:r>
              <w:rPr>
                <w:rFonts w:ascii="Calibri" w:hAnsi="Calibri"/>
                <w:b w:val="0"/>
                <w:color w:val="333333"/>
                <w:sz w:val="18"/>
              </w:rPr>
              <w:t>$1M (Year 1 target)</w:t>
            </w:r>
          </w:p>
        </w:tc>
        <w:tc>
          <w:tcPr>
            <w:tcW w:type="dxa" w:w="3135"/>
            <w:shd w:fill="F0F7FF" w:val="clear"/>
          </w:tcPr>
          <w:p>
            <w:pPr>
              <w:spacing w:before="40" w:after="40"/>
            </w:pPr>
            <w:r/>
            <w:r>
              <w:rPr>
                <w:rFonts w:ascii="Calibri" w:hAnsi="Calibri"/>
                <w:b w:val="0"/>
                <w:color w:val="333333"/>
                <w:sz w:val="18"/>
              </w:rPr>
              <w:t>Internal projections</w:t>
            </w:r>
          </w:p>
        </w:tc>
      </w:tr>
      <w:tr>
        <w:tc>
          <w:tcPr>
            <w:tcW w:type="dxa" w:w="3135"/>
          </w:tcPr>
          <w:p>
            <w:pPr>
              <w:spacing w:before="40" w:after="40"/>
            </w:pPr>
            <w:r/>
            <w:r>
              <w:rPr>
                <w:rFonts w:ascii="Calibri" w:hAnsi="Calibri"/>
                <w:b w:val="0"/>
                <w:color w:val="333333"/>
                <w:sz w:val="18"/>
              </w:rPr>
              <w:t>SOM Target (2029)</w:t>
            </w:r>
          </w:p>
        </w:tc>
        <w:tc>
          <w:tcPr>
            <w:tcW w:type="dxa" w:w="3135"/>
          </w:tcPr>
          <w:p>
            <w:pPr>
              <w:spacing w:before="40" w:after="40"/>
            </w:pPr>
            <w:r/>
            <w:r>
              <w:rPr>
                <w:rFonts w:ascii="Calibri" w:hAnsi="Calibri"/>
                <w:b w:val="0"/>
                <w:color w:val="333333"/>
                <w:sz w:val="18"/>
              </w:rPr>
              <w:t>$2M+ ARR</w:t>
            </w:r>
          </w:p>
        </w:tc>
        <w:tc>
          <w:tcPr>
            <w:tcW w:type="dxa" w:w="3135"/>
          </w:tcPr>
          <w:p>
            <w:pPr>
              <w:spacing w:before="40" w:after="40"/>
            </w:pPr>
            <w:r/>
            <w:r>
              <w:rPr>
                <w:rFonts w:ascii="Calibri" w:hAnsi="Calibri"/>
                <w:b w:val="0"/>
                <w:color w:val="333333"/>
                <w:sz w:val="18"/>
              </w:rPr>
              <w:t>Internal projections</w:t>
            </w:r>
          </w:p>
        </w:tc>
      </w:tr>
    </w:tbl>
    <w:p>
      <w:r>
        <w:br w:type="page"/>
      </w:r>
    </w:p>
    <w:p>
      <w:pPr>
        <w:pStyle w:val="Heading1"/>
        <w:spacing w:before="360" w:after="160"/>
      </w:pPr>
      <w:r>
        <w:rPr>
          <w:rFonts w:ascii="Calibri" w:hAnsi="Calibri"/>
          <w:color w:val="1E40AF"/>
        </w:rPr>
        <w:t>3. Ideal Customer Profile</w:t>
      </w:r>
    </w:p>
    <w:p>
      <w:pPr>
        <w:pStyle w:val="Heading2"/>
        <w:spacing w:before="280" w:after="120"/>
      </w:pPr>
      <w:r>
        <w:rPr>
          <w:rFonts w:ascii="Calibri" w:hAnsi="Calibri"/>
          <w:color w:val="0D9488"/>
        </w:rPr>
        <w:t>Segment A — Local CSOs/NGOs (Primary)</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Attribute</w:t>
            </w:r>
          </w:p>
        </w:tc>
        <w:tc>
          <w:tcPr>
            <w:tcW w:type="dxa" w:w="4703"/>
            <w:shd w:fill="1E40AF" w:val="clear"/>
          </w:tcPr>
          <w:p>
            <w:pPr>
              <w:spacing w:before="40" w:after="40"/>
            </w:pPr>
            <w:r/>
            <w:r>
              <w:rPr>
                <w:rFonts w:ascii="Calibri" w:hAnsi="Calibri"/>
                <w:b/>
                <w:color w:val="FFFFFF"/>
                <w:sz w:val="18"/>
              </w:rPr>
              <w:t>Profile</w:t>
            </w:r>
          </w:p>
        </w:tc>
      </w:tr>
      <w:tr>
        <w:tc>
          <w:tcPr>
            <w:tcW w:type="dxa" w:w="4703"/>
          </w:tcPr>
          <w:p>
            <w:pPr>
              <w:spacing w:before="40" w:after="40"/>
            </w:pPr>
            <w:r/>
            <w:r>
              <w:rPr>
                <w:rFonts w:ascii="Calibri" w:hAnsi="Calibri"/>
                <w:b w:val="0"/>
                <w:color w:val="333333"/>
                <w:sz w:val="18"/>
              </w:rPr>
              <w:t>Organization size</w:t>
            </w:r>
          </w:p>
        </w:tc>
        <w:tc>
          <w:tcPr>
            <w:tcW w:type="dxa" w:w="4703"/>
          </w:tcPr>
          <w:p>
            <w:pPr>
              <w:spacing w:before="40" w:after="40"/>
            </w:pPr>
            <w:r/>
            <w:r>
              <w:rPr>
                <w:rFonts w:ascii="Calibri" w:hAnsi="Calibri"/>
                <w:b w:val="0"/>
                <w:color w:val="333333"/>
                <w:sz w:val="18"/>
              </w:rPr>
              <w:t>10–100 staff, $500K–$5M annual budget</w:t>
            </w:r>
          </w:p>
        </w:tc>
      </w:tr>
      <w:tr>
        <w:tc>
          <w:tcPr>
            <w:tcW w:type="dxa" w:w="4703"/>
            <w:shd w:fill="F0F7FF" w:val="clear"/>
          </w:tcPr>
          <w:p>
            <w:pPr>
              <w:spacing w:before="40" w:after="40"/>
            </w:pPr>
            <w:r/>
            <w:r>
              <w:rPr>
                <w:rFonts w:ascii="Calibri" w:hAnsi="Calibri"/>
                <w:b w:val="0"/>
                <w:color w:val="333333"/>
                <w:sz w:val="18"/>
              </w:rPr>
              <w:t>Current state</w:t>
            </w:r>
          </w:p>
        </w:tc>
        <w:tc>
          <w:tcPr>
            <w:tcW w:type="dxa" w:w="4703"/>
            <w:shd w:fill="F0F7FF" w:val="clear"/>
          </w:tcPr>
          <w:p>
            <w:pPr>
              <w:spacing w:before="40" w:after="40"/>
            </w:pPr>
            <w:r/>
            <w:r>
              <w:rPr>
                <w:rFonts w:ascii="Calibri" w:hAnsi="Calibri"/>
                <w:b w:val="0"/>
                <w:color w:val="333333"/>
                <w:sz w:val="18"/>
              </w:rPr>
              <w:t>Managing 3–5 donor relationships manually</w:t>
            </w:r>
          </w:p>
        </w:tc>
      </w:tr>
      <w:tr>
        <w:tc>
          <w:tcPr>
            <w:tcW w:type="dxa" w:w="4703"/>
          </w:tcPr>
          <w:p>
            <w:pPr>
              <w:spacing w:before="40" w:after="40"/>
            </w:pPr>
            <w:r/>
            <w:r>
              <w:rPr>
                <w:rFonts w:ascii="Calibri" w:hAnsi="Calibri"/>
                <w:b w:val="0"/>
                <w:color w:val="333333"/>
                <w:sz w:val="18"/>
              </w:rPr>
              <w:t>Pain points</w:t>
            </w:r>
          </w:p>
        </w:tc>
        <w:tc>
          <w:tcPr>
            <w:tcW w:type="dxa" w:w="4703"/>
          </w:tcPr>
          <w:p>
            <w:pPr>
              <w:spacing w:before="40" w:after="40"/>
            </w:pPr>
            <w:r/>
            <w:r>
              <w:rPr>
                <w:rFonts w:ascii="Calibri" w:hAnsi="Calibri"/>
                <w:b w:val="0"/>
                <w:color w:val="333333"/>
                <w:sz w:val="18"/>
              </w:rPr>
              <w:t>30%+ staff time on compliance, 4–12 duplicate assessments/year, invisible to donors</w:t>
            </w:r>
          </w:p>
        </w:tc>
      </w:tr>
      <w:tr>
        <w:tc>
          <w:tcPr>
            <w:tcW w:type="dxa" w:w="4703"/>
            <w:shd w:fill="F0F7FF" w:val="clear"/>
          </w:tcPr>
          <w:p>
            <w:pPr>
              <w:spacing w:before="40" w:after="40"/>
            </w:pPr>
            <w:r/>
            <w:r>
              <w:rPr>
                <w:rFonts w:ascii="Calibri" w:hAnsi="Calibri"/>
                <w:b w:val="0"/>
                <w:color w:val="333333"/>
                <w:sz w:val="18"/>
              </w:rPr>
              <w:t>Buying triggers</w:t>
            </w:r>
          </w:p>
        </w:tc>
        <w:tc>
          <w:tcPr>
            <w:tcW w:type="dxa" w:w="4703"/>
            <w:shd w:fill="F0F7FF" w:val="clear"/>
          </w:tcPr>
          <w:p>
            <w:pPr>
              <w:spacing w:before="40" w:after="40"/>
            </w:pPr>
            <w:r/>
            <w:r>
              <w:rPr>
                <w:rFonts w:ascii="Calibri" w:hAnsi="Calibri"/>
                <w:b w:val="0"/>
                <w:color w:val="333333"/>
                <w:sz w:val="18"/>
              </w:rPr>
              <w:t>New grant opportunity, failed audit, USAID funding loss</w:t>
            </w:r>
          </w:p>
        </w:tc>
      </w:tr>
      <w:tr>
        <w:tc>
          <w:tcPr>
            <w:tcW w:type="dxa" w:w="4703"/>
          </w:tcPr>
          <w:p>
            <w:pPr>
              <w:spacing w:before="40" w:after="40"/>
            </w:pPr>
            <w:r/>
            <w:r>
              <w:rPr>
                <w:rFonts w:ascii="Calibri" w:hAnsi="Calibri"/>
                <w:b w:val="0"/>
                <w:color w:val="333333"/>
                <w:sz w:val="18"/>
              </w:rPr>
              <w:t>Decision maker</w:t>
            </w:r>
          </w:p>
        </w:tc>
        <w:tc>
          <w:tcPr>
            <w:tcW w:type="dxa" w:w="4703"/>
          </w:tcPr>
          <w:p>
            <w:pPr>
              <w:spacing w:before="40" w:after="40"/>
            </w:pPr>
            <w:r/>
            <w:r>
              <w:rPr>
                <w:rFonts w:ascii="Calibri" w:hAnsi="Calibri"/>
                <w:b w:val="0"/>
                <w:color w:val="333333"/>
                <w:sz w:val="18"/>
              </w:rPr>
              <w:t>Executive Director or Finance Director</w:t>
            </w:r>
          </w:p>
        </w:tc>
      </w:tr>
      <w:tr>
        <w:tc>
          <w:tcPr>
            <w:tcW w:type="dxa" w:w="4703"/>
            <w:shd w:fill="F0F7FF" w:val="clear"/>
          </w:tcPr>
          <w:p>
            <w:pPr>
              <w:spacing w:before="40" w:after="40"/>
            </w:pPr>
            <w:r/>
            <w:r>
              <w:rPr>
                <w:rFonts w:ascii="Calibri" w:hAnsi="Calibri"/>
                <w:b w:val="0"/>
                <w:color w:val="333333"/>
                <w:sz w:val="18"/>
              </w:rPr>
              <w:t>Deal size</w:t>
            </w:r>
          </w:p>
        </w:tc>
        <w:tc>
          <w:tcPr>
            <w:tcW w:type="dxa" w:w="4703"/>
            <w:shd w:fill="F0F7FF" w:val="clear"/>
          </w:tcPr>
          <w:p>
            <w:pPr>
              <w:spacing w:before="40" w:after="40"/>
            </w:pPr>
            <w:r/>
            <w:r>
              <w:rPr>
                <w:rFonts w:ascii="Calibri" w:hAnsi="Calibri"/>
                <w:b w:val="0"/>
                <w:color w:val="333333"/>
                <w:sz w:val="18"/>
              </w:rPr>
              <w:t>Free tier → $2,500–$5,000/year (assessment + matching)</w:t>
            </w:r>
          </w:p>
        </w:tc>
      </w:tr>
    </w:tbl>
    <w:p>
      <w:pPr>
        <w:pStyle w:val="Heading2"/>
        <w:spacing w:before="280" w:after="120"/>
      </w:pPr>
      <w:r>
        <w:rPr>
          <w:rFonts w:ascii="Calibri" w:hAnsi="Calibri"/>
          <w:color w:val="0D9488"/>
        </w:rPr>
        <w:t>Segment B — Donors &amp; INGOs (Secondary)</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Attribute</w:t>
            </w:r>
          </w:p>
        </w:tc>
        <w:tc>
          <w:tcPr>
            <w:tcW w:type="dxa" w:w="4703"/>
            <w:shd w:fill="1E40AF" w:val="clear"/>
          </w:tcPr>
          <w:p>
            <w:pPr>
              <w:spacing w:before="40" w:after="40"/>
            </w:pPr>
            <w:r/>
            <w:r>
              <w:rPr>
                <w:rFonts w:ascii="Calibri" w:hAnsi="Calibri"/>
                <w:b/>
                <w:color w:val="FFFFFF"/>
                <w:sz w:val="18"/>
              </w:rPr>
              <w:t>Profile</w:t>
            </w:r>
          </w:p>
        </w:tc>
      </w:tr>
      <w:tr>
        <w:tc>
          <w:tcPr>
            <w:tcW w:type="dxa" w:w="4703"/>
          </w:tcPr>
          <w:p>
            <w:pPr>
              <w:spacing w:before="40" w:after="40"/>
            </w:pPr>
            <w:r/>
            <w:r>
              <w:rPr>
                <w:rFonts w:ascii="Calibri" w:hAnsi="Calibri"/>
                <w:b w:val="0"/>
                <w:color w:val="333333"/>
                <w:sz w:val="18"/>
              </w:rPr>
              <w:t>Organization type</w:t>
            </w:r>
          </w:p>
        </w:tc>
        <w:tc>
          <w:tcPr>
            <w:tcW w:type="dxa" w:w="4703"/>
          </w:tcPr>
          <w:p>
            <w:pPr>
              <w:spacing w:before="40" w:after="40"/>
            </w:pPr>
            <w:r/>
            <w:r>
              <w:rPr>
                <w:rFonts w:ascii="Calibri" w:hAnsi="Calibri"/>
                <w:b w:val="0"/>
                <w:color w:val="333333"/>
                <w:sz w:val="18"/>
              </w:rPr>
              <w:t>Foundations, bilateral donors, INGOs seeking local grantees</w:t>
            </w:r>
          </w:p>
        </w:tc>
      </w:tr>
      <w:tr>
        <w:tc>
          <w:tcPr>
            <w:tcW w:type="dxa" w:w="4703"/>
            <w:shd w:fill="F0F7FF" w:val="clear"/>
          </w:tcPr>
          <w:p>
            <w:pPr>
              <w:spacing w:before="40" w:after="40"/>
            </w:pPr>
            <w:r/>
            <w:r>
              <w:rPr>
                <w:rFonts w:ascii="Calibri" w:hAnsi="Calibri"/>
                <w:b w:val="0"/>
                <w:color w:val="333333"/>
                <w:sz w:val="18"/>
              </w:rPr>
              <w:t>Current state</w:t>
            </w:r>
          </w:p>
        </w:tc>
        <w:tc>
          <w:tcPr>
            <w:tcW w:type="dxa" w:w="4703"/>
            <w:shd w:fill="F0F7FF" w:val="clear"/>
          </w:tcPr>
          <w:p>
            <w:pPr>
              <w:spacing w:before="40" w:after="40"/>
            </w:pPr>
            <w:r/>
            <w:r>
              <w:rPr>
                <w:rFonts w:ascii="Calibri" w:hAnsi="Calibri"/>
                <w:b w:val="0"/>
                <w:color w:val="333333"/>
                <w:sz w:val="18"/>
              </w:rPr>
              <w:t>Manual partner identification, fragmented compliance tracking</w:t>
            </w:r>
          </w:p>
        </w:tc>
      </w:tr>
      <w:tr>
        <w:tc>
          <w:tcPr>
            <w:tcW w:type="dxa" w:w="4703"/>
          </w:tcPr>
          <w:p>
            <w:pPr>
              <w:spacing w:before="40" w:after="40"/>
            </w:pPr>
            <w:r/>
            <w:r>
              <w:rPr>
                <w:rFonts w:ascii="Calibri" w:hAnsi="Calibri"/>
                <w:b w:val="0"/>
                <w:color w:val="333333"/>
                <w:sz w:val="18"/>
              </w:rPr>
              <w:t>Pain points</w:t>
            </w:r>
          </w:p>
        </w:tc>
        <w:tc>
          <w:tcPr>
            <w:tcW w:type="dxa" w:w="4703"/>
          </w:tcPr>
          <w:p>
            <w:pPr>
              <w:spacing w:before="40" w:after="40"/>
            </w:pPr>
            <w:r/>
            <w:r>
              <w:rPr>
                <w:rFonts w:ascii="Calibri" w:hAnsi="Calibri"/>
                <w:b w:val="0"/>
                <w:color w:val="333333"/>
                <w:sz w:val="18"/>
              </w:rPr>
              <w:t>Cannot find vetted local partners, high due diligence costs ($5K–$15K/org), manual compliance monitoring</w:t>
            </w:r>
          </w:p>
        </w:tc>
      </w:tr>
      <w:tr>
        <w:tc>
          <w:tcPr>
            <w:tcW w:type="dxa" w:w="4703"/>
            <w:shd w:fill="F0F7FF" w:val="clear"/>
          </w:tcPr>
          <w:p>
            <w:pPr>
              <w:spacing w:before="40" w:after="40"/>
            </w:pPr>
            <w:r/>
            <w:r>
              <w:rPr>
                <w:rFonts w:ascii="Calibri" w:hAnsi="Calibri"/>
                <w:b w:val="0"/>
                <w:color w:val="333333"/>
                <w:sz w:val="18"/>
              </w:rPr>
              <w:t>Buying triggers</w:t>
            </w:r>
          </w:p>
        </w:tc>
        <w:tc>
          <w:tcPr>
            <w:tcW w:type="dxa" w:w="4703"/>
            <w:shd w:fill="F0F7FF" w:val="clear"/>
          </w:tcPr>
          <w:p>
            <w:pPr>
              <w:spacing w:before="40" w:after="40"/>
            </w:pPr>
            <w:r/>
            <w:r>
              <w:rPr>
                <w:rFonts w:ascii="Calibri" w:hAnsi="Calibri"/>
                <w:b w:val="0"/>
                <w:color w:val="333333"/>
                <w:sz w:val="18"/>
              </w:rPr>
              <w:t>Localization mandate, grant cycle launch, portfolio expansion</w:t>
            </w:r>
          </w:p>
        </w:tc>
      </w:tr>
      <w:tr>
        <w:tc>
          <w:tcPr>
            <w:tcW w:type="dxa" w:w="4703"/>
          </w:tcPr>
          <w:p>
            <w:pPr>
              <w:spacing w:before="40" w:after="40"/>
            </w:pPr>
            <w:r/>
            <w:r>
              <w:rPr>
                <w:rFonts w:ascii="Calibri" w:hAnsi="Calibri"/>
                <w:b w:val="0"/>
                <w:color w:val="333333"/>
                <w:sz w:val="18"/>
              </w:rPr>
              <w:t>Decision maker</w:t>
            </w:r>
          </w:p>
        </w:tc>
        <w:tc>
          <w:tcPr>
            <w:tcW w:type="dxa" w:w="4703"/>
          </w:tcPr>
          <w:p>
            <w:pPr>
              <w:spacing w:before="40" w:after="40"/>
            </w:pPr>
            <w:r/>
            <w:r>
              <w:rPr>
                <w:rFonts w:ascii="Calibri" w:hAnsi="Calibri"/>
                <w:b w:val="0"/>
                <w:color w:val="333333"/>
                <w:sz w:val="18"/>
              </w:rPr>
              <w:t>Grants Director or Program Officer</w:t>
            </w:r>
          </w:p>
        </w:tc>
      </w:tr>
      <w:tr>
        <w:tc>
          <w:tcPr>
            <w:tcW w:type="dxa" w:w="4703"/>
            <w:shd w:fill="F0F7FF" w:val="clear"/>
          </w:tcPr>
          <w:p>
            <w:pPr>
              <w:spacing w:before="40" w:after="40"/>
            </w:pPr>
            <w:r/>
            <w:r>
              <w:rPr>
                <w:rFonts w:ascii="Calibri" w:hAnsi="Calibri"/>
                <w:b w:val="0"/>
                <w:color w:val="333333"/>
                <w:sz w:val="18"/>
              </w:rPr>
              <w:t>Deal size</w:t>
            </w:r>
          </w:p>
        </w:tc>
        <w:tc>
          <w:tcPr>
            <w:tcW w:type="dxa" w:w="4703"/>
            <w:shd w:fill="F0F7FF" w:val="clear"/>
          </w:tcPr>
          <w:p>
            <w:pPr>
              <w:spacing w:before="40" w:after="40"/>
            </w:pPr>
            <w:r/>
            <w:r>
              <w:rPr>
                <w:rFonts w:ascii="Calibri" w:hAnsi="Calibri"/>
                <w:b w:val="0"/>
                <w:color w:val="333333"/>
                <w:sz w:val="18"/>
              </w:rPr>
              <w:t>$10,000–$20,000/year (application portal)</w:t>
            </w:r>
          </w:p>
        </w:tc>
      </w:tr>
    </w:tbl>
    <w:p>
      <w:pPr>
        <w:pStyle w:val="Heading2"/>
        <w:spacing w:before="280" w:after="120"/>
      </w:pPr>
      <w:r>
        <w:rPr>
          <w:rFonts w:ascii="Calibri" w:hAnsi="Calibri"/>
          <w:color w:val="0D9488"/>
        </w:rPr>
        <w:t>Segment C — CSO Networks (Channel Partners)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Attribute</w:t>
            </w:r>
          </w:p>
        </w:tc>
        <w:tc>
          <w:tcPr>
            <w:tcW w:type="dxa" w:w="4703"/>
            <w:shd w:fill="1E40AF" w:val="clear"/>
          </w:tcPr>
          <w:p>
            <w:pPr>
              <w:spacing w:before="40" w:after="40"/>
            </w:pPr>
            <w:r/>
            <w:r>
              <w:rPr>
                <w:rFonts w:ascii="Calibri" w:hAnsi="Calibri"/>
                <w:b/>
                <w:color w:val="FFFFFF"/>
                <w:sz w:val="18"/>
              </w:rPr>
              <w:t>Profile</w:t>
            </w:r>
          </w:p>
        </w:tc>
      </w:tr>
      <w:tr>
        <w:tc>
          <w:tcPr>
            <w:tcW w:type="dxa" w:w="4703"/>
          </w:tcPr>
          <w:p>
            <w:pPr>
              <w:spacing w:before="40" w:after="40"/>
            </w:pPr>
            <w:r/>
            <w:r>
              <w:rPr>
                <w:rFonts w:ascii="Calibri" w:hAnsi="Calibri"/>
                <w:b w:val="0"/>
                <w:color w:val="333333"/>
                <w:sz w:val="18"/>
              </w:rPr>
              <w:t>Organization type</w:t>
            </w:r>
          </w:p>
        </w:tc>
        <w:tc>
          <w:tcPr>
            <w:tcW w:type="dxa" w:w="4703"/>
          </w:tcPr>
          <w:p>
            <w:pPr>
              <w:spacing w:before="40" w:after="40"/>
            </w:pPr>
            <w:r/>
            <w:r>
              <w:rPr>
                <w:rFonts w:ascii="Calibri" w:hAnsi="Calibri"/>
                <w:b w:val="0"/>
                <w:color w:val="333333"/>
                <w:sz w:val="18"/>
              </w:rPr>
              <w:t>National/regional CSO umbrella networks</w:t>
            </w:r>
          </w:p>
        </w:tc>
      </w:tr>
      <w:tr>
        <w:tc>
          <w:tcPr>
            <w:tcW w:type="dxa" w:w="4703"/>
            <w:shd w:fill="F0F7FF" w:val="clear"/>
          </w:tcPr>
          <w:p>
            <w:pPr>
              <w:spacing w:before="40" w:after="40"/>
            </w:pPr>
            <w:r/>
            <w:r>
              <w:rPr>
                <w:rFonts w:ascii="Calibri" w:hAnsi="Calibri"/>
                <w:b w:val="0"/>
                <w:color w:val="333333"/>
                <w:sz w:val="18"/>
              </w:rPr>
              <w:t>Network size</w:t>
            </w:r>
          </w:p>
        </w:tc>
        <w:tc>
          <w:tcPr>
            <w:tcW w:type="dxa" w:w="4703"/>
            <w:shd w:fill="F0F7FF" w:val="clear"/>
          </w:tcPr>
          <w:p>
            <w:pPr>
              <w:spacing w:before="40" w:after="40"/>
            </w:pPr>
            <w:r/>
            <w:r>
              <w:rPr>
                <w:rFonts w:ascii="Calibri" w:hAnsi="Calibri"/>
                <w:b w:val="0"/>
                <w:color w:val="333333"/>
                <w:sz w:val="18"/>
              </w:rPr>
              <w:t>50–500+ member organizations</w:t>
            </w:r>
          </w:p>
        </w:tc>
      </w:tr>
      <w:tr>
        <w:tc>
          <w:tcPr>
            <w:tcW w:type="dxa" w:w="4703"/>
          </w:tcPr>
          <w:p>
            <w:pPr>
              <w:spacing w:before="40" w:after="40"/>
            </w:pPr>
            <w:r/>
            <w:r>
              <w:rPr>
                <w:rFonts w:ascii="Calibri" w:hAnsi="Calibri"/>
                <w:b w:val="0"/>
                <w:color w:val="333333"/>
                <w:sz w:val="18"/>
              </w:rPr>
              <w:t>Value to Kuja</w:t>
            </w:r>
          </w:p>
        </w:tc>
        <w:tc>
          <w:tcPr>
            <w:tcW w:type="dxa" w:w="4703"/>
          </w:tcPr>
          <w:p>
            <w:pPr>
              <w:spacing w:before="40" w:after="40"/>
            </w:pPr>
            <w:r/>
            <w:r>
              <w:rPr>
                <w:rFonts w:ascii="Calibri" w:hAnsi="Calibri"/>
                <w:b w:val="0"/>
                <w:color w:val="333333"/>
                <w:sz w:val="18"/>
              </w:rPr>
              <w:t>Distribution channel — each MOU provides access to full membership base</w:t>
            </w:r>
          </w:p>
        </w:tc>
      </w:tr>
      <w:tr>
        <w:tc>
          <w:tcPr>
            <w:tcW w:type="dxa" w:w="4703"/>
            <w:shd w:fill="F0F7FF" w:val="clear"/>
          </w:tcPr>
          <w:p>
            <w:pPr>
              <w:spacing w:before="40" w:after="40"/>
            </w:pPr>
            <w:r/>
            <w:r>
              <w:rPr>
                <w:rFonts w:ascii="Calibri" w:hAnsi="Calibri"/>
                <w:b w:val="0"/>
                <w:color w:val="333333"/>
                <w:sz w:val="18"/>
              </w:rPr>
              <w:t>Incentive</w:t>
            </w:r>
          </w:p>
        </w:tc>
        <w:tc>
          <w:tcPr>
            <w:tcW w:type="dxa" w:w="4703"/>
            <w:shd w:fill="F0F7FF" w:val="clear"/>
          </w:tcPr>
          <w:p>
            <w:pPr>
              <w:spacing w:before="40" w:after="40"/>
            </w:pPr>
            <w:r/>
            <w:r>
              <w:rPr>
                <w:rFonts w:ascii="Calibri" w:hAnsi="Calibri"/>
                <w:b w:val="0"/>
                <w:color w:val="333333"/>
                <w:sz w:val="18"/>
              </w:rPr>
              <w:t>Revenue share on ERP reselling to members, joint donor proposals</w:t>
            </w:r>
          </w:p>
        </w:tc>
      </w:tr>
      <w:tr>
        <w:tc>
          <w:tcPr>
            <w:tcW w:type="dxa" w:w="4703"/>
          </w:tcPr>
          <w:p>
            <w:pPr>
              <w:spacing w:before="40" w:after="40"/>
            </w:pPr>
            <w:r/>
            <w:r>
              <w:rPr>
                <w:rFonts w:ascii="Calibri" w:hAnsi="Calibri"/>
                <w:b w:val="0"/>
                <w:color w:val="333333"/>
                <w:sz w:val="18"/>
              </w:rPr>
              <w:t>2026 target</w:t>
            </w:r>
          </w:p>
        </w:tc>
        <w:tc>
          <w:tcPr>
            <w:tcW w:type="dxa" w:w="4703"/>
          </w:tcPr>
          <w:p>
            <w:pPr>
              <w:spacing w:before="40" w:after="40"/>
            </w:pPr>
            <w:r/>
            <w:r>
              <w:rPr>
                <w:rFonts w:ascii="Calibri" w:hAnsi="Calibri"/>
                <w:b w:val="0"/>
                <w:color w:val="333333"/>
                <w:sz w:val="18"/>
              </w:rPr>
              <w:t>10 network MOUs signed</w:t>
            </w:r>
          </w:p>
        </w:tc>
      </w:tr>
    </w:tbl>
    <w:p>
      <w:r>
        <w:br w:type="page"/>
      </w:r>
    </w:p>
    <w:p>
      <w:pPr>
        <w:pStyle w:val="Heading1"/>
        <w:spacing w:before="360" w:after="160"/>
      </w:pPr>
      <w:r>
        <w:rPr>
          <w:rFonts w:ascii="Calibri" w:hAnsi="Calibri"/>
          <w:color w:val="1E40AF"/>
        </w:rPr>
        <w:t>4. Value Proposition &amp; Positioning</w:t>
      </w:r>
    </w:p>
    <w:tbl>
      <w:tblPr>
        <w:tblW w:type="auto" w:w="0"/>
        <w:jc w:val="center"/>
        <w:tblLayout w:type="autofit"/>
        <w:tblLook w:firstColumn="1" w:firstRow="1" w:lastColumn="0" w:lastRow="0" w:noHBand="0" w:noVBand="1" w:val="04A0"/>
        <w:tblBorders>
          <w:top w:val="single" w:sz="6" w:space="0" w:color="1E40AF"/>
          <w:left w:val="single" w:sz="6" w:space="0" w:color="1E40AF"/>
          <w:bottom w:val="single" w:sz="6" w:space="0" w:color="1E40AF"/>
          <w:right w:val="single" w:sz="6" w:space="0" w:color="1E40AF"/>
        </w:tblBorders>
      </w:tblPr>
      <w:tblGrid>
        <w:gridCol w:w="9406"/>
      </w:tblGrid>
      <w:tr>
        <w:tc>
          <w:tcPr>
            <w:tcW w:type="dxa" w:w="9406"/>
            <w:shd w:fill="EFF6FF" w:val="clear"/>
          </w:tcPr>
          <w:p>
            <w:pPr>
              <w:spacing w:after="80"/>
            </w:pPr>
            <w:r/>
            <w:r>
              <w:rPr>
                <w:rFonts w:ascii="Calibri" w:hAnsi="Calibri"/>
                <w:b/>
                <w:color w:val="1E40AF"/>
                <w:sz w:val="22"/>
              </w:rPr>
              <w:t>Positioning Statement</w:t>
            </w:r>
          </w:p>
          <w:p>
            <w:pPr>
              <w:spacing w:after="40"/>
            </w:pPr>
            <w:r>
              <w:rPr>
                <w:rFonts w:ascii="Calibri" w:hAnsi="Calibri"/>
                <w:color w:val="333333"/>
                <w:sz w:val="20"/>
              </w:rPr>
              <w:t>For Global South CSOs and their donors who need to navigate complex grant lifecycles, Kuja is the only AI-powered grant management platform that spans the complete journey from discovery to operations — eliminating the need for 3–5 disconnected tools while reducing compliance burden by up to 70%.</w:t>
            </w:r>
          </w:p>
        </w:tc>
      </w:tr>
    </w:tbl>
    <w:p/>
    <w:p>
      <w:pPr>
        <w:spacing w:after="120" w:line="300" w:lineRule="exact"/>
      </w:pPr>
      <w:r>
        <w:rPr>
          <w:rFonts w:ascii="Calibri" w:hAnsi="Calibri"/>
          <w:b/>
          <w:color w:val="1E40AF"/>
          <w:sz w:val="21"/>
        </w:rPr>
        <w:t xml:space="preserve">1. ONLY END-TO-END PLATFORM: </w:t>
      </w:r>
      <w:r>
        <w:rPr>
          <w:rFonts w:ascii="Calibri" w:hAnsi="Calibri"/>
          <w:color w:val="333333"/>
          <w:sz w:val="21"/>
        </w:rPr>
        <w:t>8 integrated lifecycle stages in one solution. No competitor covers more than 3.</w:t>
      </w:r>
    </w:p>
    <w:p>
      <w:pPr>
        <w:spacing w:after="120" w:line="300" w:lineRule="exact"/>
      </w:pPr>
      <w:r>
        <w:rPr>
          <w:rFonts w:ascii="Calibri" w:hAnsi="Calibri"/>
          <w:b/>
          <w:color w:val="1E40AF"/>
          <w:sz w:val="21"/>
        </w:rPr>
        <w:t xml:space="preserve">2. AI-POWERED THROUGHOUT: </w:t>
      </w:r>
      <w:r>
        <w:rPr>
          <w:rFonts w:ascii="Calibri" w:hAnsi="Calibri"/>
          <w:color w:val="333333"/>
          <w:sz w:val="21"/>
        </w:rPr>
        <w:t>Claude AI automates document analysis, capacity assessment, grant matching, compliance scoring, and report evaluation across every stage.</w:t>
      </w:r>
    </w:p>
    <w:p>
      <w:pPr>
        <w:spacing w:after="120" w:line="300" w:lineRule="exact"/>
      </w:pPr>
      <w:r>
        <w:rPr>
          <w:rFonts w:ascii="Calibri" w:hAnsi="Calibri"/>
          <w:b/>
          <w:color w:val="1E40AF"/>
          <w:sz w:val="21"/>
        </w:rPr>
        <w:t xml:space="preserve">3. BUILT BY AND FOR THE GLOBAL SOUTH: </w:t>
      </w:r>
      <w:r>
        <w:rPr>
          <w:rFonts w:ascii="Calibri" w:hAnsi="Calibri"/>
          <w:color w:val="333333"/>
          <w:sz w:val="21"/>
        </w:rPr>
        <w:t>Adeso’s 30+ years of humanitarian experience and deep African networks inform every design decision. Multi-language (EN/FR/AR/SW/SO), multi-currency, designed for low-bandwidth environments.</w:t>
      </w:r>
    </w:p>
    <w:p>
      <w:pPr>
        <w:spacing w:after="120" w:line="300" w:lineRule="exact"/>
      </w:pPr>
      <w:r>
        <w:rPr>
          <w:rFonts w:ascii="Calibri" w:hAnsi="Calibri"/>
          <w:b/>
          <w:color w:val="1E40AF"/>
          <w:sz w:val="21"/>
        </w:rPr>
        <w:t xml:space="preserve">4. ACCESSIBLE ECONOMICS: </w:t>
      </w:r>
      <w:r>
        <w:rPr>
          <w:rFonts w:ascii="Calibri" w:hAnsi="Calibri"/>
          <w:color w:val="333333"/>
          <w:sz w:val="21"/>
        </w:rPr>
        <w:t>Free marketplace and basic assessment for CSOs. Cross-subsidy model where donor premium pricing funds CSO access. No competitor offers comparable functionality at these price points.</w:t>
      </w:r>
    </w:p>
    <w:p>
      <w:r>
        <w:br w:type="page"/>
      </w:r>
    </w:p>
    <w:p>
      <w:pPr>
        <w:pStyle w:val="Heading1"/>
        <w:spacing w:before="360" w:after="160"/>
      </w:pPr>
      <w:r>
        <w:rPr>
          <w:rFonts w:ascii="Calibri" w:hAnsi="Calibri"/>
          <w:color w:val="1E40AF"/>
        </w:rPr>
        <w:t>5. Solution Overview</w:t>
      </w:r>
    </w:p>
    <w:p>
      <w:pPr>
        <w:spacing w:after="120" w:line="300" w:lineRule="exact"/>
      </w:pPr>
      <w:r>
        <w:rPr>
          <w:rFonts w:ascii="Calibri" w:hAnsi="Calibri"/>
          <w:b w:val="0"/>
          <w:i w:val="0"/>
          <w:color w:val="333333"/>
          <w:sz w:val="21"/>
        </w:rPr>
        <w:t>Kuja is organized around 8 lifecycle stages that mirror the complete grant journey for both CSOs and donors. Each stage is AI-enhanced and feeds data forward to the next, creating a seamless operational workflow.</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BEAFE" w:val="clear"/>
          </w:tcPr>
          <w:p>
            <w:pPr>
              <w:spacing w:after="40" w:before="40"/>
            </w:pPr>
            <w:r/>
            <w:r>
              <w:rPr>
                <w:rFonts w:ascii="Calibri" w:hAnsi="Calibri"/>
                <w:b/>
                <w:color w:val="1E40AF"/>
                <w:sz w:val="18"/>
              </w:rPr>
              <w:t>1. Discovery</w:t>
            </w:r>
          </w:p>
          <w:p>
            <w:pPr>
              <w:spacing w:after="40" w:before="0"/>
            </w:pPr>
            <w:r>
              <w:rPr>
                <w:rFonts w:ascii="Calibri" w:hAnsi="Calibri"/>
                <w:color w:val="666666"/>
                <w:sz w:val="18"/>
              </w:rPr>
              <w:t>Free marketplace (kuja.org) connecting CSOs, donors, and networks. 600+ users.</w:t>
            </w:r>
          </w:p>
        </w:tc>
        <w:tc>
          <w:tcPr>
            <w:tcW w:type="dxa" w:w="2351"/>
            <w:shd w:fill="DBEAFE" w:val="clear"/>
          </w:tcPr>
          <w:p>
            <w:pPr>
              <w:spacing w:after="40" w:before="40"/>
            </w:pPr>
            <w:r/>
            <w:r>
              <w:rPr>
                <w:rFonts w:ascii="Calibri" w:hAnsi="Calibri"/>
                <w:b/>
                <w:color w:val="1E40AF"/>
                <w:sz w:val="18"/>
              </w:rPr>
              <w:t>2. Assessment</w:t>
            </w:r>
          </w:p>
          <w:p>
            <w:pPr>
              <w:spacing w:after="40" w:before="0"/>
            </w:pPr>
            <w:r>
              <w:rPr>
                <w:rFonts w:ascii="Calibri" w:hAnsi="Calibri"/>
                <w:color w:val="666666"/>
                <w:sz w:val="18"/>
              </w:rPr>
              <w:t>5-framework AI capacity assessment. Passportable results eliminate duplicate assessments.</w:t>
            </w:r>
          </w:p>
        </w:tc>
        <w:tc>
          <w:tcPr>
            <w:tcW w:type="dxa" w:w="2351"/>
            <w:shd w:fill="DBEAFE" w:val="clear"/>
          </w:tcPr>
          <w:p>
            <w:pPr>
              <w:spacing w:after="40" w:before="40"/>
            </w:pPr>
            <w:r/>
            <w:r>
              <w:rPr>
                <w:rFonts w:ascii="Calibri" w:hAnsi="Calibri"/>
                <w:b/>
                <w:color w:val="1E40AF"/>
                <w:sz w:val="18"/>
              </w:rPr>
              <w:t>3. Due Diligence</w:t>
            </w:r>
          </w:p>
          <w:p>
            <w:pPr>
              <w:spacing w:after="40" w:before="0"/>
            </w:pPr>
            <w:r>
              <w:rPr>
                <w:rFonts w:ascii="Calibri" w:hAnsi="Calibri"/>
                <w:color w:val="666666"/>
                <w:sz w:val="18"/>
              </w:rPr>
              <w:t>Live government registry verification (7 countries) + sanctions screening (UN/OFAC/EU/WB).</w:t>
            </w:r>
          </w:p>
        </w:tc>
        <w:tc>
          <w:tcPr>
            <w:tcW w:type="dxa" w:w="2351"/>
            <w:shd w:fill="DBEAFE" w:val="clear"/>
          </w:tcPr>
          <w:p>
            <w:pPr>
              <w:spacing w:after="40" w:before="40"/>
            </w:pPr>
            <w:r/>
            <w:r>
              <w:rPr>
                <w:rFonts w:ascii="Calibri" w:hAnsi="Calibri"/>
                <w:b/>
                <w:color w:val="1E40AF"/>
                <w:sz w:val="18"/>
              </w:rPr>
              <w:t>4. Matching</w:t>
            </w:r>
          </w:p>
          <w:p>
            <w:pPr>
              <w:spacing w:after="40" w:before="0"/>
            </w:pPr>
            <w:r>
              <w:rPr>
                <w:rFonts w:ascii="Calibri" w:hAnsi="Calibri"/>
                <w:color w:val="666666"/>
                <w:sz w:val="18"/>
              </w:rPr>
              <w:t>AI matches NGOs to grants and donors to grantees based on capacity, sector, geography.</w:t>
            </w:r>
          </w:p>
        </w:tc>
      </w:tr>
      <w:tr>
        <w:tc>
          <w:tcPr>
            <w:tcW w:type="dxa" w:w="2351"/>
            <w:shd w:fill="DBEAFE" w:val="clear"/>
          </w:tcPr>
          <w:p>
            <w:pPr>
              <w:spacing w:after="40" w:before="40"/>
            </w:pPr>
            <w:r/>
            <w:r>
              <w:rPr>
                <w:rFonts w:ascii="Calibri" w:hAnsi="Calibri"/>
                <w:b/>
                <w:color w:val="1E40AF"/>
                <w:sz w:val="18"/>
              </w:rPr>
              <w:t>5. Application</w:t>
            </w:r>
          </w:p>
          <w:p>
            <w:pPr>
              <w:spacing w:after="40" w:before="0"/>
            </w:pPr>
            <w:r>
              <w:rPr>
                <w:rFonts w:ascii="Calibri" w:hAnsi="Calibri"/>
                <w:color w:val="666666"/>
                <w:sz w:val="18"/>
              </w:rPr>
              <w:t>AI-guided grant application with document analysis and per-criteria scoring.</w:t>
            </w:r>
          </w:p>
        </w:tc>
        <w:tc>
          <w:tcPr>
            <w:tcW w:type="dxa" w:w="2351"/>
            <w:shd w:fill="DBEAFE" w:val="clear"/>
          </w:tcPr>
          <w:p>
            <w:pPr>
              <w:spacing w:after="40" w:before="40"/>
            </w:pPr>
            <w:r/>
            <w:r>
              <w:rPr>
                <w:rFonts w:ascii="Calibri" w:hAnsi="Calibri"/>
                <w:b/>
                <w:color w:val="1E40AF"/>
                <w:sz w:val="18"/>
              </w:rPr>
              <w:t>6. Review</w:t>
            </w:r>
          </w:p>
          <w:p>
            <w:pPr>
              <w:spacing w:after="40" w:before="0"/>
            </w:pPr>
            <w:r>
              <w:rPr>
                <w:rFonts w:ascii="Calibri" w:hAnsi="Calibri"/>
                <w:color w:val="666666"/>
                <w:sz w:val="18"/>
              </w:rPr>
              <w:t>Dual scoring: AI auto-score + human reviewer. Donor-configurable evaluation criteria.</w:t>
            </w:r>
          </w:p>
        </w:tc>
        <w:tc>
          <w:tcPr>
            <w:tcW w:type="dxa" w:w="2351"/>
            <w:shd w:fill="DBEAFE" w:val="clear"/>
          </w:tcPr>
          <w:p>
            <w:pPr>
              <w:spacing w:after="40" w:before="40"/>
            </w:pPr>
            <w:r/>
            <w:r>
              <w:rPr>
                <w:rFonts w:ascii="Calibri" w:hAnsi="Calibri"/>
                <w:b/>
                <w:color w:val="1E40AF"/>
                <w:sz w:val="18"/>
              </w:rPr>
              <w:t>7. Reporting</w:t>
            </w:r>
          </w:p>
          <w:p>
            <w:pPr>
              <w:spacing w:after="40" w:before="0"/>
            </w:pPr>
            <w:r>
              <w:rPr>
                <w:rFonts w:ascii="Calibri" w:hAnsi="Calibri"/>
                <w:color w:val="666666"/>
                <w:sz w:val="18"/>
              </w:rPr>
              <w:t>AI extracts requirements from grant agreements. Per-requirement compliance monitoring.</w:t>
            </w:r>
          </w:p>
        </w:tc>
        <w:tc>
          <w:tcPr>
            <w:tcW w:type="dxa" w:w="2351"/>
            <w:shd w:fill="DBEAFE" w:val="clear"/>
          </w:tcPr>
          <w:p>
            <w:pPr>
              <w:spacing w:after="40" w:before="40"/>
            </w:pPr>
            <w:r/>
            <w:r>
              <w:rPr>
                <w:rFonts w:ascii="Calibri" w:hAnsi="Calibri"/>
                <w:b/>
                <w:color w:val="1E40AF"/>
                <w:sz w:val="18"/>
              </w:rPr>
              <w:t>8. ERP</w:t>
            </w:r>
          </w:p>
          <w:p>
            <w:pPr>
              <w:spacing w:after="40" w:before="0"/>
            </w:pPr>
            <w:r>
              <w:rPr>
                <w:rFonts w:ascii="Calibri" w:hAnsi="Calibri"/>
                <w:color w:val="666666"/>
                <w:sz w:val="18"/>
              </w:rPr>
              <w:t>KujaBuild (Odoo 17) with multi-tenancy. Seamless onboarding from captured data.</w:t>
            </w:r>
          </w:p>
        </w:tc>
      </w:tr>
    </w:tbl>
    <w:p>
      <w:r>
        <w:br w:type="page"/>
      </w:r>
    </w:p>
    <w:p>
      <w:pPr>
        <w:pStyle w:val="Heading1"/>
        <w:spacing w:before="360" w:after="160"/>
      </w:pPr>
      <w:r>
        <w:rPr>
          <w:rFonts w:ascii="Calibri" w:hAnsi="Calibri"/>
          <w:color w:val="1E40AF"/>
        </w:rPr>
        <w:t>6. GTM Motion &amp; Sales Strategy</w:t>
      </w:r>
    </w:p>
    <w:p>
      <w:pPr>
        <w:pStyle w:val="Heading2"/>
        <w:spacing w:before="280" w:after="120"/>
      </w:pPr>
      <w:r>
        <w:rPr>
          <w:rFonts w:ascii="Calibri" w:hAnsi="Calibri"/>
          <w:color w:val="0D9488"/>
        </w:rPr>
        <w:t>Three-Engine GTM Model</w:t>
      </w:r>
    </w:p>
    <w:p>
      <w:pPr>
        <w:spacing w:after="120" w:line="300" w:lineRule="exact"/>
      </w:pPr>
      <w:r>
        <w:rPr>
          <w:rFonts w:ascii="Calibri" w:hAnsi="Calibri"/>
          <w:b w:val="0"/>
          <w:i w:val="0"/>
          <w:color w:val="333333"/>
          <w:sz w:val="21"/>
        </w:rPr>
        <w:t>Kuja employs a hybrid GTM approach combining product-led growth for CSO acquisition, direct enterprise sales for donor contracts, and partner-led distribution through CSO network MOUs.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1E40AF" w:val="clear"/>
          </w:tcPr>
          <w:p>
            <w:pPr>
              <w:spacing w:before="40" w:after="40"/>
            </w:pPr>
            <w:r/>
            <w:r>
              <w:rPr>
                <w:rFonts w:ascii="Calibri" w:hAnsi="Calibri"/>
                <w:b/>
                <w:color w:val="FFFFFF"/>
                <w:sz w:val="18"/>
              </w:rPr>
              <w:t>Engine</w:t>
            </w:r>
          </w:p>
        </w:tc>
        <w:tc>
          <w:tcPr>
            <w:tcW w:type="dxa" w:w="1881"/>
            <w:shd w:fill="1E40AF" w:val="clear"/>
          </w:tcPr>
          <w:p>
            <w:pPr>
              <w:spacing w:before="40" w:after="40"/>
            </w:pPr>
            <w:r/>
            <w:r>
              <w:rPr>
                <w:rFonts w:ascii="Calibri" w:hAnsi="Calibri"/>
                <w:b/>
                <w:color w:val="FFFFFF"/>
                <w:sz w:val="18"/>
              </w:rPr>
              <w:t>Motion</w:t>
            </w:r>
          </w:p>
        </w:tc>
        <w:tc>
          <w:tcPr>
            <w:tcW w:type="dxa" w:w="1881"/>
            <w:shd w:fill="1E40AF" w:val="clear"/>
          </w:tcPr>
          <w:p>
            <w:pPr>
              <w:spacing w:before="40" w:after="40"/>
            </w:pPr>
            <w:r/>
            <w:r>
              <w:rPr>
                <w:rFonts w:ascii="Calibri" w:hAnsi="Calibri"/>
                <w:b/>
                <w:color w:val="FFFFFF"/>
                <w:sz w:val="18"/>
              </w:rPr>
              <w:t>Target</w:t>
            </w:r>
          </w:p>
        </w:tc>
        <w:tc>
          <w:tcPr>
            <w:tcW w:type="dxa" w:w="1881"/>
            <w:shd w:fill="1E40AF" w:val="clear"/>
          </w:tcPr>
          <w:p>
            <w:pPr>
              <w:spacing w:before="40" w:after="40"/>
            </w:pPr>
            <w:r/>
            <w:r>
              <w:rPr>
                <w:rFonts w:ascii="Calibri" w:hAnsi="Calibri"/>
                <w:b/>
                <w:color w:val="FFFFFF"/>
                <w:sz w:val="18"/>
              </w:rPr>
              <w:t>Mechanics</w:t>
            </w:r>
          </w:p>
        </w:tc>
        <w:tc>
          <w:tcPr>
            <w:tcW w:type="dxa" w:w="1881"/>
            <w:shd w:fill="1E40AF" w:val="clear"/>
          </w:tcPr>
          <w:p>
            <w:pPr>
              <w:spacing w:before="40" w:after="40"/>
            </w:pPr>
            <w:r/>
            <w:r>
              <w:rPr>
                <w:rFonts w:ascii="Calibri" w:hAnsi="Calibri"/>
                <w:b/>
                <w:color w:val="FFFFFF"/>
                <w:sz w:val="18"/>
              </w:rPr>
              <w:t>Revenue Contribution</w:t>
            </w:r>
          </w:p>
        </w:tc>
      </w:tr>
      <w:tr>
        <w:tc>
          <w:tcPr>
            <w:tcW w:type="dxa" w:w="1881"/>
          </w:tcPr>
          <w:p>
            <w:pPr>
              <w:spacing w:before="40" w:after="40"/>
            </w:pPr>
            <w:r/>
            <w:r>
              <w:rPr>
                <w:rFonts w:ascii="Calibri" w:hAnsi="Calibri"/>
                <w:b w:val="0"/>
                <w:color w:val="333333"/>
                <w:sz w:val="18"/>
              </w:rPr>
              <w:t>Product-Led</w:t>
            </w:r>
          </w:p>
        </w:tc>
        <w:tc>
          <w:tcPr>
            <w:tcW w:type="dxa" w:w="1881"/>
          </w:tcPr>
          <w:p>
            <w:pPr>
              <w:spacing w:before="40" w:after="40"/>
            </w:pPr>
            <w:r/>
            <w:r>
              <w:rPr>
                <w:rFonts w:ascii="Calibri" w:hAnsi="Calibri"/>
                <w:b w:val="0"/>
                <w:color w:val="333333"/>
                <w:sz w:val="18"/>
              </w:rPr>
              <w:t>Self-service signup → upgrade</w:t>
            </w:r>
          </w:p>
        </w:tc>
        <w:tc>
          <w:tcPr>
            <w:tcW w:type="dxa" w:w="1881"/>
          </w:tcPr>
          <w:p>
            <w:pPr>
              <w:spacing w:before="40" w:after="40"/>
            </w:pPr>
            <w:r/>
            <w:r>
              <w:rPr>
                <w:rFonts w:ascii="Calibri" w:hAnsi="Calibri"/>
                <w:b w:val="0"/>
                <w:color w:val="333333"/>
                <w:sz w:val="18"/>
              </w:rPr>
              <w:t>CSOs</w:t>
            </w:r>
          </w:p>
        </w:tc>
        <w:tc>
          <w:tcPr>
            <w:tcW w:type="dxa" w:w="1881"/>
          </w:tcPr>
          <w:p>
            <w:pPr>
              <w:spacing w:before="40" w:after="40"/>
            </w:pPr>
            <w:r/>
            <w:r>
              <w:rPr>
                <w:rFonts w:ascii="Calibri" w:hAnsi="Calibri"/>
                <w:b w:val="0"/>
                <w:color w:val="333333"/>
                <w:sz w:val="18"/>
              </w:rPr>
              <w:t>Free marketplace profile → paid assessment → ERP</w:t>
            </w:r>
          </w:p>
        </w:tc>
        <w:tc>
          <w:tcPr>
            <w:tcW w:type="dxa" w:w="1881"/>
          </w:tcPr>
          <w:p>
            <w:pPr>
              <w:spacing w:before="40" w:after="40"/>
            </w:pPr>
            <w:r/>
            <w:r>
              <w:rPr>
                <w:rFonts w:ascii="Calibri" w:hAnsi="Calibri"/>
                <w:b w:val="0"/>
                <w:color w:val="333333"/>
                <w:sz w:val="18"/>
              </w:rPr>
              <w:t>Pipeline + $50K direct</w:t>
            </w:r>
          </w:p>
        </w:tc>
      </w:tr>
      <w:tr>
        <w:tc>
          <w:tcPr>
            <w:tcW w:type="dxa" w:w="1881"/>
            <w:shd w:fill="F0F7FF" w:val="clear"/>
          </w:tcPr>
          <w:p>
            <w:pPr>
              <w:spacing w:before="40" w:after="40"/>
            </w:pPr>
            <w:r/>
            <w:r>
              <w:rPr>
                <w:rFonts w:ascii="Calibri" w:hAnsi="Calibri"/>
                <w:b w:val="0"/>
                <w:color w:val="333333"/>
                <w:sz w:val="18"/>
              </w:rPr>
              <w:t>Sales-Led</w:t>
            </w:r>
          </w:p>
        </w:tc>
        <w:tc>
          <w:tcPr>
            <w:tcW w:type="dxa" w:w="1881"/>
            <w:shd w:fill="F0F7FF" w:val="clear"/>
          </w:tcPr>
          <w:p>
            <w:pPr>
              <w:spacing w:before="40" w:after="40"/>
            </w:pPr>
            <w:r/>
            <w:r>
              <w:rPr>
                <w:rFonts w:ascii="Calibri" w:hAnsi="Calibri"/>
                <w:b w:val="0"/>
                <w:color w:val="333333"/>
                <w:sz w:val="18"/>
              </w:rPr>
              <w:t>Direct enterprise sales</w:t>
            </w:r>
          </w:p>
        </w:tc>
        <w:tc>
          <w:tcPr>
            <w:tcW w:type="dxa" w:w="1881"/>
            <w:shd w:fill="F0F7FF" w:val="clear"/>
          </w:tcPr>
          <w:p>
            <w:pPr>
              <w:spacing w:before="40" w:after="40"/>
            </w:pPr>
            <w:r/>
            <w:r>
              <w:rPr>
                <w:rFonts w:ascii="Calibri" w:hAnsi="Calibri"/>
                <w:b w:val="0"/>
                <w:color w:val="333333"/>
                <w:sz w:val="18"/>
              </w:rPr>
              <w:t>Donors/INGOs</w:t>
            </w:r>
          </w:p>
        </w:tc>
        <w:tc>
          <w:tcPr>
            <w:tcW w:type="dxa" w:w="1881"/>
            <w:shd w:fill="F0F7FF" w:val="clear"/>
          </w:tcPr>
          <w:p>
            <w:pPr>
              <w:spacing w:before="40" w:after="40"/>
            </w:pPr>
            <w:r/>
            <w:r>
              <w:rPr>
                <w:rFonts w:ascii="Calibri" w:hAnsi="Calibri"/>
                <w:b w:val="0"/>
                <w:color w:val="333333"/>
                <w:sz w:val="18"/>
              </w:rPr>
              <w:t>Outbound + network intros → demo → pilot → contract</w:t>
            </w:r>
          </w:p>
        </w:tc>
        <w:tc>
          <w:tcPr>
            <w:tcW w:type="dxa" w:w="1881"/>
            <w:shd w:fill="F0F7FF" w:val="clear"/>
          </w:tcPr>
          <w:p>
            <w:pPr>
              <w:spacing w:before="40" w:after="40"/>
            </w:pPr>
            <w:r/>
            <w:r>
              <w:rPr>
                <w:rFonts w:ascii="Calibri" w:hAnsi="Calibri"/>
                <w:b w:val="0"/>
                <w:color w:val="333333"/>
                <w:sz w:val="18"/>
              </w:rPr>
              <w:t>$650K (End-to-End) + $300K (ERP)</w:t>
            </w:r>
          </w:p>
        </w:tc>
      </w:tr>
      <w:tr>
        <w:tc>
          <w:tcPr>
            <w:tcW w:type="dxa" w:w="1881"/>
          </w:tcPr>
          <w:p>
            <w:pPr>
              <w:spacing w:before="40" w:after="40"/>
            </w:pPr>
            <w:r/>
            <w:r>
              <w:rPr>
                <w:rFonts w:ascii="Calibri" w:hAnsi="Calibri"/>
                <w:b w:val="0"/>
                <w:color w:val="333333"/>
                <w:sz w:val="18"/>
              </w:rPr>
              <w:t>Partner-Led</w:t>
            </w:r>
          </w:p>
        </w:tc>
        <w:tc>
          <w:tcPr>
            <w:tcW w:type="dxa" w:w="1881"/>
          </w:tcPr>
          <w:p>
            <w:pPr>
              <w:spacing w:before="40" w:after="40"/>
            </w:pPr>
            <w:r/>
            <w:r>
              <w:rPr>
                <w:rFonts w:ascii="Calibri" w:hAnsi="Calibri"/>
                <w:b w:val="0"/>
                <w:color w:val="333333"/>
                <w:sz w:val="18"/>
              </w:rPr>
              <w:t>CSO network reselling</w:t>
            </w:r>
          </w:p>
        </w:tc>
        <w:tc>
          <w:tcPr>
            <w:tcW w:type="dxa" w:w="1881"/>
          </w:tcPr>
          <w:p>
            <w:pPr>
              <w:spacing w:before="40" w:after="40"/>
            </w:pPr>
            <w:r/>
            <w:r>
              <w:rPr>
                <w:rFonts w:ascii="Calibri" w:hAnsi="Calibri"/>
                <w:b w:val="0"/>
                <w:color w:val="333333"/>
                <w:sz w:val="18"/>
              </w:rPr>
              <w:t>Networks → CSOs</w:t>
            </w:r>
          </w:p>
        </w:tc>
        <w:tc>
          <w:tcPr>
            <w:tcW w:type="dxa" w:w="1881"/>
          </w:tcPr>
          <w:p>
            <w:pPr>
              <w:spacing w:before="40" w:after="40"/>
            </w:pPr>
            <w:r/>
            <w:r>
              <w:rPr>
                <w:rFonts w:ascii="Calibri" w:hAnsi="Calibri"/>
                <w:b w:val="0"/>
                <w:color w:val="333333"/>
                <w:sz w:val="18"/>
              </w:rPr>
              <w:t>MOU → network promotes to members → bulk onboarding</w:t>
            </w:r>
          </w:p>
        </w:tc>
        <w:tc>
          <w:tcPr>
            <w:tcW w:type="dxa" w:w="1881"/>
          </w:tcPr>
          <w:p>
            <w:pPr>
              <w:spacing w:before="40" w:after="40"/>
            </w:pPr>
            <w:r/>
            <w:r>
              <w:rPr>
                <w:rFonts w:ascii="Calibri" w:hAnsi="Calibri"/>
                <w:b w:val="0"/>
                <w:color w:val="333333"/>
                <w:sz w:val="18"/>
              </w:rPr>
              <w:t>Embedded in above</w:t>
            </w:r>
          </w:p>
        </w:tc>
      </w:tr>
    </w:tbl>
    <w:p>
      <w:pPr>
        <w:pStyle w:val="Heading2"/>
        <w:spacing w:before="280" w:after="120"/>
      </w:pPr>
      <w:r>
        <w:rPr>
          <w:rFonts w:ascii="Calibri" w:hAnsi="Calibri"/>
          <w:color w:val="0D9488"/>
        </w:rPr>
        <w:t>Geographic Phasing</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Phase</w:t>
            </w:r>
          </w:p>
        </w:tc>
        <w:tc>
          <w:tcPr>
            <w:tcW w:type="dxa" w:w="2351"/>
            <w:shd w:fill="1E40AF" w:val="clear"/>
          </w:tcPr>
          <w:p>
            <w:pPr>
              <w:spacing w:before="40" w:after="40"/>
            </w:pPr>
            <w:r/>
            <w:r>
              <w:rPr>
                <w:rFonts w:ascii="Calibri" w:hAnsi="Calibri"/>
                <w:b/>
                <w:color w:val="FFFFFF"/>
                <w:sz w:val="18"/>
              </w:rPr>
              <w:t>Timeline</w:t>
            </w:r>
          </w:p>
        </w:tc>
        <w:tc>
          <w:tcPr>
            <w:tcW w:type="dxa" w:w="2351"/>
            <w:shd w:fill="1E40AF" w:val="clear"/>
          </w:tcPr>
          <w:p>
            <w:pPr>
              <w:spacing w:before="40" w:after="40"/>
            </w:pPr>
            <w:r/>
            <w:r>
              <w:rPr>
                <w:rFonts w:ascii="Calibri" w:hAnsi="Calibri"/>
                <w:b/>
                <w:color w:val="FFFFFF"/>
                <w:sz w:val="18"/>
              </w:rPr>
              <w:t>Geography</w:t>
            </w:r>
          </w:p>
        </w:tc>
        <w:tc>
          <w:tcPr>
            <w:tcW w:type="dxa" w:w="2351"/>
            <w:shd w:fill="1E40AF" w:val="clear"/>
          </w:tcPr>
          <w:p>
            <w:pPr>
              <w:spacing w:before="40" w:after="40"/>
            </w:pPr>
            <w:r/>
            <w:r>
              <w:rPr>
                <w:rFonts w:ascii="Calibri" w:hAnsi="Calibri"/>
                <w:b/>
                <w:color w:val="FFFFFF"/>
                <w:sz w:val="18"/>
              </w:rPr>
              <w:t>Focus</w:t>
            </w:r>
          </w:p>
        </w:tc>
      </w:tr>
      <w:tr>
        <w:tc>
          <w:tcPr>
            <w:tcW w:type="dxa" w:w="2351"/>
          </w:tcPr>
          <w:p>
            <w:pPr>
              <w:spacing w:before="40" w:after="40"/>
            </w:pPr>
            <w:r/>
            <w:r>
              <w:rPr>
                <w:rFonts w:ascii="Calibri" w:hAnsi="Calibri"/>
                <w:b w:val="0"/>
                <w:color w:val="333333"/>
                <w:sz w:val="18"/>
              </w:rPr>
              <w:t>Kenya Testing</w:t>
            </w:r>
          </w:p>
        </w:tc>
        <w:tc>
          <w:tcPr>
            <w:tcW w:type="dxa" w:w="2351"/>
          </w:tcPr>
          <w:p>
            <w:pPr>
              <w:spacing w:before="40" w:after="40"/>
            </w:pPr>
            <w:r/>
            <w:r>
              <w:rPr>
                <w:rFonts w:ascii="Calibri" w:hAnsi="Calibri"/>
                <w:b w:val="0"/>
                <w:color w:val="333333"/>
                <w:sz w:val="18"/>
              </w:rPr>
              <w:t>Q1–Q2 2026</w:t>
            </w:r>
          </w:p>
        </w:tc>
        <w:tc>
          <w:tcPr>
            <w:tcW w:type="dxa" w:w="2351"/>
          </w:tcPr>
          <w:p>
            <w:pPr>
              <w:spacing w:before="40" w:after="40"/>
            </w:pPr>
            <w:r/>
            <w:r>
              <w:rPr>
                <w:rFonts w:ascii="Calibri" w:hAnsi="Calibri"/>
                <w:b w:val="0"/>
                <w:color w:val="333333"/>
                <w:sz w:val="18"/>
              </w:rPr>
              <w:t>Kenya</w:t>
            </w:r>
          </w:p>
        </w:tc>
        <w:tc>
          <w:tcPr>
            <w:tcW w:type="dxa" w:w="2351"/>
          </w:tcPr>
          <w:p>
            <w:pPr>
              <w:spacing w:before="40" w:after="40"/>
            </w:pPr>
            <w:r/>
            <w:r>
              <w:rPr>
                <w:rFonts w:ascii="Calibri" w:hAnsi="Calibri"/>
                <w:b w:val="0"/>
                <w:color w:val="333333"/>
                <w:sz w:val="18"/>
              </w:rPr>
              <w:t>Validate model with 3 CSO network MOUs, 8 pipeline partners</w:t>
            </w:r>
          </w:p>
        </w:tc>
      </w:tr>
      <w:tr>
        <w:tc>
          <w:tcPr>
            <w:tcW w:type="dxa" w:w="2351"/>
            <w:shd w:fill="F0F7FF" w:val="clear"/>
          </w:tcPr>
          <w:p>
            <w:pPr>
              <w:spacing w:before="40" w:after="40"/>
            </w:pPr>
            <w:r/>
            <w:r>
              <w:rPr>
                <w:rFonts w:ascii="Calibri" w:hAnsi="Calibri"/>
                <w:b w:val="0"/>
                <w:color w:val="333333"/>
                <w:sz w:val="18"/>
              </w:rPr>
              <w:t>Global Scaling</w:t>
            </w:r>
          </w:p>
        </w:tc>
        <w:tc>
          <w:tcPr>
            <w:tcW w:type="dxa" w:w="2351"/>
            <w:shd w:fill="F0F7FF" w:val="clear"/>
          </w:tcPr>
          <w:p>
            <w:pPr>
              <w:spacing w:before="40" w:after="40"/>
            </w:pPr>
            <w:r/>
            <w:r>
              <w:rPr>
                <w:rFonts w:ascii="Calibri" w:hAnsi="Calibri"/>
                <w:b w:val="0"/>
                <w:color w:val="333333"/>
                <w:sz w:val="18"/>
              </w:rPr>
              <w:t>Q2–Q4 2026</w:t>
            </w:r>
          </w:p>
        </w:tc>
        <w:tc>
          <w:tcPr>
            <w:tcW w:type="dxa" w:w="2351"/>
            <w:shd w:fill="F0F7FF" w:val="clear"/>
          </w:tcPr>
          <w:p>
            <w:pPr>
              <w:spacing w:before="40" w:after="40"/>
            </w:pPr>
            <w:r/>
            <w:r>
              <w:rPr>
                <w:rFonts w:ascii="Calibri" w:hAnsi="Calibri"/>
                <w:b w:val="0"/>
                <w:color w:val="333333"/>
                <w:sz w:val="18"/>
              </w:rPr>
              <w:t>Global (via Adeso network)</w:t>
            </w:r>
          </w:p>
        </w:tc>
        <w:tc>
          <w:tcPr>
            <w:tcW w:type="dxa" w:w="2351"/>
            <w:shd w:fill="F0F7FF" w:val="clear"/>
          </w:tcPr>
          <w:p>
            <w:pPr>
              <w:spacing w:before="40" w:after="40"/>
            </w:pPr>
            <w:r/>
            <w:r>
              <w:rPr>
                <w:rFonts w:ascii="Calibri" w:hAnsi="Calibri"/>
                <w:b w:val="0"/>
                <w:color w:val="333333"/>
                <w:sz w:val="18"/>
              </w:rPr>
              <w:t>10 CSO network MOUs, first donor enterprise deals</w:t>
            </w:r>
          </w:p>
        </w:tc>
      </w:tr>
      <w:tr>
        <w:tc>
          <w:tcPr>
            <w:tcW w:type="dxa" w:w="2351"/>
          </w:tcPr>
          <w:p>
            <w:pPr>
              <w:spacing w:before="40" w:after="40"/>
            </w:pPr>
            <w:r/>
            <w:r>
              <w:rPr>
                <w:rFonts w:ascii="Calibri" w:hAnsi="Calibri"/>
                <w:b w:val="0"/>
                <w:color w:val="333333"/>
                <w:sz w:val="18"/>
              </w:rPr>
              <w:t>Sub-Saharan Africa</w:t>
            </w:r>
          </w:p>
        </w:tc>
        <w:tc>
          <w:tcPr>
            <w:tcW w:type="dxa" w:w="2351"/>
          </w:tcPr>
          <w:p>
            <w:pPr>
              <w:spacing w:before="40" w:after="40"/>
            </w:pPr>
            <w:r/>
            <w:r>
              <w:rPr>
                <w:rFonts w:ascii="Calibri" w:hAnsi="Calibri"/>
                <w:b w:val="0"/>
                <w:color w:val="333333"/>
                <w:sz w:val="18"/>
              </w:rPr>
              <w:t>2027</w:t>
            </w:r>
          </w:p>
        </w:tc>
        <w:tc>
          <w:tcPr>
            <w:tcW w:type="dxa" w:w="2351"/>
          </w:tcPr>
          <w:p>
            <w:pPr>
              <w:spacing w:before="40" w:after="40"/>
            </w:pPr>
            <w:r/>
            <w:r>
              <w:rPr>
                <w:rFonts w:ascii="Calibri" w:hAnsi="Calibri"/>
                <w:b w:val="0"/>
                <w:color w:val="333333"/>
                <w:sz w:val="18"/>
              </w:rPr>
              <w:t>24 countries (East, Central, West, South)</w:t>
            </w:r>
          </w:p>
        </w:tc>
        <w:tc>
          <w:tcPr>
            <w:tcW w:type="dxa" w:w="2351"/>
          </w:tcPr>
          <w:p>
            <w:pPr>
              <w:spacing w:before="40" w:after="40"/>
            </w:pPr>
            <w:r/>
            <w:r>
              <w:rPr>
                <w:rFonts w:ascii="Calibri" w:hAnsi="Calibri"/>
                <w:b w:val="0"/>
                <w:color w:val="333333"/>
                <w:sz w:val="18"/>
              </w:rPr>
              <w:t>Regional expansion via network partnerships</w:t>
            </w:r>
          </w:p>
        </w:tc>
      </w:tr>
      <w:tr>
        <w:tc>
          <w:tcPr>
            <w:tcW w:type="dxa" w:w="2351"/>
            <w:shd w:fill="F0F7FF" w:val="clear"/>
          </w:tcPr>
          <w:p>
            <w:pPr>
              <w:spacing w:before="40" w:after="40"/>
            </w:pPr>
            <w:r/>
            <w:r>
              <w:rPr>
                <w:rFonts w:ascii="Calibri" w:hAnsi="Calibri"/>
                <w:b w:val="0"/>
                <w:color w:val="333333"/>
                <w:sz w:val="18"/>
              </w:rPr>
              <w:t>Latin America</w:t>
            </w:r>
          </w:p>
        </w:tc>
        <w:tc>
          <w:tcPr>
            <w:tcW w:type="dxa" w:w="2351"/>
            <w:shd w:fill="F0F7FF" w:val="clear"/>
          </w:tcPr>
          <w:p>
            <w:pPr>
              <w:spacing w:before="40" w:after="40"/>
            </w:pPr>
            <w:r/>
            <w:r>
              <w:rPr>
                <w:rFonts w:ascii="Calibri" w:hAnsi="Calibri"/>
                <w:b w:val="0"/>
                <w:color w:val="333333"/>
                <w:sz w:val="18"/>
              </w:rPr>
              <w:t>2028</w:t>
            </w:r>
          </w:p>
        </w:tc>
        <w:tc>
          <w:tcPr>
            <w:tcW w:type="dxa" w:w="2351"/>
            <w:shd w:fill="F0F7FF" w:val="clear"/>
          </w:tcPr>
          <w:p>
            <w:pPr>
              <w:spacing w:before="40" w:after="40"/>
            </w:pPr>
            <w:r/>
            <w:r>
              <w:rPr>
                <w:rFonts w:ascii="Calibri" w:hAnsi="Calibri"/>
                <w:b w:val="0"/>
                <w:color w:val="333333"/>
                <w:sz w:val="18"/>
              </w:rPr>
              <w:t>15 countries</w:t>
            </w:r>
          </w:p>
        </w:tc>
        <w:tc>
          <w:tcPr>
            <w:tcW w:type="dxa" w:w="2351"/>
            <w:shd w:fill="F0F7FF" w:val="clear"/>
          </w:tcPr>
          <w:p>
            <w:pPr>
              <w:spacing w:before="40" w:after="40"/>
            </w:pPr>
            <w:r/>
            <w:r>
              <w:rPr>
                <w:rFonts w:ascii="Calibri" w:hAnsi="Calibri"/>
                <w:b w:val="0"/>
                <w:color w:val="333333"/>
                <w:sz w:val="18"/>
              </w:rPr>
              <w:t>Spanish language support, LatAm donor engagement</w:t>
            </w:r>
          </w:p>
        </w:tc>
      </w:tr>
    </w:tbl>
    <w:p>
      <w:pPr>
        <w:pStyle w:val="Heading2"/>
        <w:spacing w:before="280" w:after="120"/>
      </w:pPr>
      <w:r>
        <w:rPr>
          <w:rFonts w:ascii="Calibri" w:hAnsi="Calibri"/>
          <w:color w:val="0D9488"/>
        </w:rPr>
        <w:t>Conversion Funnel</w:t>
      </w:r>
    </w:p>
    <w:p>
      <w:pPr>
        <w:spacing w:after="120" w:line="300" w:lineRule="exact"/>
      </w:pPr>
      <w:r>
        <w:rPr>
          <w:rFonts w:ascii="Calibri" w:hAnsi="Calibri"/>
          <w:b w:val="0"/>
          <w:i w:val="0"/>
          <w:color w:val="333333"/>
          <w:sz w:val="21"/>
        </w:rPr>
        <w:t>The platform is designed as a progressive conversion funnel: free marketplace profiles attract CSOs → capacity assessments qualify them for funding → grant matching creates donor connections → application portal generates revenue → ERP adoption captures long-term value. Each stage increases both user engagement and lifetime value.</w:t>
      </w:r>
    </w:p>
    <w:p>
      <w:r>
        <w:br w:type="page"/>
      </w:r>
    </w:p>
    <w:p>
      <w:pPr>
        <w:pStyle w:val="Heading1"/>
        <w:spacing w:before="360" w:after="160"/>
      </w:pPr>
      <w:r>
        <w:rPr>
          <w:rFonts w:ascii="Calibri" w:hAnsi="Calibri"/>
          <w:color w:val="1E40AF"/>
        </w:rPr>
        <w:t>7. Channel &amp; Partnership Strategy</w:t>
      </w:r>
    </w:p>
    <w:p>
      <w:pPr>
        <w:pStyle w:val="Heading2"/>
        <w:spacing w:before="280" w:after="120"/>
      </w:pPr>
      <w:r>
        <w:rPr>
          <w:rFonts w:ascii="Calibri" w:hAnsi="Calibri"/>
          <w:color w:val="0D9488"/>
        </w:rPr>
        <w:t>CSO Networks — Primary Distribution Channel</w:t>
      </w:r>
    </w:p>
    <w:p>
      <w:pPr>
        <w:pStyle w:val="ListBullet"/>
        <w:spacing w:after="60" w:line="300" w:lineRule="exact"/>
      </w:pPr>
      <w:r>
        <w:rPr>
          <w:rFonts w:ascii="Calibri" w:hAnsi="Calibri"/>
          <w:color w:val="333333"/>
          <w:sz w:val="21"/>
        </w:rPr>
        <w:t>Each network MOU provides access to 50–500+ member organizations</w:t>
      </w:r>
    </w:p>
    <w:p>
      <w:pPr>
        <w:pStyle w:val="ListBullet"/>
        <w:spacing w:after="60" w:line="300" w:lineRule="exact"/>
      </w:pPr>
      <w:r>
        <w:rPr>
          <w:rFonts w:ascii="Calibri" w:hAnsi="Calibri"/>
          <w:color w:val="333333"/>
          <w:sz w:val="21"/>
        </w:rPr>
        <w:t>Networks recruit members onto the platform; Kuja provides the technology</w:t>
      </w:r>
    </w:p>
    <w:p>
      <w:pPr>
        <w:pStyle w:val="ListBullet"/>
        <w:spacing w:after="60" w:line="300" w:lineRule="exact"/>
      </w:pPr>
      <w:r>
        <w:rPr>
          <w:rFonts w:ascii="Calibri" w:hAnsi="Calibri"/>
          <w:color w:val="333333"/>
          <w:sz w:val="21"/>
        </w:rPr>
        <w:t>2027: Networks begin reselling ERP to members with revenue share</w:t>
      </w:r>
    </w:p>
    <w:p>
      <w:pPr>
        <w:pStyle w:val="ListBullet"/>
        <w:spacing w:after="60" w:line="300" w:lineRule="exact"/>
      </w:pPr>
      <w:r>
        <w:rPr>
          <w:rFonts w:ascii="Calibri" w:hAnsi="Calibri"/>
          <w:color w:val="333333"/>
          <w:sz w:val="21"/>
        </w:rPr>
        <w:t>Joint proposals with donors to fund ERP access for network members</w:t>
      </w:r>
    </w:p>
    <w:p>
      <w:pPr>
        <w:pStyle w:val="ListBullet"/>
        <w:spacing w:after="60" w:line="300" w:lineRule="exact"/>
      </w:pPr>
      <w:r>
        <w:rPr>
          <w:rFonts w:ascii="Calibri" w:hAnsi="Calibri"/>
          <w:color w:val="333333"/>
          <w:sz w:val="21"/>
        </w:rPr>
        <w:t>Target networks: Mzizi Connect (DRC), WACSI (West Africa), EACSOF (East Africa), SANGONet (Southern Africa), NEAR Network, MCLD, Start Network, Pledge for Change</w:t>
      </w:r>
    </w:p>
    <w:p>
      <w:pPr>
        <w:pStyle w:val="Heading2"/>
        <w:spacing w:before="280" w:after="120"/>
      </w:pPr>
      <w:r>
        <w:rPr>
          <w:rFonts w:ascii="Calibri" w:hAnsi="Calibri"/>
          <w:color w:val="0D9488"/>
        </w:rPr>
        <w:t>Donor Partners — Revenue + Recruitment</w:t>
      </w:r>
    </w:p>
    <w:p>
      <w:pPr>
        <w:pStyle w:val="ListBullet"/>
        <w:spacing w:after="60" w:line="300" w:lineRule="exact"/>
      </w:pPr>
      <w:r>
        <w:rPr>
          <w:rFonts w:ascii="Calibri" w:hAnsi="Calibri"/>
          <w:color w:val="333333"/>
          <w:sz w:val="21"/>
        </w:rPr>
        <w:t>NEAR Change Fund, Hilton Foundation, Gates Foundation, Oak Foundation, Porticus, Packard Foundation</w:t>
      </w:r>
    </w:p>
    <w:p>
      <w:pPr>
        <w:pStyle w:val="ListBullet"/>
        <w:spacing w:after="60" w:line="300" w:lineRule="exact"/>
      </w:pPr>
      <w:r>
        <w:rPr>
          <w:rFonts w:ascii="Calibri" w:hAnsi="Calibri"/>
          <w:color w:val="333333"/>
          <w:sz w:val="21"/>
        </w:rPr>
        <w:t>Approach: demonstrate ROI through pilot outcomes, emphasize compliance automation and risk reduction</w:t>
      </w:r>
    </w:p>
    <w:p>
      <w:pPr>
        <w:pStyle w:val="ListBullet"/>
        <w:spacing w:after="60" w:line="300" w:lineRule="exact"/>
      </w:pPr>
      <w:r>
        <w:rPr>
          <w:rFonts w:ascii="Calibri" w:hAnsi="Calibri"/>
          <w:color w:val="333333"/>
          <w:sz w:val="21"/>
        </w:rPr>
        <w:t>Each donor partnership creates dual revenue: direct platform fees + sponsored CSO access</w:t>
      </w:r>
    </w:p>
    <w:tbl>
      <w:tblPr>
        <w:tblW w:type="auto" w:w="0"/>
        <w:jc w:val="center"/>
        <w:tblLayout w:type="autofit"/>
        <w:tblLook w:firstColumn="1" w:firstRow="1" w:lastColumn="0" w:lastRow="0" w:noHBand="0" w:noVBand="1" w:val="04A0"/>
        <w:tblBorders>
          <w:top w:val="single" w:sz="6" w:space="0" w:color="1E40AF"/>
          <w:left w:val="single" w:sz="6" w:space="0" w:color="1E40AF"/>
          <w:bottom w:val="single" w:sz="6" w:space="0" w:color="1E40AF"/>
          <w:right w:val="single" w:sz="6" w:space="0" w:color="1E40AF"/>
        </w:tblBorders>
      </w:tblPr>
      <w:tblGrid>
        <w:gridCol w:w="9406"/>
      </w:tblGrid>
      <w:tr>
        <w:tc>
          <w:tcPr>
            <w:tcW w:type="dxa" w:w="9406"/>
            <w:shd w:fill="EFF6FF" w:val="clear"/>
          </w:tcPr>
          <w:p>
            <w:pPr>
              <w:spacing w:after="80"/>
            </w:pPr>
            <w:r/>
            <w:r>
              <w:rPr>
                <w:rFonts w:ascii="Calibri" w:hAnsi="Calibri"/>
                <w:b/>
                <w:color w:val="1E40AF"/>
                <w:sz w:val="22"/>
              </w:rPr>
              <w:t>How the Cross-Subsidy Model Works</w:t>
            </w:r>
          </w:p>
          <w:p>
            <w:pPr>
              <w:spacing w:after="40"/>
            </w:pPr>
            <w:r>
              <w:rPr>
                <w:rFonts w:ascii="Calibri" w:hAnsi="Calibri"/>
                <w:color w:val="333333"/>
                <w:sz w:val="20"/>
              </w:rPr>
              <w:t>Donor organizations pay a 75% premium over CSO pricing. For every two donor-sponsored organizations onboarded, one CSO receives full platform access at no cost. This creates a self-sustaining ecosystem: donor investment directly expands the network of vetted, assessed, report-ready CSOs — which in turn attracts more donors.</w:t>
            </w:r>
          </w:p>
        </w:tc>
      </w:tr>
    </w:tbl>
    <w:p/>
    <w:p>
      <w:r>
        <w:br w:type="page"/>
      </w:r>
    </w:p>
    <w:p>
      <w:pPr>
        <w:pStyle w:val="Heading1"/>
        <w:spacing w:before="360" w:after="160"/>
      </w:pPr>
      <w:r>
        <w:rPr>
          <w:rFonts w:ascii="Calibri" w:hAnsi="Calibri"/>
          <w:color w:val="1E40AF"/>
        </w:rPr>
        <w:t>8. Competitive Landscape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1E40AF" w:val="clear"/>
          </w:tcPr>
          <w:p>
            <w:pPr>
              <w:spacing w:before="40" w:after="40"/>
            </w:pPr>
            <w:r/>
            <w:r>
              <w:rPr>
                <w:rFonts w:ascii="Calibri" w:hAnsi="Calibri"/>
                <w:b/>
                <w:color w:val="FFFFFF"/>
                <w:sz w:val="18"/>
              </w:rPr>
              <w:t>Competitor</w:t>
            </w:r>
          </w:p>
        </w:tc>
        <w:tc>
          <w:tcPr>
            <w:tcW w:type="dxa" w:w="1568"/>
            <w:shd w:fill="1E40AF" w:val="clear"/>
          </w:tcPr>
          <w:p>
            <w:pPr>
              <w:spacing w:before="40" w:after="40"/>
            </w:pPr>
            <w:r/>
            <w:r>
              <w:rPr>
                <w:rFonts w:ascii="Calibri" w:hAnsi="Calibri"/>
                <w:b/>
                <w:color w:val="FFFFFF"/>
                <w:sz w:val="18"/>
              </w:rPr>
              <w:t>Type</w:t>
            </w:r>
          </w:p>
        </w:tc>
        <w:tc>
          <w:tcPr>
            <w:tcW w:type="dxa" w:w="1568"/>
            <w:shd w:fill="1E40AF" w:val="clear"/>
          </w:tcPr>
          <w:p>
            <w:pPr>
              <w:spacing w:before="40" w:after="40"/>
            </w:pPr>
            <w:r/>
            <w:r>
              <w:rPr>
                <w:rFonts w:ascii="Calibri" w:hAnsi="Calibri"/>
                <w:b/>
                <w:color w:val="FFFFFF"/>
                <w:sz w:val="18"/>
              </w:rPr>
              <w:t>Pricing</w:t>
            </w:r>
          </w:p>
        </w:tc>
        <w:tc>
          <w:tcPr>
            <w:tcW w:type="dxa" w:w="1568"/>
            <w:shd w:fill="1E40AF" w:val="clear"/>
          </w:tcPr>
          <w:p>
            <w:pPr>
              <w:spacing w:before="40" w:after="40"/>
            </w:pPr>
            <w:r/>
            <w:r>
              <w:rPr>
                <w:rFonts w:ascii="Calibri" w:hAnsi="Calibri"/>
                <w:b/>
                <w:color w:val="FFFFFF"/>
                <w:sz w:val="18"/>
              </w:rPr>
              <w:t>Lifecycle Coverage</w:t>
            </w:r>
          </w:p>
        </w:tc>
        <w:tc>
          <w:tcPr>
            <w:tcW w:type="dxa" w:w="1568"/>
            <w:shd w:fill="1E40AF" w:val="clear"/>
          </w:tcPr>
          <w:p>
            <w:pPr>
              <w:spacing w:before="40" w:after="40"/>
            </w:pPr>
            <w:r/>
            <w:r>
              <w:rPr>
                <w:rFonts w:ascii="Calibri" w:hAnsi="Calibri"/>
                <w:b/>
                <w:color w:val="FFFFFF"/>
                <w:sz w:val="18"/>
              </w:rPr>
              <w:t>Global South</w:t>
            </w:r>
          </w:p>
        </w:tc>
        <w:tc>
          <w:tcPr>
            <w:tcW w:type="dxa" w:w="1568"/>
            <w:shd w:fill="1E40AF" w:val="clear"/>
          </w:tcPr>
          <w:p>
            <w:pPr>
              <w:spacing w:before="40" w:after="40"/>
            </w:pPr>
            <w:r/>
            <w:r>
              <w:rPr>
                <w:rFonts w:ascii="Calibri" w:hAnsi="Calibri"/>
                <w:b/>
                <w:color w:val="FFFFFF"/>
                <w:sz w:val="18"/>
              </w:rPr>
              <w:t>AI</w:t>
            </w:r>
          </w:p>
        </w:tc>
      </w:tr>
      <w:tr>
        <w:tc>
          <w:tcPr>
            <w:tcW w:type="dxa" w:w="1568"/>
          </w:tcPr>
          <w:p>
            <w:pPr>
              <w:spacing w:before="40" w:after="40"/>
            </w:pPr>
            <w:r/>
            <w:r>
              <w:rPr>
                <w:rFonts w:ascii="Calibri" w:hAnsi="Calibri"/>
                <w:b w:val="0"/>
                <w:color w:val="333333"/>
                <w:sz w:val="18"/>
              </w:rPr>
              <w:t>Fluxx</w:t>
            </w:r>
          </w:p>
        </w:tc>
        <w:tc>
          <w:tcPr>
            <w:tcW w:type="dxa" w:w="1568"/>
          </w:tcPr>
          <w:p>
            <w:pPr>
              <w:spacing w:before="40" w:after="40"/>
            </w:pPr>
            <w:r/>
            <w:r>
              <w:rPr>
                <w:rFonts w:ascii="Calibri" w:hAnsi="Calibri"/>
                <w:b w:val="0"/>
                <w:color w:val="333333"/>
                <w:sz w:val="18"/>
              </w:rPr>
              <w:t>Donor-side grant mgmt</w:t>
            </w:r>
          </w:p>
        </w:tc>
        <w:tc>
          <w:tcPr>
            <w:tcW w:type="dxa" w:w="1568"/>
          </w:tcPr>
          <w:p>
            <w:pPr>
              <w:spacing w:before="40" w:after="40"/>
            </w:pPr>
            <w:r/>
            <w:r>
              <w:rPr>
                <w:rFonts w:ascii="Calibri" w:hAnsi="Calibri"/>
                <w:b w:val="0"/>
                <w:color w:val="333333"/>
                <w:sz w:val="18"/>
              </w:rPr>
              <w:t>Custom (not public)</w:t>
            </w:r>
          </w:p>
        </w:tc>
        <w:tc>
          <w:tcPr>
            <w:tcW w:type="dxa" w:w="1568"/>
          </w:tcPr>
          <w:p>
            <w:pPr>
              <w:spacing w:before="40" w:after="40"/>
            </w:pPr>
            <w:r/>
            <w:r>
              <w:rPr>
                <w:rFonts w:ascii="Calibri" w:hAnsi="Calibri"/>
                <w:b w:val="0"/>
                <w:color w:val="333333"/>
                <w:sz w:val="18"/>
              </w:rPr>
              <w:t>Application → Reporting</w:t>
            </w:r>
          </w:p>
        </w:tc>
        <w:tc>
          <w:tcPr>
            <w:tcW w:type="dxa" w:w="1568"/>
          </w:tcPr>
          <w:p>
            <w:pPr>
              <w:spacing w:before="40" w:after="40"/>
            </w:pPr>
            <w:r/>
            <w:r>
              <w:rPr>
                <w:rFonts w:ascii="Calibri" w:hAnsi="Calibri"/>
                <w:b w:val="0"/>
                <w:color w:val="333333"/>
                <w:sz w:val="18"/>
              </w:rPr>
              <w:t>No</w:t>
            </w:r>
          </w:p>
        </w:tc>
        <w:tc>
          <w:tcPr>
            <w:tcW w:type="dxa" w:w="1568"/>
          </w:tcPr>
          <w:p>
            <w:pPr>
              <w:spacing w:before="40" w:after="40"/>
            </w:pPr>
            <w:r/>
            <w:r>
              <w:rPr>
                <w:rFonts w:ascii="Calibri" w:hAnsi="Calibri"/>
                <w:b w:val="0"/>
                <w:color w:val="333333"/>
                <w:sz w:val="18"/>
              </w:rPr>
              <w:t>Analytics</w:t>
            </w:r>
          </w:p>
        </w:tc>
      </w:tr>
      <w:tr>
        <w:tc>
          <w:tcPr>
            <w:tcW w:type="dxa" w:w="1568"/>
            <w:shd w:fill="F0F7FF" w:val="clear"/>
          </w:tcPr>
          <w:p>
            <w:pPr>
              <w:spacing w:before="40" w:after="40"/>
            </w:pPr>
            <w:r/>
            <w:r>
              <w:rPr>
                <w:rFonts w:ascii="Calibri" w:hAnsi="Calibri"/>
                <w:b w:val="0"/>
                <w:color w:val="333333"/>
                <w:sz w:val="18"/>
              </w:rPr>
              <w:t>Submittable</w:t>
            </w:r>
          </w:p>
        </w:tc>
        <w:tc>
          <w:tcPr>
            <w:tcW w:type="dxa" w:w="1568"/>
            <w:shd w:fill="F0F7FF" w:val="clear"/>
          </w:tcPr>
          <w:p>
            <w:pPr>
              <w:spacing w:before="40" w:after="40"/>
            </w:pPr>
            <w:r/>
            <w:r>
              <w:rPr>
                <w:rFonts w:ascii="Calibri" w:hAnsi="Calibri"/>
                <w:b w:val="0"/>
                <w:color w:val="333333"/>
                <w:sz w:val="18"/>
              </w:rPr>
              <w:t>Donor-side grant mgmt</w:t>
            </w:r>
          </w:p>
        </w:tc>
        <w:tc>
          <w:tcPr>
            <w:tcW w:type="dxa" w:w="1568"/>
            <w:shd w:fill="F0F7FF" w:val="clear"/>
          </w:tcPr>
          <w:p>
            <w:pPr>
              <w:spacing w:before="40" w:after="40"/>
            </w:pPr>
            <w:r/>
            <w:r>
              <w:rPr>
                <w:rFonts w:ascii="Calibri" w:hAnsi="Calibri"/>
                <w:b w:val="0"/>
                <w:color w:val="333333"/>
                <w:sz w:val="18"/>
              </w:rPr>
              <w:t>~$5K–18K/yr</w:t>
            </w:r>
          </w:p>
        </w:tc>
        <w:tc>
          <w:tcPr>
            <w:tcW w:type="dxa" w:w="1568"/>
            <w:shd w:fill="F0F7FF" w:val="clear"/>
          </w:tcPr>
          <w:p>
            <w:pPr>
              <w:spacing w:before="40" w:after="40"/>
            </w:pPr>
            <w:r/>
            <w:r>
              <w:rPr>
                <w:rFonts w:ascii="Calibri" w:hAnsi="Calibri"/>
                <w:b w:val="0"/>
                <w:color w:val="333333"/>
                <w:sz w:val="18"/>
              </w:rPr>
              <w:t>Application → Review</w:t>
            </w:r>
          </w:p>
        </w:tc>
        <w:tc>
          <w:tcPr>
            <w:tcW w:type="dxa" w:w="1568"/>
            <w:shd w:fill="F0F7FF" w:val="clear"/>
          </w:tcPr>
          <w:p>
            <w:pPr>
              <w:spacing w:before="40" w:after="40"/>
            </w:pPr>
            <w:r/>
            <w:r>
              <w:rPr>
                <w:rFonts w:ascii="Calibri" w:hAnsi="Calibri"/>
                <w:b w:val="0"/>
                <w:color w:val="333333"/>
                <w:sz w:val="18"/>
              </w:rPr>
              <w:t>No</w:t>
            </w:r>
          </w:p>
        </w:tc>
        <w:tc>
          <w:tcPr>
            <w:tcW w:type="dxa" w:w="1568"/>
            <w:shd w:fill="F0F7FF" w:val="clear"/>
          </w:tcPr>
          <w:p>
            <w:pPr>
              <w:spacing w:before="40" w:after="40"/>
            </w:pPr>
            <w:r/>
            <w:r>
              <w:rPr>
                <w:rFonts w:ascii="Calibri" w:hAnsi="Calibri"/>
                <w:b w:val="0"/>
                <w:color w:val="333333"/>
                <w:sz w:val="18"/>
              </w:rPr>
              <w:t>Fraud detection</w:t>
            </w:r>
          </w:p>
        </w:tc>
      </w:tr>
      <w:tr>
        <w:tc>
          <w:tcPr>
            <w:tcW w:type="dxa" w:w="1568"/>
          </w:tcPr>
          <w:p>
            <w:pPr>
              <w:spacing w:before="40" w:after="40"/>
            </w:pPr>
            <w:r/>
            <w:r>
              <w:rPr>
                <w:rFonts w:ascii="Calibri" w:hAnsi="Calibri"/>
                <w:b w:val="0"/>
                <w:color w:val="333333"/>
                <w:sz w:val="18"/>
              </w:rPr>
              <w:t>SmartSimple</w:t>
            </w:r>
          </w:p>
        </w:tc>
        <w:tc>
          <w:tcPr>
            <w:tcW w:type="dxa" w:w="1568"/>
          </w:tcPr>
          <w:p>
            <w:pPr>
              <w:spacing w:before="40" w:after="40"/>
            </w:pPr>
            <w:r/>
            <w:r>
              <w:rPr>
                <w:rFonts w:ascii="Calibri" w:hAnsi="Calibri"/>
                <w:b w:val="0"/>
                <w:color w:val="333333"/>
                <w:sz w:val="18"/>
              </w:rPr>
              <w:t>Donor-side grant mgmt</w:t>
            </w:r>
          </w:p>
        </w:tc>
        <w:tc>
          <w:tcPr>
            <w:tcW w:type="dxa" w:w="1568"/>
          </w:tcPr>
          <w:p>
            <w:pPr>
              <w:spacing w:before="40" w:after="40"/>
            </w:pPr>
            <w:r/>
            <w:r>
              <w:rPr>
                <w:rFonts w:ascii="Calibri" w:hAnsi="Calibri"/>
                <w:b w:val="0"/>
                <w:color w:val="333333"/>
                <w:sz w:val="18"/>
              </w:rPr>
              <w:t>~$6K/yr</w:t>
            </w:r>
          </w:p>
        </w:tc>
        <w:tc>
          <w:tcPr>
            <w:tcW w:type="dxa" w:w="1568"/>
          </w:tcPr>
          <w:p>
            <w:pPr>
              <w:spacing w:before="40" w:after="40"/>
            </w:pPr>
            <w:r/>
            <w:r>
              <w:rPr>
                <w:rFonts w:ascii="Calibri" w:hAnsi="Calibri"/>
                <w:b w:val="0"/>
                <w:color w:val="333333"/>
                <w:sz w:val="18"/>
              </w:rPr>
              <w:t>Application → Reporting</w:t>
            </w:r>
          </w:p>
        </w:tc>
        <w:tc>
          <w:tcPr>
            <w:tcW w:type="dxa" w:w="1568"/>
          </w:tcPr>
          <w:p>
            <w:pPr>
              <w:spacing w:before="40" w:after="40"/>
            </w:pPr>
            <w:r/>
            <w:r>
              <w:rPr>
                <w:rFonts w:ascii="Calibri" w:hAnsi="Calibri"/>
                <w:b w:val="0"/>
                <w:color w:val="333333"/>
                <w:sz w:val="18"/>
              </w:rPr>
              <w:t>Partial</w:t>
            </w:r>
          </w:p>
        </w:tc>
        <w:tc>
          <w:tcPr>
            <w:tcW w:type="dxa" w:w="1568"/>
          </w:tcPr>
          <w:p>
            <w:pPr>
              <w:spacing w:before="40" w:after="40"/>
            </w:pPr>
            <w:r/>
            <w:r>
              <w:rPr>
                <w:rFonts w:ascii="Calibri" w:hAnsi="Calibri"/>
                <w:b w:val="0"/>
                <w:color w:val="333333"/>
                <w:sz w:val="18"/>
              </w:rPr>
              <w:t>+AI add-on</w:t>
            </w:r>
          </w:p>
        </w:tc>
      </w:tr>
      <w:tr>
        <w:tc>
          <w:tcPr>
            <w:tcW w:type="dxa" w:w="1568"/>
            <w:shd w:fill="F0F7FF" w:val="clear"/>
          </w:tcPr>
          <w:p>
            <w:pPr>
              <w:spacing w:before="40" w:after="40"/>
            </w:pPr>
            <w:r/>
            <w:r>
              <w:rPr>
                <w:rFonts w:ascii="Calibri" w:hAnsi="Calibri"/>
                <w:b w:val="0"/>
                <w:color w:val="333333"/>
                <w:sz w:val="18"/>
              </w:rPr>
              <w:t>GlobalGiving</w:t>
            </w:r>
          </w:p>
        </w:tc>
        <w:tc>
          <w:tcPr>
            <w:tcW w:type="dxa" w:w="1568"/>
            <w:shd w:fill="F0F7FF" w:val="clear"/>
          </w:tcPr>
          <w:p>
            <w:pPr>
              <w:spacing w:before="40" w:after="40"/>
            </w:pPr>
            <w:r/>
            <w:r>
              <w:rPr>
                <w:rFonts w:ascii="Calibri" w:hAnsi="Calibri"/>
                <w:b w:val="0"/>
                <w:color w:val="333333"/>
                <w:sz w:val="18"/>
              </w:rPr>
              <w:t>Marketplace</w:t>
            </w:r>
          </w:p>
        </w:tc>
        <w:tc>
          <w:tcPr>
            <w:tcW w:type="dxa" w:w="1568"/>
            <w:shd w:fill="F0F7FF" w:val="clear"/>
          </w:tcPr>
          <w:p>
            <w:pPr>
              <w:spacing w:before="40" w:after="40"/>
            </w:pPr>
            <w:r/>
            <w:r>
              <w:rPr>
                <w:rFonts w:ascii="Calibri" w:hAnsi="Calibri"/>
                <w:b w:val="0"/>
                <w:color w:val="333333"/>
                <w:sz w:val="18"/>
              </w:rPr>
              <w:t>5–12% + 3% fees</w:t>
            </w:r>
          </w:p>
        </w:tc>
        <w:tc>
          <w:tcPr>
            <w:tcW w:type="dxa" w:w="1568"/>
            <w:shd w:fill="F0F7FF" w:val="clear"/>
          </w:tcPr>
          <w:p>
            <w:pPr>
              <w:spacing w:before="40" w:after="40"/>
            </w:pPr>
            <w:r/>
            <w:r>
              <w:rPr>
                <w:rFonts w:ascii="Calibri" w:hAnsi="Calibri"/>
                <w:b w:val="0"/>
                <w:color w:val="333333"/>
                <w:sz w:val="18"/>
              </w:rPr>
              <w:t>Discovery only</w:t>
            </w:r>
          </w:p>
        </w:tc>
        <w:tc>
          <w:tcPr>
            <w:tcW w:type="dxa" w:w="1568"/>
            <w:shd w:fill="F0F7FF" w:val="clear"/>
          </w:tcPr>
          <w:p>
            <w:pPr>
              <w:spacing w:before="40" w:after="40"/>
            </w:pPr>
            <w:r/>
            <w:r>
              <w:rPr>
                <w:rFonts w:ascii="Calibri" w:hAnsi="Calibri"/>
                <w:b w:val="0"/>
                <w:color w:val="333333"/>
                <w:sz w:val="18"/>
              </w:rPr>
              <w:t>Yes</w:t>
            </w:r>
          </w:p>
        </w:tc>
        <w:tc>
          <w:tcPr>
            <w:tcW w:type="dxa" w:w="1568"/>
            <w:shd w:fill="F0F7FF" w:val="clear"/>
          </w:tcPr>
          <w:p>
            <w:pPr>
              <w:spacing w:before="40" w:after="40"/>
            </w:pPr>
            <w:r/>
            <w:r>
              <w:rPr>
                <w:rFonts w:ascii="Calibri" w:hAnsi="Calibri"/>
                <w:b w:val="0"/>
                <w:color w:val="333333"/>
                <w:sz w:val="18"/>
              </w:rPr>
              <w:t>No</w:t>
            </w:r>
          </w:p>
        </w:tc>
      </w:tr>
      <w:tr>
        <w:tc>
          <w:tcPr>
            <w:tcW w:type="dxa" w:w="1568"/>
          </w:tcPr>
          <w:p>
            <w:pPr>
              <w:spacing w:before="40" w:after="40"/>
            </w:pPr>
            <w:r/>
            <w:r>
              <w:rPr>
                <w:rFonts w:ascii="Calibri" w:hAnsi="Calibri"/>
                <w:b w:val="0"/>
                <w:color w:val="333333"/>
                <w:sz w:val="18"/>
              </w:rPr>
              <w:t>UN Partner Portal</w:t>
            </w:r>
          </w:p>
        </w:tc>
        <w:tc>
          <w:tcPr>
            <w:tcW w:type="dxa" w:w="1568"/>
          </w:tcPr>
          <w:p>
            <w:pPr>
              <w:spacing w:before="40" w:after="40"/>
            </w:pPr>
            <w:r/>
            <w:r>
              <w:rPr>
                <w:rFonts w:ascii="Calibri" w:hAnsi="Calibri"/>
                <w:b w:val="0"/>
                <w:color w:val="333333"/>
                <w:sz w:val="18"/>
              </w:rPr>
              <w:t>Due diligence</w:t>
            </w:r>
          </w:p>
        </w:tc>
        <w:tc>
          <w:tcPr>
            <w:tcW w:type="dxa" w:w="1568"/>
          </w:tcPr>
          <w:p>
            <w:pPr>
              <w:spacing w:before="40" w:after="40"/>
            </w:pPr>
            <w:r/>
            <w:r>
              <w:rPr>
                <w:rFonts w:ascii="Calibri" w:hAnsi="Calibri"/>
                <w:b w:val="0"/>
                <w:color w:val="333333"/>
                <w:sz w:val="18"/>
              </w:rPr>
              <w:t>Free</w:t>
            </w:r>
          </w:p>
        </w:tc>
        <w:tc>
          <w:tcPr>
            <w:tcW w:type="dxa" w:w="1568"/>
          </w:tcPr>
          <w:p>
            <w:pPr>
              <w:spacing w:before="40" w:after="40"/>
            </w:pPr>
            <w:r/>
            <w:r>
              <w:rPr>
                <w:rFonts w:ascii="Calibri" w:hAnsi="Calibri"/>
                <w:b w:val="0"/>
                <w:color w:val="333333"/>
                <w:sz w:val="18"/>
              </w:rPr>
              <w:t>Assessment → Application</w:t>
            </w:r>
          </w:p>
        </w:tc>
        <w:tc>
          <w:tcPr>
            <w:tcW w:type="dxa" w:w="1568"/>
          </w:tcPr>
          <w:p>
            <w:pPr>
              <w:spacing w:before="40" w:after="40"/>
            </w:pPr>
            <w:r/>
            <w:r>
              <w:rPr>
                <w:rFonts w:ascii="Calibri" w:hAnsi="Calibri"/>
                <w:b w:val="0"/>
                <w:color w:val="333333"/>
                <w:sz w:val="18"/>
              </w:rPr>
              <w:t>Yes</w:t>
            </w:r>
          </w:p>
        </w:tc>
        <w:tc>
          <w:tcPr>
            <w:tcW w:type="dxa" w:w="1568"/>
          </w:tcPr>
          <w:p>
            <w:pPr>
              <w:spacing w:before="40" w:after="40"/>
            </w:pPr>
            <w:r/>
            <w:r>
              <w:rPr>
                <w:rFonts w:ascii="Calibri" w:hAnsi="Calibri"/>
                <w:b w:val="0"/>
                <w:color w:val="333333"/>
                <w:sz w:val="18"/>
              </w:rPr>
              <w:t>No</w:t>
            </w:r>
          </w:p>
        </w:tc>
      </w:tr>
      <w:tr>
        <w:tc>
          <w:tcPr>
            <w:tcW w:type="dxa" w:w="1568"/>
            <w:shd w:fill="F0F7FF" w:val="clear"/>
          </w:tcPr>
          <w:p>
            <w:pPr>
              <w:spacing w:before="40" w:after="40"/>
            </w:pPr>
            <w:r/>
            <w:r>
              <w:rPr>
                <w:rFonts w:ascii="Calibri" w:hAnsi="Calibri"/>
                <w:b w:val="0"/>
                <w:color w:val="333333"/>
                <w:sz w:val="18"/>
              </w:rPr>
              <w:t>Instrumentl</w:t>
            </w:r>
          </w:p>
        </w:tc>
        <w:tc>
          <w:tcPr>
            <w:tcW w:type="dxa" w:w="1568"/>
            <w:shd w:fill="F0F7FF" w:val="clear"/>
          </w:tcPr>
          <w:p>
            <w:pPr>
              <w:spacing w:before="40" w:after="40"/>
            </w:pPr>
            <w:r/>
            <w:r>
              <w:rPr>
                <w:rFonts w:ascii="Calibri" w:hAnsi="Calibri"/>
                <w:b w:val="0"/>
                <w:color w:val="333333"/>
                <w:sz w:val="18"/>
              </w:rPr>
              <w:t>Grant discovery</w:t>
            </w:r>
          </w:p>
        </w:tc>
        <w:tc>
          <w:tcPr>
            <w:tcW w:type="dxa" w:w="1568"/>
            <w:shd w:fill="F0F7FF" w:val="clear"/>
          </w:tcPr>
          <w:p>
            <w:pPr>
              <w:spacing w:before="40" w:after="40"/>
            </w:pPr>
            <w:r/>
            <w:r>
              <w:rPr>
                <w:rFonts w:ascii="Calibri" w:hAnsi="Calibri"/>
                <w:b w:val="0"/>
                <w:color w:val="333333"/>
                <w:sz w:val="18"/>
              </w:rPr>
              <w:t>$299–499/mo</w:t>
            </w:r>
          </w:p>
        </w:tc>
        <w:tc>
          <w:tcPr>
            <w:tcW w:type="dxa" w:w="1568"/>
            <w:shd w:fill="F0F7FF" w:val="clear"/>
          </w:tcPr>
          <w:p>
            <w:pPr>
              <w:spacing w:before="40" w:after="40"/>
            </w:pPr>
            <w:r/>
            <w:r>
              <w:rPr>
                <w:rFonts w:ascii="Calibri" w:hAnsi="Calibri"/>
                <w:b w:val="0"/>
                <w:color w:val="333333"/>
                <w:sz w:val="18"/>
              </w:rPr>
              <w:t>Discovery only</w:t>
            </w:r>
          </w:p>
        </w:tc>
        <w:tc>
          <w:tcPr>
            <w:tcW w:type="dxa" w:w="1568"/>
            <w:shd w:fill="F0F7FF" w:val="clear"/>
          </w:tcPr>
          <w:p>
            <w:pPr>
              <w:spacing w:before="40" w:after="40"/>
            </w:pPr>
            <w:r/>
            <w:r>
              <w:rPr>
                <w:rFonts w:ascii="Calibri" w:hAnsi="Calibri"/>
                <w:b w:val="0"/>
                <w:color w:val="333333"/>
                <w:sz w:val="18"/>
              </w:rPr>
              <w:t>No</w:t>
            </w:r>
          </w:p>
        </w:tc>
        <w:tc>
          <w:tcPr>
            <w:tcW w:type="dxa" w:w="1568"/>
            <w:shd w:fill="F0F7FF" w:val="clear"/>
          </w:tcPr>
          <w:p>
            <w:pPr>
              <w:spacing w:before="40" w:after="40"/>
            </w:pPr>
            <w:r/>
            <w:r>
              <w:rPr>
                <w:rFonts w:ascii="Calibri" w:hAnsi="Calibri"/>
                <w:b w:val="0"/>
                <w:color w:val="333333"/>
                <w:sz w:val="18"/>
              </w:rPr>
              <w:t>Matching</w:t>
            </w:r>
          </w:p>
        </w:tc>
      </w:tr>
      <w:tr>
        <w:tc>
          <w:tcPr>
            <w:tcW w:type="dxa" w:w="1568"/>
          </w:tcPr>
          <w:p>
            <w:pPr>
              <w:spacing w:before="40" w:after="40"/>
            </w:pPr>
            <w:r/>
            <w:r>
              <w:rPr>
                <w:rFonts w:ascii="Calibri" w:hAnsi="Calibri"/>
                <w:b w:val="0"/>
                <w:color w:val="333333"/>
                <w:sz w:val="18"/>
              </w:rPr>
              <w:t>Kuja</w:t>
            </w:r>
          </w:p>
        </w:tc>
        <w:tc>
          <w:tcPr>
            <w:tcW w:type="dxa" w:w="1568"/>
          </w:tcPr>
          <w:p>
            <w:pPr>
              <w:spacing w:before="40" w:after="40"/>
            </w:pPr>
            <w:r/>
            <w:r>
              <w:rPr>
                <w:rFonts w:ascii="Calibri" w:hAnsi="Calibri"/>
                <w:b w:val="0"/>
                <w:color w:val="333333"/>
                <w:sz w:val="18"/>
              </w:rPr>
              <w:t>End-to-end</w:t>
            </w:r>
          </w:p>
        </w:tc>
        <w:tc>
          <w:tcPr>
            <w:tcW w:type="dxa" w:w="1568"/>
          </w:tcPr>
          <w:p>
            <w:pPr>
              <w:spacing w:before="40" w:after="40"/>
            </w:pPr>
            <w:r/>
            <w:r>
              <w:rPr>
                <w:rFonts w:ascii="Calibri" w:hAnsi="Calibri"/>
                <w:b w:val="0"/>
                <w:color w:val="333333"/>
                <w:sz w:val="18"/>
              </w:rPr>
              <w:t>Free tier + $10K–20K/yr</w:t>
            </w:r>
          </w:p>
        </w:tc>
        <w:tc>
          <w:tcPr>
            <w:tcW w:type="dxa" w:w="1568"/>
          </w:tcPr>
          <w:p>
            <w:pPr>
              <w:spacing w:before="40" w:after="40"/>
            </w:pPr>
            <w:r/>
            <w:r>
              <w:rPr>
                <w:rFonts w:ascii="Calibri" w:hAnsi="Calibri"/>
                <w:b w:val="0"/>
                <w:color w:val="333333"/>
                <w:sz w:val="18"/>
              </w:rPr>
              <w:t>All 8 stages</w:t>
            </w:r>
          </w:p>
        </w:tc>
        <w:tc>
          <w:tcPr>
            <w:tcW w:type="dxa" w:w="1568"/>
          </w:tcPr>
          <w:p>
            <w:pPr>
              <w:spacing w:before="40" w:after="40"/>
            </w:pPr>
            <w:r/>
            <w:r>
              <w:rPr>
                <w:rFonts w:ascii="Calibri" w:hAnsi="Calibri"/>
                <w:b w:val="0"/>
                <w:color w:val="333333"/>
                <w:sz w:val="18"/>
              </w:rPr>
              <w:t>Yes</w:t>
            </w:r>
          </w:p>
        </w:tc>
        <w:tc>
          <w:tcPr>
            <w:tcW w:type="dxa" w:w="1568"/>
          </w:tcPr>
          <w:p>
            <w:pPr>
              <w:spacing w:before="40" w:after="40"/>
            </w:pPr>
            <w:r/>
            <w:r>
              <w:rPr>
                <w:rFonts w:ascii="Calibri" w:hAnsi="Calibri"/>
                <w:b w:val="0"/>
                <w:color w:val="333333"/>
                <w:sz w:val="18"/>
              </w:rPr>
              <w:t>Throughout</w:t>
            </w:r>
          </w:p>
        </w:tc>
      </w:tr>
    </w:tbl>
    <w:tbl>
      <w:tblPr>
        <w:tblW w:type="auto" w:w="0"/>
        <w:jc w:val="center"/>
        <w:tblLayout w:type="autofit"/>
        <w:tblLook w:firstColumn="1" w:firstRow="1" w:lastColumn="0" w:lastRow="0" w:noHBand="0" w:noVBand="1" w:val="04A0"/>
        <w:tblBorders>
          <w:top w:val="single" w:sz="6" w:space="0" w:color="1E40AF"/>
          <w:left w:val="single" w:sz="6" w:space="0" w:color="1E40AF"/>
          <w:bottom w:val="single" w:sz="6" w:space="0" w:color="1E40AF"/>
          <w:right w:val="single" w:sz="6" w:space="0" w:color="1E40AF"/>
        </w:tblBorders>
      </w:tblPr>
      <w:tblGrid>
        <w:gridCol w:w="9406"/>
      </w:tblGrid>
      <w:tr>
        <w:tc>
          <w:tcPr>
            <w:tcW w:type="dxa" w:w="9406"/>
            <w:shd w:fill="EFF6FF" w:val="clear"/>
          </w:tcPr>
          <w:p>
            <w:pPr>
              <w:spacing w:after="80"/>
            </w:pPr>
            <w:r/>
            <w:r>
              <w:rPr>
                <w:rFonts w:ascii="Calibri" w:hAnsi="Calibri"/>
                <w:b/>
                <w:color w:val="1E40AF"/>
                <w:sz w:val="22"/>
              </w:rPr>
              <w:t>Key Finding</w:t>
            </w:r>
          </w:p>
          <w:p>
            <w:pPr>
              <w:spacing w:after="40"/>
            </w:pPr>
            <w:r>
              <w:rPr>
                <w:rFonts w:ascii="Calibri" w:hAnsi="Calibri"/>
                <w:color w:val="333333"/>
                <w:sz w:val="20"/>
              </w:rPr>
              <w:t>No competitor offers all eight of Kuja’s lifecycle stages in a single platform. The closest competitors — Fluxx and SmartSimple — serve only the donor side, cost significantly more, and lack capacity assessment, marketplace discovery, and any meaningful focus on the Global South. Kuja is the only platform that eliminates these gaps by unifying all stages with AI automation throughout.</w:t>
            </w:r>
          </w:p>
        </w:tc>
      </w:tr>
    </w:tbl>
    <w:p/>
    <w:p>
      <w:r>
        <w:br w:type="page"/>
      </w:r>
    </w:p>
    <w:p>
      <w:pPr>
        <w:pStyle w:val="Heading1"/>
        <w:spacing w:before="360" w:after="160"/>
      </w:pPr>
      <w:r>
        <w:rPr>
          <w:rFonts w:ascii="Calibri" w:hAnsi="Calibri"/>
          <w:color w:val="1E40AF"/>
        </w:rPr>
        <w:t>9. Revenue Model &amp; Unit Economics</w:t>
      </w:r>
    </w:p>
    <w:p>
      <w:pPr>
        <w:pStyle w:val="Heading2"/>
        <w:spacing w:before="280" w:after="120"/>
      </w:pPr>
      <w:r>
        <w:rPr>
          <w:rFonts w:ascii="Calibri" w:hAnsi="Calibri"/>
          <w:color w:val="0D9488"/>
        </w:rPr>
        <w:t>Pricing Tiers</w:t>
      </w:r>
    </w:p>
    <w:p>
      <w:pPr>
        <w:pStyle w:val="Heading3"/>
        <w:spacing w:before="200" w:after="80"/>
      </w:pPr>
      <w:r>
        <w:rPr>
          <w:rFonts w:ascii="Calibri" w:hAnsi="Calibri"/>
          <w:color w:val="1E40AF"/>
          <w:sz w:val="24"/>
        </w:rPr>
        <w:t>Application Portal (Donor-Facing)</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Tier</w:t>
            </w:r>
          </w:p>
        </w:tc>
        <w:tc>
          <w:tcPr>
            <w:tcW w:type="dxa" w:w="2351"/>
            <w:shd w:fill="1E40AF" w:val="clear"/>
          </w:tcPr>
          <w:p>
            <w:pPr>
              <w:spacing w:before="40" w:after="40"/>
            </w:pPr>
            <w:r/>
            <w:r>
              <w:rPr>
                <w:rFonts w:ascii="Calibri" w:hAnsi="Calibri"/>
                <w:b/>
                <w:color w:val="FFFFFF"/>
                <w:sz w:val="18"/>
              </w:rPr>
              <w:t>Annual Cost</w:t>
            </w:r>
          </w:p>
        </w:tc>
        <w:tc>
          <w:tcPr>
            <w:tcW w:type="dxa" w:w="2351"/>
            <w:shd w:fill="1E40AF" w:val="clear"/>
          </w:tcPr>
          <w:p>
            <w:pPr>
              <w:spacing w:before="40" w:after="40"/>
            </w:pPr>
            <w:r/>
            <w:r>
              <w:rPr>
                <w:rFonts w:ascii="Calibri" w:hAnsi="Calibri"/>
                <w:b/>
                <w:color w:val="FFFFFF"/>
                <w:sz w:val="18"/>
              </w:rPr>
              <w:t>Proposal Volume</w:t>
            </w:r>
          </w:p>
        </w:tc>
        <w:tc>
          <w:tcPr>
            <w:tcW w:type="dxa" w:w="2351"/>
            <w:shd w:fill="1E40AF" w:val="clear"/>
          </w:tcPr>
          <w:p>
            <w:pPr>
              <w:spacing w:before="40" w:after="40"/>
            </w:pPr>
            <w:r/>
            <w:r>
              <w:rPr>
                <w:rFonts w:ascii="Calibri" w:hAnsi="Calibri"/>
                <w:b/>
                <w:color w:val="FFFFFF"/>
                <w:sz w:val="18"/>
              </w:rPr>
              <w:t>Features</w:t>
            </w:r>
          </w:p>
        </w:tc>
      </w:tr>
      <w:tr>
        <w:tc>
          <w:tcPr>
            <w:tcW w:type="dxa" w:w="2351"/>
          </w:tcPr>
          <w:p>
            <w:pPr>
              <w:spacing w:before="40" w:after="40"/>
            </w:pPr>
            <w:r/>
            <w:r>
              <w:rPr>
                <w:rFonts w:ascii="Calibri" w:hAnsi="Calibri"/>
                <w:b w:val="0"/>
                <w:color w:val="333333"/>
                <w:sz w:val="18"/>
              </w:rPr>
              <w:t>Basic</w:t>
            </w:r>
          </w:p>
        </w:tc>
        <w:tc>
          <w:tcPr>
            <w:tcW w:type="dxa" w:w="2351"/>
          </w:tcPr>
          <w:p>
            <w:pPr>
              <w:spacing w:before="40" w:after="40"/>
            </w:pPr>
            <w:r/>
            <w:r>
              <w:rPr>
                <w:rFonts w:ascii="Calibri" w:hAnsi="Calibri"/>
                <w:b w:val="0"/>
                <w:color w:val="333333"/>
                <w:sz w:val="18"/>
              </w:rPr>
              <w:t>$10,000/yr</w:t>
            </w:r>
          </w:p>
        </w:tc>
        <w:tc>
          <w:tcPr>
            <w:tcW w:type="dxa" w:w="2351"/>
          </w:tcPr>
          <w:p>
            <w:pPr>
              <w:spacing w:before="40" w:after="40"/>
            </w:pPr>
            <w:r/>
            <w:r>
              <w:rPr>
                <w:rFonts w:ascii="Calibri" w:hAnsi="Calibri"/>
                <w:b w:val="0"/>
                <w:color w:val="333333"/>
                <w:sz w:val="18"/>
              </w:rPr>
              <w:t>Up to 10K proposals</w:t>
            </w:r>
          </w:p>
        </w:tc>
        <w:tc>
          <w:tcPr>
            <w:tcW w:type="dxa" w:w="2351"/>
          </w:tcPr>
          <w:p>
            <w:pPr>
              <w:spacing w:before="40" w:after="40"/>
            </w:pPr>
            <w:r/>
            <w:r>
              <w:rPr>
                <w:rFonts w:ascii="Calibri" w:hAnsi="Calibri"/>
                <w:b w:val="0"/>
                <w:color w:val="333333"/>
                <w:sz w:val="18"/>
              </w:rPr>
              <w:t>Application portal + KujaLink listing + AI support + dashboard</w:t>
            </w:r>
          </w:p>
        </w:tc>
      </w:tr>
      <w:tr>
        <w:tc>
          <w:tcPr>
            <w:tcW w:type="dxa" w:w="2351"/>
            <w:shd w:fill="F0F7FF" w:val="clear"/>
          </w:tcPr>
          <w:p>
            <w:pPr>
              <w:spacing w:before="40" w:after="40"/>
            </w:pPr>
            <w:r/>
            <w:r>
              <w:rPr>
                <w:rFonts w:ascii="Calibri" w:hAnsi="Calibri"/>
                <w:b w:val="0"/>
                <w:color w:val="333333"/>
                <w:sz w:val="18"/>
              </w:rPr>
              <w:t>Standard</w:t>
            </w:r>
          </w:p>
        </w:tc>
        <w:tc>
          <w:tcPr>
            <w:tcW w:type="dxa" w:w="2351"/>
            <w:shd w:fill="F0F7FF" w:val="clear"/>
          </w:tcPr>
          <w:p>
            <w:pPr>
              <w:spacing w:before="40" w:after="40"/>
            </w:pPr>
            <w:r/>
            <w:r>
              <w:rPr>
                <w:rFonts w:ascii="Calibri" w:hAnsi="Calibri"/>
                <w:b w:val="0"/>
                <w:color w:val="333333"/>
                <w:sz w:val="18"/>
              </w:rPr>
              <w:t>$12,000–$15,000/yr</w:t>
            </w:r>
          </w:p>
        </w:tc>
        <w:tc>
          <w:tcPr>
            <w:tcW w:type="dxa" w:w="2351"/>
            <w:shd w:fill="F0F7FF" w:val="clear"/>
          </w:tcPr>
          <w:p>
            <w:pPr>
              <w:spacing w:before="40" w:after="40"/>
            </w:pPr>
            <w:r/>
            <w:r>
              <w:rPr>
                <w:rFonts w:ascii="Calibri" w:hAnsi="Calibri"/>
                <w:b w:val="0"/>
                <w:color w:val="333333"/>
                <w:sz w:val="18"/>
              </w:rPr>
              <w:t>15K–20K proposals</w:t>
            </w:r>
          </w:p>
        </w:tc>
        <w:tc>
          <w:tcPr>
            <w:tcW w:type="dxa" w:w="2351"/>
            <w:shd w:fill="F0F7FF" w:val="clear"/>
          </w:tcPr>
          <w:p>
            <w:pPr>
              <w:spacing w:before="40" w:after="40"/>
            </w:pPr>
            <w:r/>
            <w:r>
              <w:rPr>
                <w:rFonts w:ascii="Calibri" w:hAnsi="Calibri"/>
                <w:b w:val="0"/>
                <w:color w:val="333333"/>
                <w:sz w:val="18"/>
              </w:rPr>
              <w:t>Basic + AI matching capabilities</w:t>
            </w:r>
          </w:p>
        </w:tc>
      </w:tr>
      <w:tr>
        <w:tc>
          <w:tcPr>
            <w:tcW w:type="dxa" w:w="2351"/>
          </w:tcPr>
          <w:p>
            <w:pPr>
              <w:spacing w:before="40" w:after="40"/>
            </w:pPr>
            <w:r/>
            <w:r>
              <w:rPr>
                <w:rFonts w:ascii="Calibri" w:hAnsi="Calibri"/>
                <w:b w:val="0"/>
                <w:color w:val="333333"/>
                <w:sz w:val="18"/>
              </w:rPr>
              <w:t>Enterprise</w:t>
            </w:r>
          </w:p>
        </w:tc>
        <w:tc>
          <w:tcPr>
            <w:tcW w:type="dxa" w:w="2351"/>
          </w:tcPr>
          <w:p>
            <w:pPr>
              <w:spacing w:before="40" w:after="40"/>
            </w:pPr>
            <w:r/>
            <w:r>
              <w:rPr>
                <w:rFonts w:ascii="Calibri" w:hAnsi="Calibri"/>
                <w:b w:val="0"/>
                <w:color w:val="333333"/>
                <w:sz w:val="18"/>
              </w:rPr>
              <w:t>Custom</w:t>
            </w:r>
          </w:p>
        </w:tc>
        <w:tc>
          <w:tcPr>
            <w:tcW w:type="dxa" w:w="2351"/>
          </w:tcPr>
          <w:p>
            <w:pPr>
              <w:spacing w:before="40" w:after="40"/>
            </w:pPr>
            <w:r/>
            <w:r>
              <w:rPr>
                <w:rFonts w:ascii="Calibri" w:hAnsi="Calibri"/>
                <w:b w:val="0"/>
                <w:color w:val="333333"/>
                <w:sz w:val="18"/>
              </w:rPr>
              <w:t>20K+ proposals</w:t>
            </w:r>
          </w:p>
        </w:tc>
        <w:tc>
          <w:tcPr>
            <w:tcW w:type="dxa" w:w="2351"/>
          </w:tcPr>
          <w:p>
            <w:pPr>
              <w:spacing w:before="40" w:after="40"/>
            </w:pPr>
            <w:r/>
            <w:r>
              <w:rPr>
                <w:rFonts w:ascii="Calibri" w:hAnsi="Calibri"/>
                <w:b w:val="0"/>
                <w:color w:val="333333"/>
                <w:sz w:val="18"/>
              </w:rPr>
              <w:t>All features + capacity assessment integration + direct grantee matching</w:t>
            </w:r>
          </w:p>
        </w:tc>
      </w:tr>
    </w:tbl>
    <w:p>
      <w:pPr>
        <w:pStyle w:val="Heading3"/>
        <w:spacing w:before="200" w:after="80"/>
      </w:pPr>
      <w:r>
        <w:rPr>
          <w:rFonts w:ascii="Calibri" w:hAnsi="Calibri"/>
          <w:color w:val="1E40AF"/>
          <w:sz w:val="24"/>
        </w:rPr>
        <w:t>ERP Suites (Organization-Facing)</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Suite</w:t>
            </w:r>
          </w:p>
        </w:tc>
        <w:tc>
          <w:tcPr>
            <w:tcW w:type="dxa" w:w="3135"/>
            <w:shd w:fill="1E40AF" w:val="clear"/>
          </w:tcPr>
          <w:p>
            <w:pPr>
              <w:spacing w:before="40" w:after="40"/>
            </w:pPr>
            <w:r/>
            <w:r>
              <w:rPr>
                <w:rFonts w:ascii="Calibri" w:hAnsi="Calibri"/>
                <w:b/>
                <w:color w:val="FFFFFF"/>
                <w:sz w:val="18"/>
              </w:rPr>
              <w:t>Modules</w:t>
            </w:r>
          </w:p>
        </w:tc>
        <w:tc>
          <w:tcPr>
            <w:tcW w:type="dxa" w:w="3135"/>
            <w:shd w:fill="1E40AF" w:val="clear"/>
          </w:tcPr>
          <w:p>
            <w:pPr>
              <w:spacing w:before="40" w:after="40"/>
            </w:pPr>
            <w:r/>
            <w:r>
              <w:rPr>
                <w:rFonts w:ascii="Calibri" w:hAnsi="Calibri"/>
                <w:b/>
                <w:color w:val="FFFFFF"/>
                <w:sz w:val="18"/>
              </w:rPr>
              <w:t>Target</w:t>
            </w:r>
          </w:p>
        </w:tc>
      </w:tr>
      <w:tr>
        <w:tc>
          <w:tcPr>
            <w:tcW w:type="dxa" w:w="3135"/>
          </w:tcPr>
          <w:p>
            <w:pPr>
              <w:spacing w:before="40" w:after="40"/>
            </w:pPr>
            <w:r/>
            <w:r>
              <w:rPr>
                <w:rFonts w:ascii="Calibri" w:hAnsi="Calibri"/>
                <w:b w:val="0"/>
                <w:color w:val="333333"/>
                <w:sz w:val="18"/>
              </w:rPr>
              <w:t>Basic</w:t>
            </w:r>
          </w:p>
        </w:tc>
        <w:tc>
          <w:tcPr>
            <w:tcW w:type="dxa" w:w="3135"/>
          </w:tcPr>
          <w:p>
            <w:pPr>
              <w:spacing w:before="40" w:after="40"/>
            </w:pPr>
            <w:r/>
            <w:r>
              <w:rPr>
                <w:rFonts w:ascii="Calibri" w:hAnsi="Calibri"/>
                <w:b w:val="0"/>
                <w:color w:val="333333"/>
                <w:sz w:val="18"/>
              </w:rPr>
              <w:t>Grant management, donor management, accounting, financial reporting</w:t>
            </w:r>
          </w:p>
        </w:tc>
        <w:tc>
          <w:tcPr>
            <w:tcW w:type="dxa" w:w="3135"/>
          </w:tcPr>
          <w:p>
            <w:pPr>
              <w:spacing w:before="40" w:after="40"/>
            </w:pPr>
            <w:r/>
            <w:r>
              <w:rPr>
                <w:rFonts w:ascii="Calibri" w:hAnsi="Calibri"/>
                <w:b w:val="0"/>
                <w:color w:val="333333"/>
                <w:sz w:val="18"/>
              </w:rPr>
              <w:t>Small CSOs needing core operations</w:t>
            </w:r>
          </w:p>
        </w:tc>
      </w:tr>
      <w:tr>
        <w:tc>
          <w:tcPr>
            <w:tcW w:type="dxa" w:w="3135"/>
            <w:shd w:fill="F0F7FF" w:val="clear"/>
          </w:tcPr>
          <w:p>
            <w:pPr>
              <w:spacing w:before="40" w:after="40"/>
            </w:pPr>
            <w:r/>
            <w:r>
              <w:rPr>
                <w:rFonts w:ascii="Calibri" w:hAnsi="Calibri"/>
                <w:b w:val="0"/>
                <w:color w:val="333333"/>
                <w:sz w:val="18"/>
              </w:rPr>
              <w:t>Premium</w:t>
            </w:r>
          </w:p>
        </w:tc>
        <w:tc>
          <w:tcPr>
            <w:tcW w:type="dxa" w:w="3135"/>
            <w:shd w:fill="F0F7FF" w:val="clear"/>
          </w:tcPr>
          <w:p>
            <w:pPr>
              <w:spacing w:before="40" w:after="40"/>
            </w:pPr>
            <w:r/>
            <w:r>
              <w:rPr>
                <w:rFonts w:ascii="Calibri" w:hAnsi="Calibri"/>
                <w:b w:val="0"/>
                <w:color w:val="333333"/>
                <w:sz w:val="18"/>
              </w:rPr>
              <w:t>Basic + asset management, procurement, payroll integration</w:t>
            </w:r>
          </w:p>
        </w:tc>
        <w:tc>
          <w:tcPr>
            <w:tcW w:type="dxa" w:w="3135"/>
            <w:shd w:fill="F0F7FF" w:val="clear"/>
          </w:tcPr>
          <w:p>
            <w:pPr>
              <w:spacing w:before="40" w:after="40"/>
            </w:pPr>
            <w:r/>
            <w:r>
              <w:rPr>
                <w:rFonts w:ascii="Calibri" w:hAnsi="Calibri"/>
                <w:b w:val="0"/>
                <w:color w:val="333333"/>
                <w:sz w:val="18"/>
              </w:rPr>
              <w:t>Mid-size organizations</w:t>
            </w:r>
          </w:p>
        </w:tc>
      </w:tr>
      <w:tr>
        <w:tc>
          <w:tcPr>
            <w:tcW w:type="dxa" w:w="3135"/>
          </w:tcPr>
          <w:p>
            <w:pPr>
              <w:spacing w:before="40" w:after="40"/>
            </w:pPr>
            <w:r/>
            <w:r>
              <w:rPr>
                <w:rFonts w:ascii="Calibri" w:hAnsi="Calibri"/>
                <w:b w:val="0"/>
                <w:color w:val="333333"/>
                <w:sz w:val="18"/>
              </w:rPr>
              <w:t>Premium+</w:t>
            </w:r>
          </w:p>
        </w:tc>
        <w:tc>
          <w:tcPr>
            <w:tcW w:type="dxa" w:w="3135"/>
          </w:tcPr>
          <w:p>
            <w:pPr>
              <w:spacing w:before="40" w:after="40"/>
            </w:pPr>
            <w:r/>
            <w:r>
              <w:rPr>
                <w:rFonts w:ascii="Calibri" w:hAnsi="Calibri"/>
                <w:b w:val="0"/>
                <w:color w:val="333333"/>
                <w:sz w:val="18"/>
              </w:rPr>
              <w:t>Premium + project management, HRIS, MEAL, document management</w:t>
            </w:r>
          </w:p>
        </w:tc>
        <w:tc>
          <w:tcPr>
            <w:tcW w:type="dxa" w:w="3135"/>
          </w:tcPr>
          <w:p>
            <w:pPr>
              <w:spacing w:before="40" w:after="40"/>
            </w:pPr>
            <w:r/>
            <w:r>
              <w:rPr>
                <w:rFonts w:ascii="Calibri" w:hAnsi="Calibri"/>
                <w:b w:val="0"/>
                <w:color w:val="333333"/>
                <w:sz w:val="18"/>
              </w:rPr>
              <w:t>Large NGOs with complex operations</w:t>
            </w:r>
          </w:p>
        </w:tc>
      </w:tr>
    </w:tbl>
    <w:p>
      <w:pPr>
        <w:pStyle w:val="Heading2"/>
        <w:spacing w:before="280" w:after="120"/>
      </w:pPr>
      <w:r>
        <w:rPr>
          <w:rFonts w:ascii="Calibri" w:hAnsi="Calibri"/>
          <w:color w:val="0D9488"/>
        </w:rPr>
        <w:t>2026 Revenue Breakdown</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Stream</w:t>
            </w:r>
          </w:p>
        </w:tc>
        <w:tc>
          <w:tcPr>
            <w:tcW w:type="dxa" w:w="3135"/>
            <w:shd w:fill="1E40AF" w:val="clear"/>
          </w:tcPr>
          <w:p>
            <w:pPr>
              <w:spacing w:before="40" w:after="40"/>
            </w:pPr>
            <w:r/>
            <w:r>
              <w:rPr>
                <w:rFonts w:ascii="Calibri" w:hAnsi="Calibri"/>
                <w:b/>
                <w:color w:val="FFFFFF"/>
                <w:sz w:val="18"/>
              </w:rPr>
              <w:t>Target</w:t>
            </w:r>
          </w:p>
        </w:tc>
        <w:tc>
          <w:tcPr>
            <w:tcW w:type="dxa" w:w="3135"/>
            <w:shd w:fill="1E40AF" w:val="clear"/>
          </w:tcPr>
          <w:p>
            <w:pPr>
              <w:spacing w:before="40" w:after="40"/>
            </w:pPr>
            <w:r/>
            <w:r>
              <w:rPr>
                <w:rFonts w:ascii="Calibri" w:hAnsi="Calibri"/>
                <w:b/>
                <w:color w:val="FFFFFF"/>
                <w:sz w:val="18"/>
              </w:rPr>
              <w:t>Notes</w:t>
            </w:r>
          </w:p>
        </w:tc>
      </w:tr>
      <w:tr>
        <w:tc>
          <w:tcPr>
            <w:tcW w:type="dxa" w:w="3135"/>
          </w:tcPr>
          <w:p>
            <w:pPr>
              <w:spacing w:before="40" w:after="40"/>
            </w:pPr>
            <w:r/>
            <w:r>
              <w:rPr>
                <w:rFonts w:ascii="Calibri" w:hAnsi="Calibri"/>
                <w:b w:val="0"/>
                <w:color w:val="333333"/>
                <w:sz w:val="18"/>
              </w:rPr>
              <w:t>ERP Software &amp; Outsourcing</w:t>
            </w:r>
          </w:p>
        </w:tc>
        <w:tc>
          <w:tcPr>
            <w:tcW w:type="dxa" w:w="3135"/>
          </w:tcPr>
          <w:p>
            <w:pPr>
              <w:spacing w:before="40" w:after="40"/>
            </w:pPr>
            <w:r/>
            <w:r>
              <w:rPr>
                <w:rFonts w:ascii="Calibri" w:hAnsi="Calibri"/>
                <w:b w:val="0"/>
                <w:color w:val="333333"/>
                <w:sz w:val="18"/>
              </w:rPr>
              <w:t>$300K</w:t>
            </w:r>
          </w:p>
        </w:tc>
        <w:tc>
          <w:tcPr>
            <w:tcW w:type="dxa" w:w="3135"/>
          </w:tcPr>
          <w:p>
            <w:pPr>
              <w:spacing w:before="40" w:after="40"/>
            </w:pPr>
            <w:r/>
            <w:r>
              <w:rPr>
                <w:rFonts w:ascii="Calibri" w:hAnsi="Calibri"/>
                <w:b w:val="0"/>
                <w:color w:val="333333"/>
                <w:sz w:val="18"/>
              </w:rPr>
              <w:t>Direct sales to donors/INGOs</w:t>
            </w:r>
          </w:p>
        </w:tc>
      </w:tr>
      <w:tr>
        <w:tc>
          <w:tcPr>
            <w:tcW w:type="dxa" w:w="3135"/>
            <w:shd w:fill="F0F7FF" w:val="clear"/>
          </w:tcPr>
          <w:p>
            <w:pPr>
              <w:spacing w:before="40" w:after="40"/>
            </w:pPr>
            <w:r/>
            <w:r>
              <w:rPr>
                <w:rFonts w:ascii="Calibri" w:hAnsi="Calibri"/>
                <w:b w:val="0"/>
                <w:color w:val="333333"/>
                <w:sz w:val="18"/>
              </w:rPr>
              <w:t>End-to-End Solution</w:t>
            </w:r>
          </w:p>
        </w:tc>
        <w:tc>
          <w:tcPr>
            <w:tcW w:type="dxa" w:w="3135"/>
            <w:shd w:fill="F0F7FF" w:val="clear"/>
          </w:tcPr>
          <w:p>
            <w:pPr>
              <w:spacing w:before="40" w:after="40"/>
            </w:pPr>
            <w:r/>
            <w:r>
              <w:rPr>
                <w:rFonts w:ascii="Calibri" w:hAnsi="Calibri"/>
                <w:b w:val="0"/>
                <w:color w:val="333333"/>
                <w:sz w:val="18"/>
              </w:rPr>
              <w:t>$650K</w:t>
            </w:r>
          </w:p>
        </w:tc>
        <w:tc>
          <w:tcPr>
            <w:tcW w:type="dxa" w:w="3135"/>
            <w:shd w:fill="F0F7FF" w:val="clear"/>
          </w:tcPr>
          <w:p>
            <w:pPr>
              <w:spacing w:before="40" w:after="40"/>
            </w:pPr>
            <w:r/>
            <w:r>
              <w:rPr>
                <w:rFonts w:ascii="Calibri" w:hAnsi="Calibri"/>
                <w:b w:val="0"/>
                <w:color w:val="333333"/>
                <w:sz w:val="18"/>
              </w:rPr>
              <w:t>Integrated contracts with donor organizations</w:t>
            </w:r>
          </w:p>
        </w:tc>
      </w:tr>
      <w:tr>
        <w:tc>
          <w:tcPr>
            <w:tcW w:type="dxa" w:w="3135"/>
          </w:tcPr>
          <w:p>
            <w:pPr>
              <w:spacing w:before="40" w:after="40"/>
            </w:pPr>
            <w:r/>
            <w:r>
              <w:rPr>
                <w:rFonts w:ascii="Calibri" w:hAnsi="Calibri"/>
                <w:b w:val="0"/>
                <w:color w:val="333333"/>
                <w:sz w:val="18"/>
              </w:rPr>
              <w:t>Application Portal</w:t>
            </w:r>
          </w:p>
        </w:tc>
        <w:tc>
          <w:tcPr>
            <w:tcW w:type="dxa" w:w="3135"/>
          </w:tcPr>
          <w:p>
            <w:pPr>
              <w:spacing w:before="40" w:after="40"/>
            </w:pPr>
            <w:r/>
            <w:r>
              <w:rPr>
                <w:rFonts w:ascii="Calibri" w:hAnsi="Calibri"/>
                <w:b w:val="0"/>
                <w:color w:val="333333"/>
                <w:sz w:val="18"/>
              </w:rPr>
              <w:t>$50K</w:t>
            </w:r>
          </w:p>
        </w:tc>
        <w:tc>
          <w:tcPr>
            <w:tcW w:type="dxa" w:w="3135"/>
          </w:tcPr>
          <w:p>
            <w:pPr>
              <w:spacing w:before="40" w:after="40"/>
            </w:pPr>
            <w:r/>
            <w:r>
              <w:rPr>
                <w:rFonts w:ascii="Calibri" w:hAnsi="Calibri"/>
                <w:b w:val="0"/>
                <w:color w:val="333333"/>
                <w:sz w:val="18"/>
              </w:rPr>
              <w:t>Self-service + sales-assisted</w:t>
            </w:r>
          </w:p>
        </w:tc>
      </w:tr>
      <w:tr>
        <w:tc>
          <w:tcPr>
            <w:tcW w:type="dxa" w:w="3135"/>
            <w:shd w:fill="F0F7FF" w:val="clear"/>
          </w:tcPr>
          <w:p>
            <w:pPr>
              <w:spacing w:before="40" w:after="40"/>
            </w:pPr>
            <w:r/>
            <w:r>
              <w:rPr>
                <w:rFonts w:ascii="Calibri" w:hAnsi="Calibri"/>
                <w:b w:val="0"/>
                <w:color w:val="333333"/>
                <w:sz w:val="18"/>
              </w:rPr>
              <w:t>Total</w:t>
            </w:r>
          </w:p>
        </w:tc>
        <w:tc>
          <w:tcPr>
            <w:tcW w:type="dxa" w:w="3135"/>
            <w:shd w:fill="F0F7FF" w:val="clear"/>
          </w:tcPr>
          <w:p>
            <w:pPr>
              <w:spacing w:before="40" w:after="40"/>
            </w:pPr>
            <w:r/>
            <w:r>
              <w:rPr>
                <w:rFonts w:ascii="Calibri" w:hAnsi="Calibri"/>
                <w:b w:val="0"/>
                <w:color w:val="333333"/>
                <w:sz w:val="18"/>
              </w:rPr>
              <w:t>$1M</w:t>
            </w:r>
          </w:p>
        </w:tc>
        <w:tc>
          <w:tcPr>
            <w:tcW w:type="dxa" w:w="3135"/>
            <w:shd w:fill="F0F7FF" w:val="clear"/>
          </w:tcPr>
          <w:p>
            <w:pPr>
              <w:spacing w:before="40" w:after="40"/>
            </w:pPr>
            <w:r/>
            <w:r>
              <w:rPr>
                <w:rFonts w:ascii="Calibri" w:hAnsi="Calibri"/>
                <w:b w:val="0"/>
                <w:color w:val="333333"/>
                <w:sz w:val="18"/>
              </w:rPr>
            </w:r>
          </w:p>
        </w:tc>
      </w:tr>
    </w:tbl>
    <w:p>
      <w:pPr>
        <w:pStyle w:val="Heading2"/>
        <w:spacing w:before="280" w:after="120"/>
      </w:pPr>
      <w:r>
        <w:rPr>
          <w:rFonts w:ascii="Calibri" w:hAnsi="Calibri"/>
          <w:color w:val="0D9488"/>
        </w:rPr>
        <w:t>Revenue Trajectory</w:t>
      </w:r>
    </w:p>
    <w:p>
      <w:pPr>
        <w:spacing w:after="120" w:line="300" w:lineRule="exact"/>
      </w:pPr>
      <w:r>
        <w:rPr>
          <w:rFonts w:ascii="Calibri" w:hAnsi="Calibri"/>
          <w:b w:val="0"/>
          <w:i w:val="0"/>
          <w:color w:val="333333"/>
          <w:sz w:val="21"/>
        </w:rPr>
        <w:t>$1M in 2026 (validation year) → Scale through ERP adoption and geographic expansion in 2027 → Profitability target at $2M+ ARR in 2029. The marketplace-to-ERP conversion funnel creates predictable revenue growth: free marketplace users convert to assessment users, who convert to grant management subscribers, who convert to ERP customers — each stage increasing lifetime value.</w:t>
      </w:r>
    </w:p>
    <w:p>
      <w:pPr>
        <w:pStyle w:val="Heading2"/>
        <w:spacing w:before="280" w:after="120"/>
      </w:pPr>
      <w:r>
        <w:rPr>
          <w:rFonts w:ascii="Calibri" w:hAnsi="Calibri"/>
          <w:color w:val="0D9488"/>
        </w:rPr>
        <w:t>Unit Economics Framework</w:t>
      </w:r>
    </w:p>
    <w:p>
      <w:pPr>
        <w:spacing w:after="120" w:line="300" w:lineRule="exact"/>
      </w:pPr>
      <w:r>
        <w:rPr>
          <w:rFonts w:ascii="Calibri" w:hAnsi="Calibri"/>
          <w:b w:val="0"/>
          <w:i w:val="0"/>
          <w:color w:val="333333"/>
          <w:sz w:val="21"/>
        </w:rPr>
        <w:t>Customer acquisition cost (CAC) is driven primarily through CSO network partnerships, reducing the need for expensive outbound marketing. With network MOUs providing access to 50–500+ organizations per partnership, the effective CAC per CSO is estimated at $50–200 (cost of network partnership divided by members activated). For donor enterprise deals, CAC is higher ($2,000–$5,000 per deal) but offset by annual contract values of $10,000–$20,000+, yielding a payback period under 6 months. The cross-subsidy model ensures that each donor contract also onboards CSOs at near-zero marginal cost, creating compounding network value.</w:t>
      </w:r>
    </w:p>
    <w:p>
      <w:r>
        <w:br w:type="page"/>
      </w:r>
    </w:p>
    <w:p>
      <w:pPr>
        <w:pStyle w:val="Heading1"/>
        <w:spacing w:before="360" w:after="160"/>
      </w:pPr>
      <w:r>
        <w:rPr>
          <w:rFonts w:ascii="Calibri" w:hAnsi="Calibri"/>
          <w:color w:val="1E40AF"/>
        </w:rPr>
        <w:t>10. 2026 Targets &amp; Milestones</w:t>
      </w:r>
    </w:p>
    <w:p>
      <w:pPr>
        <w:pStyle w:val="Heading2"/>
        <w:spacing w:before="280" w:after="120"/>
      </w:pPr>
      <w:r>
        <w:rPr>
          <w:rFonts w:ascii="Calibri" w:hAnsi="Calibri"/>
          <w:color w:val="0D9488"/>
        </w:rPr>
        <w:t>Key Performance Indicators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Metric</w:t>
            </w:r>
          </w:p>
        </w:tc>
        <w:tc>
          <w:tcPr>
            <w:tcW w:type="dxa" w:w="4703"/>
            <w:shd w:fill="1E40AF" w:val="clear"/>
          </w:tcPr>
          <w:p>
            <w:pPr>
              <w:spacing w:before="40" w:after="40"/>
            </w:pPr>
            <w:r/>
            <w:r>
              <w:rPr>
                <w:rFonts w:ascii="Calibri" w:hAnsi="Calibri"/>
                <w:b/>
                <w:color w:val="FFFFFF"/>
                <w:sz w:val="18"/>
              </w:rPr>
              <w:t>2026 Target</w:t>
            </w:r>
          </w:p>
        </w:tc>
      </w:tr>
      <w:tr>
        <w:tc>
          <w:tcPr>
            <w:tcW w:type="dxa" w:w="4703"/>
          </w:tcPr>
          <w:p>
            <w:pPr>
              <w:spacing w:before="40" w:after="40"/>
            </w:pPr>
            <w:r/>
            <w:r>
              <w:rPr>
                <w:rFonts w:ascii="Calibri" w:hAnsi="Calibri"/>
                <w:b w:val="0"/>
                <w:color w:val="333333"/>
                <w:sz w:val="18"/>
              </w:rPr>
              <w:t>Sales revenue</w:t>
            </w:r>
          </w:p>
        </w:tc>
        <w:tc>
          <w:tcPr>
            <w:tcW w:type="dxa" w:w="4703"/>
          </w:tcPr>
          <w:p>
            <w:pPr>
              <w:spacing w:before="40" w:after="40"/>
            </w:pPr>
            <w:r/>
            <w:r>
              <w:rPr>
                <w:rFonts w:ascii="Calibri" w:hAnsi="Calibri"/>
                <w:b w:val="0"/>
                <w:color w:val="333333"/>
                <w:sz w:val="18"/>
              </w:rPr>
              <w:t>$1M</w:t>
            </w:r>
          </w:p>
        </w:tc>
      </w:tr>
      <w:tr>
        <w:tc>
          <w:tcPr>
            <w:tcW w:type="dxa" w:w="4703"/>
            <w:shd w:fill="F0F7FF" w:val="clear"/>
          </w:tcPr>
          <w:p>
            <w:pPr>
              <w:spacing w:before="40" w:after="40"/>
            </w:pPr>
            <w:r/>
            <w:r>
              <w:rPr>
                <w:rFonts w:ascii="Calibri" w:hAnsi="Calibri"/>
                <w:b w:val="0"/>
                <w:color w:val="333333"/>
                <w:sz w:val="18"/>
              </w:rPr>
              <w:t>CSO profiles on marketplace</w:t>
            </w:r>
          </w:p>
        </w:tc>
        <w:tc>
          <w:tcPr>
            <w:tcW w:type="dxa" w:w="4703"/>
            <w:shd w:fill="F0F7FF" w:val="clear"/>
          </w:tcPr>
          <w:p>
            <w:pPr>
              <w:spacing w:before="40" w:after="40"/>
            </w:pPr>
            <w:r/>
            <w:r>
              <w:rPr>
                <w:rFonts w:ascii="Calibri" w:hAnsi="Calibri"/>
                <w:b w:val="0"/>
                <w:color w:val="333333"/>
                <w:sz w:val="18"/>
              </w:rPr>
              <w:t>2,500</w:t>
            </w:r>
          </w:p>
        </w:tc>
      </w:tr>
      <w:tr>
        <w:tc>
          <w:tcPr>
            <w:tcW w:type="dxa" w:w="4703"/>
          </w:tcPr>
          <w:p>
            <w:pPr>
              <w:spacing w:before="40" w:after="40"/>
            </w:pPr>
            <w:r/>
            <w:r>
              <w:rPr>
                <w:rFonts w:ascii="Calibri" w:hAnsi="Calibri"/>
                <w:b w:val="0"/>
                <w:color w:val="333333"/>
                <w:sz w:val="18"/>
              </w:rPr>
              <w:t>INGO/Donor profiles</w:t>
            </w:r>
          </w:p>
        </w:tc>
        <w:tc>
          <w:tcPr>
            <w:tcW w:type="dxa" w:w="4703"/>
          </w:tcPr>
          <w:p>
            <w:pPr>
              <w:spacing w:before="40" w:after="40"/>
            </w:pPr>
            <w:r/>
            <w:r>
              <w:rPr>
                <w:rFonts w:ascii="Calibri" w:hAnsi="Calibri"/>
                <w:b w:val="0"/>
                <w:color w:val="333333"/>
                <w:sz w:val="18"/>
              </w:rPr>
              <w:t>25</w:t>
            </w:r>
          </w:p>
        </w:tc>
      </w:tr>
      <w:tr>
        <w:tc>
          <w:tcPr>
            <w:tcW w:type="dxa" w:w="4703"/>
            <w:shd w:fill="F0F7FF" w:val="clear"/>
          </w:tcPr>
          <w:p>
            <w:pPr>
              <w:spacing w:before="40" w:after="40"/>
            </w:pPr>
            <w:r/>
            <w:r>
              <w:rPr>
                <w:rFonts w:ascii="Calibri" w:hAnsi="Calibri"/>
                <w:b w:val="0"/>
                <w:color w:val="333333"/>
                <w:sz w:val="18"/>
              </w:rPr>
              <w:t>Individual user profiles</w:t>
            </w:r>
          </w:p>
        </w:tc>
        <w:tc>
          <w:tcPr>
            <w:tcW w:type="dxa" w:w="4703"/>
            <w:shd w:fill="F0F7FF" w:val="clear"/>
          </w:tcPr>
          <w:p>
            <w:pPr>
              <w:spacing w:before="40" w:after="40"/>
            </w:pPr>
            <w:r/>
            <w:r>
              <w:rPr>
                <w:rFonts w:ascii="Calibri" w:hAnsi="Calibri"/>
                <w:b w:val="0"/>
                <w:color w:val="333333"/>
                <w:sz w:val="18"/>
              </w:rPr>
              <w:t>7,500</w:t>
            </w:r>
          </w:p>
        </w:tc>
      </w:tr>
      <w:tr>
        <w:tc>
          <w:tcPr>
            <w:tcW w:type="dxa" w:w="4703"/>
          </w:tcPr>
          <w:p>
            <w:pPr>
              <w:spacing w:before="40" w:after="40"/>
            </w:pPr>
            <w:r/>
            <w:r>
              <w:rPr>
                <w:rFonts w:ascii="Calibri" w:hAnsi="Calibri"/>
                <w:b w:val="0"/>
                <w:color w:val="333333"/>
                <w:sz w:val="18"/>
              </w:rPr>
              <w:t>User retention rate</w:t>
            </w:r>
          </w:p>
        </w:tc>
        <w:tc>
          <w:tcPr>
            <w:tcW w:type="dxa" w:w="4703"/>
          </w:tcPr>
          <w:p>
            <w:pPr>
              <w:spacing w:before="40" w:after="40"/>
            </w:pPr>
            <w:r/>
            <w:r>
              <w:rPr>
                <w:rFonts w:ascii="Calibri" w:hAnsi="Calibri"/>
                <w:b w:val="0"/>
                <w:color w:val="333333"/>
                <w:sz w:val="18"/>
              </w:rPr>
              <w:t>75%</w:t>
            </w:r>
          </w:p>
        </w:tc>
      </w:tr>
      <w:tr>
        <w:tc>
          <w:tcPr>
            <w:tcW w:type="dxa" w:w="4703"/>
            <w:shd w:fill="F0F7FF" w:val="clear"/>
          </w:tcPr>
          <w:p>
            <w:pPr>
              <w:spacing w:before="40" w:after="40"/>
            </w:pPr>
            <w:r/>
            <w:r>
              <w:rPr>
                <w:rFonts w:ascii="Calibri" w:hAnsi="Calibri"/>
                <w:b w:val="0"/>
                <w:color w:val="333333"/>
                <w:sz w:val="18"/>
              </w:rPr>
              <w:t>CSO Network MOUs signed</w:t>
            </w:r>
          </w:p>
        </w:tc>
        <w:tc>
          <w:tcPr>
            <w:tcW w:type="dxa" w:w="4703"/>
            <w:shd w:fill="F0F7FF" w:val="clear"/>
          </w:tcPr>
          <w:p>
            <w:pPr>
              <w:spacing w:before="40" w:after="40"/>
            </w:pPr>
            <w:r/>
            <w:r>
              <w:rPr>
                <w:rFonts w:ascii="Calibri" w:hAnsi="Calibri"/>
                <w:b w:val="0"/>
                <w:color w:val="333333"/>
                <w:sz w:val="18"/>
              </w:rPr>
              <w:t>10</w:t>
            </w:r>
          </w:p>
        </w:tc>
      </w:tr>
      <w:tr>
        <w:tc>
          <w:tcPr>
            <w:tcW w:type="dxa" w:w="4703"/>
          </w:tcPr>
          <w:p>
            <w:pPr>
              <w:spacing w:before="40" w:after="40"/>
            </w:pPr>
            <w:r/>
            <w:r>
              <w:rPr>
                <w:rFonts w:ascii="Calibri" w:hAnsi="Calibri"/>
                <w:b w:val="0"/>
                <w:color w:val="333333"/>
                <w:sz w:val="18"/>
              </w:rPr>
              <w:t>CSOs matched to funded grants</w:t>
            </w:r>
          </w:p>
        </w:tc>
        <w:tc>
          <w:tcPr>
            <w:tcW w:type="dxa" w:w="4703"/>
          </w:tcPr>
          <w:p>
            <w:pPr>
              <w:spacing w:before="40" w:after="40"/>
            </w:pPr>
            <w:r/>
            <w:r>
              <w:rPr>
                <w:rFonts w:ascii="Calibri" w:hAnsi="Calibri"/>
                <w:b w:val="0"/>
                <w:color w:val="333333"/>
                <w:sz w:val="18"/>
              </w:rPr>
              <w:t>10</w:t>
            </w:r>
          </w:p>
        </w:tc>
      </w:tr>
      <w:tr>
        <w:tc>
          <w:tcPr>
            <w:tcW w:type="dxa" w:w="4703"/>
            <w:shd w:fill="F0F7FF" w:val="clear"/>
          </w:tcPr>
          <w:p>
            <w:pPr>
              <w:spacing w:before="40" w:after="40"/>
            </w:pPr>
            <w:r/>
            <w:r>
              <w:rPr>
                <w:rFonts w:ascii="Calibri" w:hAnsi="Calibri"/>
                <w:b w:val="0"/>
                <w:color w:val="333333"/>
                <w:sz w:val="18"/>
              </w:rPr>
              <w:t>Donor operational efficiency rating</w:t>
            </w:r>
          </w:p>
        </w:tc>
        <w:tc>
          <w:tcPr>
            <w:tcW w:type="dxa" w:w="4703"/>
            <w:shd w:fill="F0F7FF" w:val="clear"/>
          </w:tcPr>
          <w:p>
            <w:pPr>
              <w:spacing w:before="40" w:after="40"/>
            </w:pPr>
            <w:r/>
            <w:r>
              <w:rPr>
                <w:rFonts w:ascii="Calibri" w:hAnsi="Calibri"/>
                <w:b w:val="0"/>
                <w:color w:val="333333"/>
                <w:sz w:val="18"/>
              </w:rPr>
              <w:t>75% report improvement</w:t>
            </w:r>
          </w:p>
        </w:tc>
      </w:tr>
    </w:tbl>
    <w:p>
      <w:pPr>
        <w:pStyle w:val="Heading2"/>
        <w:spacing w:before="280" w:after="120"/>
      </w:pPr>
      <w:r>
        <w:rPr>
          <w:rFonts w:ascii="Calibri" w:hAnsi="Calibri"/>
          <w:color w:val="0D9488"/>
        </w:rPr>
        <w:t>Quarterly Milestones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Quarter</w:t>
            </w:r>
          </w:p>
        </w:tc>
        <w:tc>
          <w:tcPr>
            <w:tcW w:type="dxa" w:w="4703"/>
            <w:shd w:fill="1E40AF" w:val="clear"/>
          </w:tcPr>
          <w:p>
            <w:pPr>
              <w:spacing w:before="40" w:after="40"/>
            </w:pPr>
            <w:r/>
            <w:r>
              <w:rPr>
                <w:rFonts w:ascii="Calibri" w:hAnsi="Calibri"/>
                <w:b/>
                <w:color w:val="FFFFFF"/>
                <w:sz w:val="18"/>
              </w:rPr>
              <w:t>Key Milestones</w:t>
            </w:r>
          </w:p>
        </w:tc>
      </w:tr>
      <w:tr>
        <w:tc>
          <w:tcPr>
            <w:tcW w:type="dxa" w:w="4703"/>
          </w:tcPr>
          <w:p>
            <w:pPr>
              <w:spacing w:before="40" w:after="40"/>
            </w:pPr>
            <w:r/>
            <w:r>
              <w:rPr>
                <w:rFonts w:ascii="Calibri" w:hAnsi="Calibri"/>
                <w:b w:val="0"/>
                <w:color w:val="333333"/>
                <w:sz w:val="18"/>
              </w:rPr>
              <w:t>Q1 2026</w:t>
            </w:r>
          </w:p>
        </w:tc>
        <w:tc>
          <w:tcPr>
            <w:tcW w:type="dxa" w:w="4703"/>
          </w:tcPr>
          <w:p>
            <w:pPr>
              <w:spacing w:before="40" w:after="40"/>
            </w:pPr>
            <w:r/>
            <w:r>
              <w:rPr>
                <w:rFonts w:ascii="Calibri" w:hAnsi="Calibri"/>
                <w:b w:val="0"/>
                <w:color w:val="333333"/>
                <w:sz w:val="18"/>
              </w:rPr>
              <w:t>Kenya country-level pilot launch. 3 CSO Network MOUs signed (Kenya + DRC). Platform v3.3.4 live with full AI capabilities.</w:t>
            </w:r>
          </w:p>
        </w:tc>
      </w:tr>
      <w:tr>
        <w:tc>
          <w:tcPr>
            <w:tcW w:type="dxa" w:w="4703"/>
            <w:shd w:fill="F0F7FF" w:val="clear"/>
          </w:tcPr>
          <w:p>
            <w:pPr>
              <w:spacing w:before="40" w:after="40"/>
            </w:pPr>
            <w:r/>
            <w:r>
              <w:rPr>
                <w:rFonts w:ascii="Calibri" w:hAnsi="Calibri"/>
                <w:b w:val="0"/>
                <w:color w:val="333333"/>
                <w:sz w:val="18"/>
              </w:rPr>
              <w:t>Q2 2026</w:t>
            </w:r>
          </w:p>
        </w:tc>
        <w:tc>
          <w:tcPr>
            <w:tcW w:type="dxa" w:w="4703"/>
            <w:shd w:fill="F0F7FF" w:val="clear"/>
          </w:tcPr>
          <w:p>
            <w:pPr>
              <w:spacing w:before="40" w:after="40"/>
            </w:pPr>
            <w:r/>
            <w:r>
              <w:rPr>
                <w:rFonts w:ascii="Calibri" w:hAnsi="Calibri"/>
                <w:b w:val="0"/>
                <w:color w:val="333333"/>
                <w:sz w:val="18"/>
              </w:rPr>
              <w:t>Grant marketplace features go-live. Application portal launch. Global scaling via Adeso network. First network reselling agreement test.</w:t>
            </w:r>
          </w:p>
        </w:tc>
      </w:tr>
      <w:tr>
        <w:tc>
          <w:tcPr>
            <w:tcW w:type="dxa" w:w="4703"/>
          </w:tcPr>
          <w:p>
            <w:pPr>
              <w:spacing w:before="40" w:after="40"/>
            </w:pPr>
            <w:r/>
            <w:r>
              <w:rPr>
                <w:rFonts w:ascii="Calibri" w:hAnsi="Calibri"/>
                <w:b w:val="0"/>
                <w:color w:val="333333"/>
                <w:sz w:val="18"/>
              </w:rPr>
              <w:t>Q3 2026</w:t>
            </w:r>
          </w:p>
        </w:tc>
        <w:tc>
          <w:tcPr>
            <w:tcW w:type="dxa" w:w="4703"/>
          </w:tcPr>
          <w:p>
            <w:pPr>
              <w:spacing w:before="40" w:after="40"/>
            </w:pPr>
            <w:r/>
            <w:r>
              <w:rPr>
                <w:rFonts w:ascii="Calibri" w:hAnsi="Calibri"/>
                <w:b w:val="0"/>
                <w:color w:val="333333"/>
                <w:sz w:val="18"/>
              </w:rPr>
              <w:t>East Africa regional network partnership. Capacity Assessment Tool full launch. Sub-Saharan Africa geographic expansion begins.</w:t>
            </w:r>
          </w:p>
        </w:tc>
      </w:tr>
      <w:tr>
        <w:tc>
          <w:tcPr>
            <w:tcW w:type="dxa" w:w="4703"/>
            <w:shd w:fill="F0F7FF" w:val="clear"/>
          </w:tcPr>
          <w:p>
            <w:pPr>
              <w:spacing w:before="40" w:after="40"/>
            </w:pPr>
            <w:r/>
            <w:r>
              <w:rPr>
                <w:rFonts w:ascii="Calibri" w:hAnsi="Calibri"/>
                <w:b w:val="0"/>
                <w:color w:val="333333"/>
                <w:sz w:val="18"/>
              </w:rPr>
              <w:t>Q4 2026</w:t>
            </w:r>
          </w:p>
        </w:tc>
        <w:tc>
          <w:tcPr>
            <w:tcW w:type="dxa" w:w="4703"/>
            <w:shd w:fill="F0F7FF" w:val="clear"/>
          </w:tcPr>
          <w:p>
            <w:pPr>
              <w:spacing w:before="40" w:after="40"/>
            </w:pPr>
            <w:r/>
            <w:r>
              <w:rPr>
                <w:rFonts w:ascii="Calibri" w:hAnsi="Calibri"/>
                <w:b w:val="0"/>
                <w:color w:val="333333"/>
                <w:sz w:val="18"/>
              </w:rPr>
              <w:t>Grant matching functionality launch. Assess Kenya model for replication. Plan 2027 expansion to 20+ Sub-Saharan African countries. Target: 2,500 CSO profiles, $1M revenue.</w:t>
            </w:r>
          </w:p>
        </w:tc>
      </w:tr>
    </w:tbl>
    <w:p>
      <w:r>
        <w:br w:type="page"/>
      </w:r>
    </w:p>
    <w:p>
      <w:pPr>
        <w:pStyle w:val="Heading1"/>
        <w:spacing w:before="360" w:after="160"/>
      </w:pPr>
      <w:r>
        <w:rPr>
          <w:rFonts w:ascii="Calibri" w:hAnsi="Calibri"/>
          <w:color w:val="1E40AF"/>
        </w:rPr>
        <w:t>11. Team &amp; Traction</w:t>
      </w:r>
    </w:p>
    <w:p>
      <w:pPr>
        <w:spacing w:after="120" w:line="300" w:lineRule="exact"/>
      </w:pPr>
      <w:r>
        <w:rPr>
          <w:rFonts w:ascii="Calibri" w:hAnsi="Calibri"/>
          <w:b w:val="0"/>
          <w:i w:val="0"/>
          <w:color w:val="333333"/>
          <w:sz w:val="21"/>
        </w:rPr>
        <w:t>Adeso (African Development Solutions) is a Somali-founded social enterprise with over 30 years of experience delivering humanitarian and development programs across Africa. As a co-founder of the NEAR Network — the largest network of national and local organizations in the Global South — Adeso brings unmatched credibility, relationships, and understanding of the challenges facing local organizations. Kuja is Adeso’s technology incubation, designed to solve problems the team has experienced firsthand for three decades.</w:t>
      </w:r>
    </w:p>
    <w:p>
      <w:pPr>
        <w:pStyle w:val="Heading2"/>
        <w:spacing w:before="280" w:after="120"/>
      </w:pPr>
      <w:r>
        <w:rPr>
          <w:rFonts w:ascii="Calibri" w:hAnsi="Calibri"/>
          <w:color w:val="0D9488"/>
        </w:rPr>
        <w:t>Current Traction</w:t>
      </w:r>
    </w:p>
    <w:p>
      <w:pPr>
        <w:pStyle w:val="ListBullet"/>
        <w:spacing w:after="60" w:line="300" w:lineRule="exact"/>
      </w:pPr>
      <w:r>
        <w:rPr>
          <w:rFonts w:ascii="Calibri" w:hAnsi="Calibri"/>
          <w:color w:val="333333"/>
          <w:sz w:val="21"/>
        </w:rPr>
        <w:t>600+ active users on KujaLink marketplace</w:t>
      </w:r>
    </w:p>
    <w:p>
      <w:pPr>
        <w:pStyle w:val="ListBullet"/>
        <w:spacing w:after="60" w:line="300" w:lineRule="exact"/>
      </w:pPr>
      <w:r>
        <w:rPr>
          <w:rFonts w:ascii="Calibri" w:hAnsi="Calibri"/>
          <w:color w:val="333333"/>
          <w:sz w:val="21"/>
        </w:rPr>
        <w:t>200+ local organizations recruited since March 2024</w:t>
      </w:r>
    </w:p>
    <w:p>
      <w:pPr>
        <w:pStyle w:val="ListBullet"/>
        <w:spacing w:after="60" w:line="300" w:lineRule="exact"/>
      </w:pPr>
      <w:r>
        <w:rPr>
          <w:rFonts w:ascii="Calibri" w:hAnsi="Calibri"/>
          <w:color w:val="333333"/>
          <w:sz w:val="21"/>
        </w:rPr>
        <w:t>8 pipeline partners in active discussions</w:t>
      </w:r>
    </w:p>
    <w:p>
      <w:pPr>
        <w:pStyle w:val="ListBullet"/>
        <w:spacing w:after="60" w:line="300" w:lineRule="exact"/>
      </w:pPr>
      <w:r>
        <w:rPr>
          <w:rFonts w:ascii="Calibri" w:hAnsi="Calibri"/>
          <w:color w:val="333333"/>
          <w:sz w:val="21"/>
        </w:rPr>
        <w:t>Platform live with full AI-powered grant lifecycle management</w:t>
      </w:r>
    </w:p>
    <w:p>
      <w:pPr>
        <w:pStyle w:val="ListBullet"/>
        <w:spacing w:after="60" w:line="300" w:lineRule="exact"/>
      </w:pPr>
      <w:r>
        <w:rPr>
          <w:rFonts w:ascii="Calibri" w:hAnsi="Calibri"/>
          <w:color w:val="333333"/>
          <w:sz w:val="21"/>
        </w:rPr>
        <w:t>10 test accounts demonstrating all capabilities to potential partners</w:t>
      </w:r>
    </w:p>
    <w:p>
      <w:pPr>
        <w:pStyle w:val="Heading1"/>
        <w:spacing w:before="360" w:after="160"/>
      </w:pPr>
      <w:r>
        <w:rPr>
          <w:rFonts w:ascii="Calibri" w:hAnsi="Calibri"/>
          <w:color w:val="1E40AF"/>
        </w:rPr>
        <w:t>12. The Ask</w:t>
      </w:r>
    </w:p>
    <w:tbl>
      <w:tblPr>
        <w:tblW w:type="auto" w:w="0"/>
        <w:jc w:val="center"/>
        <w:tblLayout w:type="autofit"/>
        <w:tblLook w:firstColumn="1" w:firstRow="1" w:lastColumn="0" w:lastRow="0" w:noHBand="0" w:noVBand="1" w:val="04A0"/>
        <w:tblBorders>
          <w:top w:val="single" w:sz="6" w:space="0" w:color="1E40AF"/>
          <w:left w:val="single" w:sz="6" w:space="0" w:color="1E40AF"/>
          <w:bottom w:val="single" w:sz="6" w:space="0" w:color="1E40AF"/>
          <w:right w:val="single" w:sz="6" w:space="0" w:color="1E40AF"/>
        </w:tblBorders>
      </w:tblPr>
      <w:tblGrid>
        <w:gridCol w:w="9406"/>
      </w:tblGrid>
      <w:tr>
        <w:tc>
          <w:tcPr>
            <w:tcW w:type="dxa" w:w="9406"/>
            <w:shd w:fill="EFF6FF" w:val="clear"/>
          </w:tcPr>
          <w:p>
            <w:pPr>
              <w:spacing w:after="80"/>
            </w:pPr>
            <w:r/>
            <w:r>
              <w:rPr>
                <w:rFonts w:ascii="Calibri" w:hAnsi="Calibri"/>
                <w:b/>
                <w:color w:val="1E40AF"/>
                <w:sz w:val="22"/>
              </w:rPr>
              <w:t>How to Partner with Kuja</w:t>
            </w:r>
          </w:p>
          <w:p>
            <w:pPr>
              <w:spacing w:after="40"/>
            </w:pPr>
            <w:r>
              <w:rPr>
                <w:rFonts w:ascii="Calibri" w:hAnsi="Calibri"/>
                <w:color w:val="333333"/>
                <w:sz w:val="20"/>
              </w:rPr>
              <w:t>We are seeking strategic partners who share our vision of democratizing access to global funding for the Global South. Partnership opportunities include: (1) Pilot partnerships — test the platform with your grantee portfolio, (2) Network partnerships — introduce Kuja to your CSO member organizations, (3) Integration partnerships — connect your systems with Kuja’s API, (4) Investment — support our path to scale across Sub-Saharan Africa and beyond.</w:t>
            </w:r>
          </w:p>
        </w:tc>
      </w:tr>
    </w:tbl>
    <w:p/>
    <w:p>
      <w:pPr>
        <w:spacing w:after="120" w:line="300" w:lineRule="exact"/>
      </w:pPr>
      <w:r>
        <w:rPr>
          <w:rFonts w:ascii="Calibri" w:hAnsi="Calibri"/>
          <w:b/>
          <w:i w:val="0"/>
          <w:color w:val="333333"/>
          <w:sz w:val="21"/>
        </w:rPr>
        <w:t>Contact: info@adeso.org  |  www.kuja.org  |  www.adesoafrica.org</w:t>
      </w:r>
    </w:p>
    <w:p/>
    <w:p/>
    <w:p>
      <w:pPr>
        <w:jc w:val="center"/>
      </w:pPr>
      <w:r>
        <w:rPr>
          <w:rFonts w:ascii="Calibri" w:hAnsi="Calibri"/>
          <w:color w:val="666666"/>
          <w:sz w:val="18"/>
        </w:rPr>
        <w:t>Kuja Grant Platform | Adeso — African Development Solutions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