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spacing w:after="0" w:before="0"/>
      </w:pPr>
    </w:p>
    <w:p>
      <w:pPr>
        <w:spacing w:after="0" w:before="0"/>
      </w:pPr>
    </w:p>
    <w:p>
      <w:pPr>
        <w:spacing w:after="160"/>
        <w:jc w:val="center"/>
      </w:pPr>
      <w:r>
        <w:rPr>
          <w:rFonts w:ascii="Calibri" w:hAnsi="Calibri"/>
          <w:b/>
          <w:color w:val="1E40AF"/>
          <w:sz w:val="72"/>
        </w:rPr>
        <w:t>KUJA GRANT PLATFORM</w:t>
      </w:r>
    </w:p>
    <w:p>
      <w:pPr>
        <w:spacing w:after="320"/>
        <w:jc w:val="center"/>
      </w:pPr>
      <w:r>
        <w:rPr>
          <w:color w:val="0D9488"/>
          <w:sz w:val="20"/>
        </w:rPr>
        <w:t>____________________________________________________________</w:t>
      </w:r>
    </w:p>
    <w:p>
      <w:pPr>
        <w:spacing w:after="480"/>
        <w:jc w:val="center"/>
      </w:pPr>
      <w:r>
        <w:rPr>
          <w:rFonts w:ascii="Calibri" w:hAnsi="Calibri"/>
          <w:color w:val="333333"/>
          <w:sz w:val="36"/>
        </w:rPr>
        <w:t>Market Analysis &amp; Go-to-Market Strategy</w:t>
      </w:r>
    </w:p>
    <w:p>
      <w:pPr>
        <w:spacing w:after="240"/>
        <w:jc w:val="center"/>
      </w:pPr>
      <w:r>
        <w:rPr>
          <w:rFonts w:ascii="Calibri" w:hAnsi="Calibri"/>
          <w:color w:val="999999"/>
          <w:sz w:val="24"/>
        </w:rPr>
        <w:t>March 2026</w:t>
      </w:r>
    </w:p>
    <w:p>
      <w:pPr>
        <w:spacing w:after="960"/>
        <w:jc w:val="center"/>
      </w:pPr>
      <w:r>
        <w:rPr>
          <w:rFonts w:ascii="Calibri" w:hAnsi="Calibri"/>
          <w:b/>
          <w:color w:val="0D9488"/>
          <w:sz w:val="28"/>
        </w:rPr>
        <w:t>Adeso — African Development Solutions</w:t>
      </w:r>
    </w:p>
    <w:p>
      <w:pPr>
        <w:jc w:val="center"/>
      </w:pPr>
      <w:r>
        <w:rPr>
          <w:rFonts w:ascii="Calibri" w:hAnsi="Calibri"/>
          <w:b/>
          <w:color w:val="DC2626"/>
          <w:sz w:val="20"/>
        </w:rPr>
        <w:t>CONFIDENTIAL — FOR PARTNER DISCUSSIONS</w:t>
      </w:r>
    </w:p>
    <w:p>
      <w:r>
        <w:br w:type="page"/>
      </w:r>
    </w:p>
    <w:p>
      <w:pPr>
        <w:pStyle w:val="Heading1"/>
        <w:spacing w:before="360" w:after="160"/>
      </w:pPr>
      <w:r>
        <w:rPr>
          <w:rFonts w:ascii="Calibri" w:hAnsi="Calibri"/>
          <w:color w:val="1E40AF"/>
        </w:rPr>
        <w:t>Table of Contents</w:t>
      </w:r>
    </w:p>
    <w:p>
      <w:pPr>
        <w:spacing w:after="120"/>
        <w:ind w:left="850"/>
      </w:pPr>
      <w:r>
        <w:rPr>
          <w:rFonts w:ascii="Calibri" w:hAnsi="Calibri"/>
          <w:color w:val="333333"/>
          <w:sz w:val="24"/>
        </w:rPr>
        <w:t>1.  Executive Summary</w:t>
      </w:r>
    </w:p>
    <w:p>
      <w:pPr>
        <w:spacing w:after="120"/>
        <w:ind w:left="850"/>
      </w:pPr>
      <w:r>
        <w:rPr>
          <w:rFonts w:ascii="Calibri" w:hAnsi="Calibri"/>
          <w:color w:val="333333"/>
          <w:sz w:val="24"/>
        </w:rPr>
        <w:t>2.  The Problem We Solve</w:t>
      </w:r>
    </w:p>
    <w:p>
      <w:pPr>
        <w:spacing w:after="120"/>
        <w:ind w:left="850"/>
      </w:pPr>
      <w:r>
        <w:rPr>
          <w:rFonts w:ascii="Calibri" w:hAnsi="Calibri"/>
          <w:color w:val="333333"/>
          <w:sz w:val="24"/>
        </w:rPr>
        <w:t>3.  Our Solution: End-to-End Grant Management</w:t>
      </w:r>
    </w:p>
    <w:p>
      <w:pPr>
        <w:spacing w:after="120"/>
        <w:ind w:left="850"/>
      </w:pPr>
      <w:r>
        <w:rPr>
          <w:rFonts w:ascii="Calibri" w:hAnsi="Calibri"/>
          <w:color w:val="333333"/>
          <w:sz w:val="24"/>
        </w:rPr>
        <w:t>4.  Market Opportunity</w:t>
      </w:r>
    </w:p>
    <w:p>
      <w:pPr>
        <w:spacing w:after="120"/>
        <w:ind w:left="850"/>
      </w:pPr>
      <w:r>
        <w:rPr>
          <w:rFonts w:ascii="Calibri" w:hAnsi="Calibri"/>
          <w:color w:val="333333"/>
          <w:sz w:val="24"/>
        </w:rPr>
        <w:t>5.  Competitive Landscape</w:t>
      </w:r>
    </w:p>
    <w:p>
      <w:pPr>
        <w:spacing w:after="120"/>
        <w:ind w:left="850"/>
      </w:pPr>
      <w:r>
        <w:rPr>
          <w:rFonts w:ascii="Calibri" w:hAnsi="Calibri"/>
          <w:color w:val="333333"/>
          <w:sz w:val="24"/>
        </w:rPr>
        <w:t>6.  Kuja’s Competitive Advantages</w:t>
      </w:r>
    </w:p>
    <w:p>
      <w:pPr>
        <w:spacing w:after="120"/>
        <w:ind w:left="850"/>
      </w:pPr>
      <w:r>
        <w:rPr>
          <w:rFonts w:ascii="Calibri" w:hAnsi="Calibri"/>
          <w:color w:val="333333"/>
          <w:sz w:val="24"/>
        </w:rPr>
        <w:t>7.  Platform Architecture &amp; AI Capabilities</w:t>
      </w:r>
    </w:p>
    <w:p>
      <w:pPr>
        <w:spacing w:after="120"/>
        <w:ind w:left="850"/>
      </w:pPr>
      <w:r>
        <w:rPr>
          <w:rFonts w:ascii="Calibri" w:hAnsi="Calibri"/>
          <w:color w:val="333333"/>
          <w:sz w:val="24"/>
        </w:rPr>
        <w:t>8.  Go-to-Market Strategy</w:t>
      </w:r>
    </w:p>
    <w:p>
      <w:pPr>
        <w:spacing w:after="120"/>
        <w:ind w:left="850"/>
      </w:pPr>
      <w:r>
        <w:rPr>
          <w:rFonts w:ascii="Calibri" w:hAnsi="Calibri"/>
          <w:color w:val="333333"/>
          <w:sz w:val="24"/>
        </w:rPr>
        <w:t>9.  Revenue Model</w:t>
      </w:r>
    </w:p>
    <w:p>
      <w:pPr>
        <w:spacing w:after="120"/>
        <w:ind w:left="850"/>
      </w:pPr>
      <w:r>
        <w:rPr>
          <w:rFonts w:ascii="Calibri" w:hAnsi="Calibri"/>
          <w:color w:val="333333"/>
          <w:sz w:val="24"/>
        </w:rPr>
        <w:t>10. Appendix: Feature Comparison Matrix</w:t>
      </w:r>
    </w:p>
    <w:p>
      <w:r>
        <w:br w:type="page"/>
      </w:r>
    </w:p>
    <w:p>
      <w:pPr>
        <w:pStyle w:val="Heading1"/>
        <w:spacing w:before="360" w:after="160"/>
      </w:pPr>
      <w:r>
        <w:rPr>
          <w:rFonts w:ascii="Calibri" w:hAnsi="Calibri"/>
          <w:color w:val="1E40AF"/>
        </w:rPr>
        <w:t>1. Executive Summary</w:t>
      </w:r>
    </w:p>
    <w:p>
      <w:pPr>
        <w:spacing w:after="120" w:line="300" w:lineRule="exact"/>
      </w:pPr>
      <w:r>
        <w:rPr>
          <w:rFonts w:ascii="Calibri" w:hAnsi="Calibri"/>
          <w:b w:val="0"/>
          <w:i w:val="0"/>
          <w:color w:val="333333"/>
          <w:sz w:val="21"/>
        </w:rPr>
        <w:t>Kuja is the first AI-powered end-to-end grant management platform purpose-built for the Global South. Incubated by Adeso, a Somali-founded African social enterprise with over 30 years of humanitarian experience, Kuja addresses a fundamental imbalance in the aid sector: local organizations closest to communities have the most effective solutions but the least resources. Billions in aid funding remain concentrated at Global North headquarters while local civil society organizations face systemic barriers—lack of visibility to donors, limited capacity to navigate complex funding processes, extensive and duplicative donor compliance requirements, and fragmented grants management tooling.</w:t>
      </w:r>
    </w:p>
    <w:p>
      <w:pPr>
        <w:spacing w:after="120" w:line="300" w:lineRule="exact"/>
      </w:pPr>
      <w:r>
        <w:rPr>
          <w:rFonts w:ascii="Calibri" w:hAnsi="Calibri"/>
          <w:b w:val="0"/>
          <w:i w:val="0"/>
          <w:color w:val="333333"/>
          <w:sz w:val="21"/>
        </w:rPr>
        <w:t>The platform covers the complete grant lifecycle across eight integrated stages: marketplace discovery (kuja.org, 600+ active users), AI-powered capacity assessments using five industry-standard frameworks (Kuja, STEP, UN-HACT, CHS, NUPAS), live due diligence including government registry verification for seven African countries and sanctions screening against UN, OFAC, EU, and World Bank databases, AI-guided grant applications with document analysis and scoring, dual-scoring review combining AI and human evaluation, AI-powered reporting with compliance monitoring, and back-end ERP for operations built on Odoo 17. For entities choosing the ERP, onboarding is seamless because most organizational information is already captured through earlier lifecycle stages. For those that do not adopt the ERP, a dedicated reporting module connects grant information to enable compliance reporting without additional data entry.</w:t>
      </w:r>
    </w:p>
    <w:p>
      <w:pPr>
        <w:spacing w:after="120" w:line="300" w:lineRule="exact"/>
      </w:pPr>
      <w:r>
        <w:rPr>
          <w:rFonts w:ascii="Calibri" w:hAnsi="Calibri"/>
          <w:b w:val="0"/>
          <w:i w:val="0"/>
          <w:color w:val="333333"/>
          <w:sz w:val="21"/>
        </w:rPr>
        <w:t>The global grant management software market is valued at $2.75 billion (2024) and is projected to reach $4.79 billion by 2030, growing at a CAGR of 10.3%. No existing platform in this market combines marketplace, capacity assessment, grant management, AI-powered analysis, and ERP operations in a single integrated solution designed specifically for the Global South. The dissolution of USAID in 2025—with 83% of programs cancelled and $36 billion in aid cuts—has created urgent demand for diversified funding infrastructure and direct donor-to-NGO connections, positioning Kuja at the intersection of market need and sector transformation.</w:t>
      </w:r>
    </w:p>
    <w:p>
      <w:r>
        <w:br w:type="page"/>
      </w:r>
    </w:p>
    <w:p>
      <w:pPr>
        <w:pStyle w:val="Heading1"/>
        <w:spacing w:before="360" w:after="160"/>
      </w:pPr>
      <w:r>
        <w:rPr>
          <w:rFonts w:ascii="Calibri" w:hAnsi="Calibri"/>
          <w:color w:val="1E40AF"/>
        </w:rPr>
        <w:t>2. The Problem We Solve</w:t>
      </w:r>
    </w:p>
    <w:p>
      <w:pPr>
        <w:pStyle w:val="Heading2"/>
        <w:spacing w:before="280" w:after="120"/>
      </w:pPr>
      <w:r>
        <w:rPr>
          <w:rFonts w:ascii="Calibri" w:hAnsi="Calibri"/>
          <w:color w:val="0D9488"/>
        </w:rPr>
        <w:t>For CSOs / NGOs</w:t>
      </w:r>
    </w:p>
    <w:p>
      <w:pPr>
        <w:pStyle w:val="ListBullet"/>
        <w:spacing w:after="60" w:line="300" w:lineRule="exact"/>
      </w:pPr>
      <w:r>
        <w:rPr>
          <w:rFonts w:ascii="Calibri" w:hAnsi="Calibri"/>
          <w:b/>
          <w:color w:val="333333"/>
          <w:sz w:val="21"/>
        </w:rPr>
        <w:t xml:space="preserve">Invisible to donors: </w:t>
      </w:r>
      <w:r>
        <w:rPr>
          <w:rFonts w:ascii="Calibri" w:hAnsi="Calibri"/>
          <w:color w:val="333333"/>
          <w:sz w:val="21"/>
        </w:rPr>
        <w:t>Local organizations remain invisible to donors despite delivering the most impactful, community-proximate work. Without a centralized discovery mechanism, the best-positioned implementers are systematically excluded from funding pipelines.</w:t>
      </w:r>
    </w:p>
    <w:p>
      <w:pPr>
        <w:pStyle w:val="ListBullet"/>
        <w:spacing w:after="60" w:line="300" w:lineRule="exact"/>
      </w:pPr>
      <w:r>
        <w:rPr>
          <w:rFonts w:ascii="Calibri" w:hAnsi="Calibri"/>
          <w:b/>
          <w:color w:val="333333"/>
          <w:sz w:val="21"/>
        </w:rPr>
        <w:t xml:space="preserve">Assessment fatigue: </w:t>
      </w:r>
      <w:r>
        <w:rPr>
          <w:rFonts w:ascii="Calibri" w:hAnsi="Calibri"/>
          <w:color w:val="333333"/>
          <w:sz w:val="21"/>
        </w:rPr>
        <w:t>NGOs undergo 4–12 near-identical capacity assessments per year from different donors, each requiring substantial staff time and documentation. Results are not portable between funders.</w:t>
      </w:r>
    </w:p>
    <w:p>
      <w:pPr>
        <w:pStyle w:val="ListBullet"/>
        <w:spacing w:after="60" w:line="300" w:lineRule="exact"/>
      </w:pPr>
      <w:r>
        <w:rPr>
          <w:rFonts w:ascii="Calibri" w:hAnsi="Calibri"/>
          <w:b/>
          <w:color w:val="333333"/>
          <w:sz w:val="21"/>
        </w:rPr>
        <w:t xml:space="preserve">Compliance burden: </w:t>
      </w:r>
      <w:r>
        <w:rPr>
          <w:rFonts w:ascii="Calibri" w:hAnsi="Calibri"/>
          <w:color w:val="333333"/>
          <w:sz w:val="21"/>
        </w:rPr>
        <w:t>Each donor mandates different reporting requirements, templates, formats, and deadlines. A single organization managing five grants may need to produce five distinct compliance reporting workflows simultaneously.</w:t>
      </w:r>
    </w:p>
    <w:p>
      <w:pPr>
        <w:pStyle w:val="ListBullet"/>
        <w:spacing w:after="60" w:line="300" w:lineRule="exact"/>
      </w:pPr>
      <w:r>
        <w:rPr>
          <w:rFonts w:ascii="Calibri" w:hAnsi="Calibri"/>
          <w:b/>
          <w:color w:val="333333"/>
          <w:sz w:val="21"/>
        </w:rPr>
        <w:t xml:space="preserve">Language barriers: </w:t>
      </w:r>
      <w:r>
        <w:rPr>
          <w:rFonts w:ascii="Calibri" w:hAnsi="Calibri"/>
          <w:color w:val="333333"/>
          <w:sz w:val="21"/>
        </w:rPr>
        <w:t>Most grant management platforms are English-first. Organizations operating in Francophone, Arabophone, and Swahili-speaking regions face interface and documentation barriers.</w:t>
      </w:r>
    </w:p>
    <w:p>
      <w:pPr>
        <w:pStyle w:val="ListBullet"/>
        <w:spacing w:after="60" w:line="300" w:lineRule="exact"/>
      </w:pPr>
      <w:r>
        <w:rPr>
          <w:rFonts w:ascii="Calibri" w:hAnsi="Calibri"/>
          <w:b/>
          <w:color w:val="333333"/>
          <w:sz w:val="21"/>
        </w:rPr>
        <w:t xml:space="preserve">Prohibitive costs: </w:t>
      </w:r>
      <w:r>
        <w:rPr>
          <w:rFonts w:ascii="Calibri" w:hAnsi="Calibri"/>
          <w:color w:val="333333"/>
          <w:sz w:val="21"/>
        </w:rPr>
        <w:t>Enterprise platforms like Fluxx ($13.5K–$300K+/year) and Submittable ($10K+/year) are designed for and priced for Global North institutions, placing them far beyond the reach of local CSOs.</w:t>
      </w:r>
    </w:p>
    <w:p>
      <w:pPr>
        <w:pStyle w:val="ListBullet"/>
        <w:spacing w:after="60" w:line="300" w:lineRule="exact"/>
      </w:pPr>
      <w:r>
        <w:rPr>
          <w:rFonts w:ascii="Calibri" w:hAnsi="Calibri"/>
          <w:b/>
          <w:color w:val="333333"/>
          <w:sz w:val="21"/>
        </w:rPr>
        <w:t xml:space="preserve">Limited access: </w:t>
      </w:r>
      <w:r>
        <w:rPr>
          <w:rFonts w:ascii="Calibri" w:hAnsi="Calibri"/>
          <w:color w:val="333333"/>
          <w:sz w:val="21"/>
        </w:rPr>
        <w:t>Despite Grand Bargain commitments to route 25% of humanitarian funding directly to local actors, the actual figure remains below 5%. Structural barriers—not capacity—drive this gap.</w:t>
      </w:r>
    </w:p>
    <w:p>
      <w:pPr>
        <w:pStyle w:val="Heading2"/>
        <w:spacing w:before="280" w:after="120"/>
      </w:pPr>
      <w:r>
        <w:rPr>
          <w:rFonts w:ascii="Calibri" w:hAnsi="Calibri"/>
          <w:color w:val="0D9488"/>
        </w:rPr>
        <w:t>For Donors</w:t>
      </w:r>
    </w:p>
    <w:p>
      <w:pPr>
        <w:pStyle w:val="ListBullet"/>
        <w:spacing w:after="60" w:line="300" w:lineRule="exact"/>
      </w:pPr>
      <w:r>
        <w:rPr>
          <w:rFonts w:ascii="Calibri" w:hAnsi="Calibri"/>
          <w:b/>
          <w:color w:val="333333"/>
          <w:sz w:val="21"/>
        </w:rPr>
        <w:t xml:space="preserve">Cannot find local partners: </w:t>
      </w:r>
      <w:r>
        <w:rPr>
          <w:rFonts w:ascii="Calibri" w:hAnsi="Calibri"/>
          <w:color w:val="333333"/>
          <w:sz w:val="21"/>
        </w:rPr>
        <w:t>No efficient mechanism exists for identifying, vetting, and connecting with local organizations. Donor pipelines default to established INGOs despite localization mandates.</w:t>
      </w:r>
    </w:p>
    <w:p>
      <w:pPr>
        <w:pStyle w:val="ListBullet"/>
        <w:spacing w:after="60" w:line="300" w:lineRule="exact"/>
      </w:pPr>
      <w:r>
        <w:rPr>
          <w:rFonts w:ascii="Calibri" w:hAnsi="Calibri"/>
          <w:b/>
          <w:color w:val="333333"/>
          <w:sz w:val="21"/>
        </w:rPr>
        <w:t xml:space="preserve">Risk perception: </w:t>
      </w:r>
      <w:r>
        <w:rPr>
          <w:rFonts w:ascii="Calibri" w:hAnsi="Calibri"/>
          <w:color w:val="333333"/>
          <w:sz w:val="21"/>
        </w:rPr>
        <w:t>Persistent stereotypes frame local organizations as inherently high-risk, yet no standardized, technology-enabled assessment infrastructure exists to provide objective evidence.</w:t>
      </w:r>
    </w:p>
    <w:p>
      <w:pPr>
        <w:pStyle w:val="ListBullet"/>
        <w:spacing w:after="60" w:line="300" w:lineRule="exact"/>
      </w:pPr>
      <w:r>
        <w:rPr>
          <w:rFonts w:ascii="Calibri" w:hAnsi="Calibri"/>
          <w:b/>
          <w:color w:val="333333"/>
          <w:sz w:val="21"/>
        </w:rPr>
        <w:t xml:space="preserve">Resource-intensive due diligence: </w:t>
      </w:r>
      <w:r>
        <w:rPr>
          <w:rFonts w:ascii="Calibri" w:hAnsi="Calibri"/>
          <w:color w:val="333333"/>
          <w:sz w:val="21"/>
        </w:rPr>
        <w:t>Conducting capacity assessments in-house is expensive and time-consuming, often costing $5,000–$15,000 per assessment and requiring weeks of staff engagement.</w:t>
      </w:r>
    </w:p>
    <w:p>
      <w:pPr>
        <w:pStyle w:val="ListBullet"/>
        <w:spacing w:after="60" w:line="300" w:lineRule="exact"/>
      </w:pPr>
      <w:r>
        <w:rPr>
          <w:rFonts w:ascii="Calibri" w:hAnsi="Calibri"/>
          <w:b/>
          <w:color w:val="333333"/>
          <w:sz w:val="21"/>
        </w:rPr>
        <w:t xml:space="preserve">Compliance monitoring: </w:t>
      </w:r>
      <w:r>
        <w:rPr>
          <w:rFonts w:ascii="Calibri" w:hAnsi="Calibri"/>
          <w:color w:val="333333"/>
          <w:sz w:val="21"/>
        </w:rPr>
        <w:t>Once grants are awarded, donors lack real-time visibility into spending, deliverable progress, and reporting compliance across their portfolio.</w:t>
      </w:r>
    </w:p>
    <w:p>
      <w:pPr>
        <w:pStyle w:val="ListBullet"/>
        <w:spacing w:after="60" w:line="300" w:lineRule="exact"/>
      </w:pPr>
      <w:r>
        <w:rPr>
          <w:rFonts w:ascii="Calibri" w:hAnsi="Calibri"/>
          <w:b/>
          <w:color w:val="333333"/>
          <w:sz w:val="21"/>
        </w:rPr>
        <w:t xml:space="preserve">Reporting gaps: </w:t>
      </w:r>
      <w:r>
        <w:rPr>
          <w:rFonts w:ascii="Calibri" w:hAnsi="Calibri"/>
          <w:color w:val="333333"/>
          <w:sz w:val="21"/>
        </w:rPr>
        <w:t>Collecting, reviewing, and evaluating narrative and financial reports from multiple grantees across different geographies is manual, inconsistent, and resource-intensive.</w:t>
      </w:r>
    </w:p>
    <w:p>
      <w:pPr>
        <w:pStyle w:val="Heading2"/>
        <w:spacing w:before="280" w:after="120"/>
      </w:pPr>
      <w:r>
        <w:rPr>
          <w:rFonts w:ascii="Calibri" w:hAnsi="Calibri"/>
          <w:color w:val="0D9488"/>
        </w:rPr>
        <w:t>Systemic Context</w:t>
      </w:r>
    </w:p>
    <w:p>
      <w:pPr>
        <w:pStyle w:val="ListBullet"/>
        <w:spacing w:after="60" w:line="300" w:lineRule="exact"/>
      </w:pPr>
      <w:r>
        <w:rPr>
          <w:rFonts w:ascii="Calibri" w:hAnsi="Calibri"/>
          <w:color w:val="333333"/>
          <w:sz w:val="21"/>
        </w:rPr>
        <w:t>The dissolution of USAID in 2025 resulted in 83% of programs cancelled, $36 billion in aid cuts, and 81+ NGOs closing field offices. This has created an unprecedented disruption to the humanitarian funding architecture.</w:t>
      </w:r>
    </w:p>
    <w:p>
      <w:pPr>
        <w:pStyle w:val="ListBullet"/>
        <w:spacing w:after="60" w:line="300" w:lineRule="exact"/>
      </w:pPr>
      <w:r>
        <w:rPr>
          <w:rFonts w:ascii="Calibri" w:hAnsi="Calibri"/>
          <w:color w:val="333333"/>
          <w:sz w:val="21"/>
        </w:rPr>
        <w:t>Organizations previously dependent on USAID sub-grants urgently need alternative funding pathways and direct connections to bilateral, multilateral, and private donors.</w:t>
      </w:r>
    </w:p>
    <w:p>
      <w:pPr>
        <w:pStyle w:val="ListBullet"/>
        <w:spacing w:after="60" w:line="300" w:lineRule="exact"/>
      </w:pPr>
      <w:r>
        <w:rPr>
          <w:rFonts w:ascii="Calibri" w:hAnsi="Calibri"/>
          <w:color w:val="333333"/>
          <w:sz w:val="21"/>
        </w:rPr>
        <w:t>The Grand Bargain 2.0 localization agenda demands new digital infrastructure to connect donors directly with local organizations—infrastructure that does not currently exist at scale.</w:t>
      </w:r>
    </w:p>
    <w:p>
      <w:r>
        <w:br w:type="page"/>
      </w:r>
    </w:p>
    <w:p>
      <w:pPr>
        <w:pStyle w:val="Heading1"/>
        <w:spacing w:before="360" w:after="160"/>
      </w:pPr>
      <w:r>
        <w:rPr>
          <w:rFonts w:ascii="Calibri" w:hAnsi="Calibri"/>
          <w:color w:val="1E40AF"/>
        </w:rPr>
        <w:t>3. Our Solution: End-to-End Grant Management</w:t>
      </w:r>
    </w:p>
    <w:p>
      <w:pPr>
        <w:spacing w:after="120" w:line="300" w:lineRule="exact"/>
      </w:pPr>
      <w:r>
        <w:rPr>
          <w:rFonts w:ascii="Calibri" w:hAnsi="Calibri"/>
          <w:b w:val="0"/>
          <w:i w:val="0"/>
          <w:color w:val="333333"/>
          <w:sz w:val="21"/>
        </w:rPr>
        <w:t>Kuja delivers the only platform that spans the complete grant lifecycle in a single, integrated solution. The eight-stage architecture ensures that data flows seamlessly between stages, eliminating re-entry, reducing administrative burden, and building a cumulative organizational profile that strengthens with each interaction.</w:t>
      </w:r>
    </w:p>
    <w:p>
      <w:pPr>
        <w:pStyle w:val="Heading2"/>
        <w:spacing w:before="280" w:after="120"/>
      </w:pPr>
      <w:r>
        <w:rPr>
          <w:rFonts w:ascii="Calibri" w:hAnsi="Calibri"/>
          <w:color w:val="0D9488"/>
        </w:rPr>
        <w:t>Stage 1 — Marketplace Discovery (kuja.org)</w:t>
      </w:r>
    </w:p>
    <w:p>
      <w:pPr>
        <w:spacing w:after="120" w:line="300" w:lineRule="exact"/>
      </w:pPr>
      <w:r>
        <w:rPr>
          <w:rFonts w:ascii="Calibri" w:hAnsi="Calibri"/>
          <w:b w:val="0"/>
          <w:i w:val="0"/>
          <w:color w:val="333333"/>
          <w:sz w:val="21"/>
        </w:rPr>
        <w:t>The foundation of the Kuja ecosystem is a free networking platform serving CSOs, Networks, INGOs, Donors, and Individual professionals. The marketplace is the entry point for all organizations and the pipeline for conversion to paid services.</w:t>
      </w:r>
    </w:p>
    <w:p>
      <w:pPr>
        <w:pStyle w:val="ListBullet"/>
        <w:spacing w:after="60" w:line="300" w:lineRule="exact"/>
      </w:pPr>
      <w:r>
        <w:rPr>
          <w:rFonts w:ascii="Calibri" w:hAnsi="Calibri"/>
          <w:color w:val="333333"/>
          <w:sz w:val="21"/>
        </w:rPr>
        <w:t>Profile types: CSO, Network, INGO, Donor, Individual—each with tailored fields and verification requirements</w:t>
      </w:r>
    </w:p>
    <w:p>
      <w:pPr>
        <w:pStyle w:val="ListBullet"/>
        <w:spacing w:after="60" w:line="300" w:lineRule="exact"/>
      </w:pPr>
      <w:r>
        <w:rPr>
          <w:rFonts w:ascii="Calibri" w:hAnsi="Calibri"/>
          <w:color w:val="333333"/>
          <w:sz w:val="21"/>
        </w:rPr>
        <w:t>Three-tier verification: referral-based, legal registration verification, and community/peer verification through network endorsements</w:t>
      </w:r>
    </w:p>
    <w:p>
      <w:pPr>
        <w:pStyle w:val="ListBullet"/>
        <w:spacing w:after="60" w:line="300" w:lineRule="exact"/>
      </w:pPr>
      <w:r>
        <w:rPr>
          <w:rFonts w:ascii="Calibri" w:hAnsi="Calibri"/>
          <w:color w:val="333333"/>
          <w:sz w:val="21"/>
        </w:rPr>
        <w:t>Discussion forums for sector-specific knowledge sharing, direct messaging between organizations, and a curated resource library</w:t>
      </w:r>
    </w:p>
    <w:p>
      <w:pPr>
        <w:pStyle w:val="ListBullet"/>
        <w:spacing w:after="60" w:line="300" w:lineRule="exact"/>
      </w:pPr>
      <w:r>
        <w:rPr>
          <w:rFonts w:ascii="Calibri" w:hAnsi="Calibri"/>
          <w:color w:val="333333"/>
          <w:sz w:val="21"/>
        </w:rPr>
        <w:t>Grant feed with advanced filtering by sector, country, organization type, funding size, and keywords</w:t>
      </w:r>
    </w:p>
    <w:p>
      <w:pPr>
        <w:pStyle w:val="ListBullet"/>
        <w:spacing w:after="60" w:line="300" w:lineRule="exact"/>
      </w:pPr>
      <w:r>
        <w:rPr>
          <w:rFonts w:ascii="Calibri" w:hAnsi="Calibri"/>
          <w:color w:val="333333"/>
          <w:sz w:val="21"/>
        </w:rPr>
        <w:t>600+ active users in pre-launch phase, validating product-market fit</w:t>
      </w:r>
    </w:p>
    <w:p>
      <w:pPr>
        <w:pStyle w:val="Heading2"/>
        <w:spacing w:before="280" w:after="120"/>
      </w:pPr>
      <w:r>
        <w:rPr>
          <w:rFonts w:ascii="Calibri" w:hAnsi="Calibri"/>
          <w:color w:val="0D9488"/>
        </w:rPr>
        <w:t>Stage 2 — AI-Powered Capacity Assessment</w:t>
      </w:r>
    </w:p>
    <w:p>
      <w:pPr>
        <w:spacing w:after="120" w:line="300" w:lineRule="exact"/>
      </w:pPr>
      <w:r>
        <w:rPr>
          <w:rFonts w:ascii="Calibri" w:hAnsi="Calibri"/>
          <w:b w:val="0"/>
          <w:i w:val="0"/>
          <w:color w:val="333333"/>
          <w:sz w:val="21"/>
        </w:rPr>
        <w:t>Kuja’s capacity assessment module is the most comprehensive self-service assessment available in the sector, supporting five industry-standard frameworks in a single tool.</w:t>
      </w:r>
    </w:p>
    <w:p>
      <w:pPr>
        <w:pStyle w:val="ListBullet"/>
        <w:spacing w:after="60" w:line="300" w:lineRule="exact"/>
      </w:pPr>
      <w:r>
        <w:rPr>
          <w:rFonts w:ascii="Calibri" w:hAnsi="Calibri"/>
          <w:color w:val="333333"/>
          <w:sz w:val="21"/>
        </w:rPr>
        <w:t>Five frameworks: Kuja (proprietary), STEP (TechSoup), UN-HACT (United Nations Harmonized Approach), CHS (Core Humanitarian Standard), NUPAS (USAID Non-US Pre-Award Survey)</w:t>
      </w:r>
    </w:p>
    <w:p>
      <w:pPr>
        <w:pStyle w:val="ListBullet"/>
        <w:spacing w:after="60" w:line="300" w:lineRule="exact"/>
      </w:pPr>
      <w:r>
        <w:rPr>
          <w:rFonts w:ascii="Calibri" w:hAnsi="Calibri"/>
          <w:color w:val="333333"/>
          <w:sz w:val="21"/>
        </w:rPr>
        <w:t>Free tier: Rules-based assessment engine generates gap checklists and learning roadmaps based on questionnaire responses</w:t>
      </w:r>
    </w:p>
    <w:p>
      <w:pPr>
        <w:pStyle w:val="ListBullet"/>
        <w:spacing w:after="60" w:line="300" w:lineRule="exact"/>
      </w:pPr>
      <w:r>
        <w:rPr>
          <w:rFonts w:ascii="Calibri" w:hAnsi="Calibri"/>
          <w:color w:val="333333"/>
          <w:sz w:val="21"/>
        </w:rPr>
        <w:t>Paid tier: Claude AI reviews uploaded organizational policies, financial documents, and certificates—identifying missing clauses, weak areas, and providing a structured 30/60/90-day improvement roadmap</w:t>
      </w:r>
    </w:p>
    <w:p>
      <w:pPr>
        <w:pStyle w:val="ListBullet"/>
        <w:spacing w:after="60" w:line="300" w:lineRule="exact"/>
      </w:pPr>
      <w:r>
        <w:rPr>
          <w:rFonts w:ascii="Calibri" w:hAnsi="Calibri"/>
          <w:color w:val="333333"/>
          <w:sz w:val="21"/>
        </w:rPr>
        <w:t>Donor readiness scoring across four tiers: private philanthropy, bilateral donors, multilateral agencies, and UN system partners</w:t>
      </w:r>
    </w:p>
    <w:p>
      <w:pPr>
        <w:pStyle w:val="ListBullet"/>
        <w:spacing w:after="60" w:line="300" w:lineRule="exact"/>
      </w:pPr>
      <w:r>
        <w:rPr>
          <w:rFonts w:ascii="Calibri" w:hAnsi="Calibri"/>
          <w:color w:val="333333"/>
          <w:sz w:val="21"/>
        </w:rPr>
        <w:t>Passportable results: Complete one comprehensive assessment, share the verified results with multiple donors—eliminating 4–12 duplicate assessments per year</w:t>
      </w:r>
    </w:p>
    <w:p>
      <w:pPr>
        <w:pStyle w:val="Heading2"/>
        <w:spacing w:before="280" w:after="120"/>
      </w:pPr>
      <w:r>
        <w:rPr>
          <w:rFonts w:ascii="Calibri" w:hAnsi="Calibri"/>
          <w:color w:val="0D9488"/>
        </w:rPr>
        <w:t>Stage 3 — Live Due Diligence</w:t>
      </w:r>
    </w:p>
    <w:p>
      <w:pPr>
        <w:spacing w:after="120" w:line="300" w:lineRule="exact"/>
      </w:pPr>
      <w:r>
        <w:rPr>
          <w:rFonts w:ascii="Calibri" w:hAnsi="Calibri"/>
          <w:b w:val="0"/>
          <w:i w:val="0"/>
          <w:color w:val="333333"/>
          <w:sz w:val="21"/>
        </w:rPr>
        <w:t>Automated, real-time verification replaces manual due diligence processes that typically cost donors $5,000–$15,000 per organization and take weeks to complete.</w:t>
      </w:r>
    </w:p>
    <w:p>
      <w:pPr>
        <w:pStyle w:val="ListBullet"/>
        <w:spacing w:after="60" w:line="300" w:lineRule="exact"/>
      </w:pPr>
      <w:r>
        <w:rPr>
          <w:rFonts w:ascii="Calibri" w:hAnsi="Calibri"/>
          <w:color w:val="333333"/>
          <w:sz w:val="21"/>
        </w:rPr>
        <w:t>Government registry verification for seven African countries: Kenya NGO Coordination Board, Nigeria Corporate Affairs Commission (CAC), South Africa DSD NPO Registry, Uganda NGO Bureau, Tanzania NiS Business Registration, Somalia MOIFAR, Ethiopia Authority for Civil Society Organizations (ACSO)</w:t>
      </w:r>
    </w:p>
    <w:p>
      <w:pPr>
        <w:pStyle w:val="ListBullet"/>
        <w:spacing w:after="60" w:line="300" w:lineRule="exact"/>
      </w:pPr>
      <w:r>
        <w:rPr>
          <w:rFonts w:ascii="Calibri" w:hAnsi="Calibri"/>
          <w:color w:val="333333"/>
          <w:sz w:val="21"/>
        </w:rPr>
        <w:t>Real-time sanctions screening against five databases: OpenSanctions API (primary), UN Security Council Consolidated List (XML), US OFAC Specially Designated Nationals (CSV), EU Financial Sanctions (CSV), World Bank Debarment List</w:t>
      </w:r>
    </w:p>
    <w:p>
      <w:pPr>
        <w:pStyle w:val="ListBullet"/>
        <w:spacing w:after="60" w:line="300" w:lineRule="exact"/>
      </w:pPr>
      <w:r>
        <w:rPr>
          <w:rFonts w:ascii="Calibri" w:hAnsi="Calibri"/>
          <w:color w:val="333333"/>
          <w:sz w:val="21"/>
        </w:rPr>
        <w:t>AI-powered registration certificate analysis—extracting organization name, registration number, date, and validity from scanned or photographed certificates</w:t>
      </w:r>
    </w:p>
    <w:p>
      <w:pPr>
        <w:pStyle w:val="Heading2"/>
        <w:spacing w:before="280" w:after="120"/>
      </w:pPr>
      <w:r>
        <w:rPr>
          <w:rFonts w:ascii="Calibri" w:hAnsi="Calibri"/>
          <w:color w:val="0D9488"/>
        </w:rPr>
        <w:t>Stage 4 — AI-Powered Grant Matching</w:t>
      </w:r>
    </w:p>
    <w:p>
      <w:pPr>
        <w:pStyle w:val="ListBullet"/>
        <w:spacing w:after="60" w:line="300" w:lineRule="exact"/>
      </w:pPr>
      <w:r>
        <w:rPr>
          <w:rFonts w:ascii="Calibri" w:hAnsi="Calibri"/>
          <w:color w:val="333333"/>
          <w:sz w:val="21"/>
        </w:rPr>
        <w:t>AI matches NGOs to relevant grants based on organizational profile, capacity assessment score, sector alignment, geographic focus, and funding tier eligibility</w:t>
      </w:r>
    </w:p>
    <w:p>
      <w:pPr>
        <w:pStyle w:val="ListBullet"/>
        <w:spacing w:after="60" w:line="300" w:lineRule="exact"/>
      </w:pPr>
      <w:r>
        <w:rPr>
          <w:rFonts w:ascii="Calibri" w:hAnsi="Calibri"/>
          <w:color w:val="333333"/>
          <w:sz w:val="21"/>
        </w:rPr>
        <w:t>AI matches donors to qualified grantees based on donor requirements, geographic preferences, sector priorities, and minimum capacity thresholds</w:t>
      </w:r>
    </w:p>
    <w:p>
      <w:pPr>
        <w:pStyle w:val="ListBullet"/>
        <w:spacing w:after="60" w:line="300" w:lineRule="exact"/>
      </w:pPr>
      <w:r>
        <w:rPr>
          <w:rFonts w:ascii="Calibri" w:hAnsi="Calibri"/>
          <w:color w:val="333333"/>
          <w:sz w:val="21"/>
        </w:rPr>
        <w:t>Multi-language support: English, French, Arabic, Swahili, and Somali natively—with architecture designed to expand to 100+ languages using AI translation</w:t>
      </w:r>
    </w:p>
    <w:p>
      <w:pPr>
        <w:pStyle w:val="Heading2"/>
        <w:spacing w:before="280" w:after="120"/>
      </w:pPr>
      <w:r>
        <w:rPr>
          <w:rFonts w:ascii="Calibri" w:hAnsi="Calibri"/>
          <w:color w:val="0D9488"/>
        </w:rPr>
        <w:t>Stage 5 — Grant Application with AI Guidance</w:t>
      </w:r>
    </w:p>
    <w:p>
      <w:pPr>
        <w:pStyle w:val="ListBullet"/>
        <w:spacing w:after="60" w:line="300" w:lineRule="exact"/>
      </w:pPr>
      <w:r>
        <w:rPr>
          <w:rFonts w:ascii="Calibri" w:hAnsi="Calibri"/>
          <w:color w:val="333333"/>
          <w:sz w:val="21"/>
        </w:rPr>
        <w:t>Four-step application wizard with AI-driven coaching at each stage—guiding applicants through eligibility confirmation, document preparation, narrative writing, and budget construction</w:t>
      </w:r>
    </w:p>
    <w:p>
      <w:pPr>
        <w:pStyle w:val="ListBullet"/>
        <w:spacing w:after="60" w:line="300" w:lineRule="exact"/>
      </w:pPr>
      <w:r>
        <w:rPr>
          <w:rFonts w:ascii="Calibri" w:hAnsi="Calibri"/>
          <w:color w:val="333333"/>
          <w:sz w:val="21"/>
        </w:rPr>
        <w:t>AI analyzes uploaded documents (PDF, DOCX, XLSX) with detailed findings, per-criteria scoring (0–100), and actionable recommendations for improvement</w:t>
      </w:r>
    </w:p>
    <w:p>
      <w:pPr>
        <w:pStyle w:val="ListBullet"/>
        <w:spacing w:after="60" w:line="300" w:lineRule="exact"/>
      </w:pPr>
      <w:r>
        <w:rPr>
          <w:rFonts w:ascii="Calibri" w:hAnsi="Calibri"/>
          <w:color w:val="333333"/>
          <w:sz w:val="21"/>
        </w:rPr>
        <w:t>Supported document types: financial reports, audit reports, project proposals, budgets, impact reports, registration certificates, organizational policies</w:t>
      </w:r>
    </w:p>
    <w:p>
      <w:pPr>
        <w:pStyle w:val="Heading2"/>
        <w:spacing w:before="280" w:after="120"/>
      </w:pPr>
      <w:r>
        <w:rPr>
          <w:rFonts w:ascii="Calibri" w:hAnsi="Calibri"/>
          <w:color w:val="0D9488"/>
        </w:rPr>
        <w:t>Stage 6 — Review &amp; Award</w:t>
      </w:r>
    </w:p>
    <w:p>
      <w:pPr>
        <w:pStyle w:val="ListBullet"/>
        <w:spacing w:after="60" w:line="300" w:lineRule="exact"/>
      </w:pPr>
      <w:r>
        <w:rPr>
          <w:rFonts w:ascii="Calibri" w:hAnsi="Calibri"/>
          <w:color w:val="333333"/>
          <w:sz w:val="21"/>
        </w:rPr>
        <w:t>Dual scoring system: AI auto-score provides an objective baseline; human reviewers add contextual judgment and final scoring</w:t>
      </w:r>
    </w:p>
    <w:p>
      <w:pPr>
        <w:pStyle w:val="ListBullet"/>
        <w:spacing w:after="60" w:line="300" w:lineRule="exact"/>
      </w:pPr>
      <w:r>
        <w:rPr>
          <w:rFonts w:ascii="Calibri" w:hAnsi="Calibri"/>
          <w:color w:val="333333"/>
          <w:sz w:val="21"/>
        </w:rPr>
        <w:t>Structured scoring rubrics per document type, ensuring consistency across reviewers and applications</w:t>
      </w:r>
    </w:p>
    <w:p>
      <w:pPr>
        <w:pStyle w:val="ListBullet"/>
        <w:spacing w:after="60" w:line="300" w:lineRule="exact"/>
      </w:pPr>
      <w:r>
        <w:rPr>
          <w:rFonts w:ascii="Calibri" w:hAnsi="Calibri"/>
          <w:color w:val="333333"/>
          <w:sz w:val="21"/>
        </w:rPr>
        <w:t>Donor-configurable evaluation criteria with three priority levels (Critical, Important, Nice to Have) and customizable weightings</w:t>
      </w:r>
    </w:p>
    <w:p>
      <w:pPr>
        <w:pStyle w:val="ListBullet"/>
        <w:spacing w:after="60" w:line="300" w:lineRule="exact"/>
      </w:pPr>
      <w:r>
        <w:rPr>
          <w:rFonts w:ascii="Calibri" w:hAnsi="Calibri"/>
          <w:color w:val="333333"/>
          <w:sz w:val="21"/>
        </w:rPr>
        <w:t>AI-ranked shortlists allow reviewers to focus attention on the most competitive applications</w:t>
      </w:r>
    </w:p>
    <w:p>
      <w:pPr>
        <w:pStyle w:val="Heading2"/>
        <w:spacing w:before="280" w:after="120"/>
      </w:pPr>
      <w:r>
        <w:rPr>
          <w:rFonts w:ascii="Calibri" w:hAnsi="Calibri"/>
          <w:color w:val="0D9488"/>
        </w:rPr>
        <w:t>Stage 7 — Reporting &amp; Compliance Monitoring</w:t>
      </w:r>
    </w:p>
    <w:p>
      <w:pPr>
        <w:pStyle w:val="ListBullet"/>
        <w:spacing w:after="60" w:line="300" w:lineRule="exact"/>
      </w:pPr>
      <w:r>
        <w:rPr>
          <w:rFonts w:ascii="Calibri" w:hAnsi="Calibri"/>
          <w:color w:val="333333"/>
          <w:sz w:val="21"/>
        </w:rPr>
        <w:t>Donors upload grant agreements; AI extracts reporting requirements, submission deadlines, financial obligations, and compliance conditions automatically</w:t>
      </w:r>
    </w:p>
    <w:p>
      <w:pPr>
        <w:pStyle w:val="ListBullet"/>
        <w:spacing w:after="60" w:line="300" w:lineRule="exact"/>
      </w:pPr>
      <w:r>
        <w:rPr>
          <w:rFonts w:ascii="Calibri" w:hAnsi="Calibri"/>
          <w:color w:val="333333"/>
          <w:sz w:val="21"/>
        </w:rPr>
        <w:t>Donors define per-document-type evaluation criteria, establishing clear expectations for each reporting obligation</w:t>
      </w:r>
    </w:p>
    <w:p>
      <w:pPr>
        <w:pStyle w:val="ListBullet"/>
        <w:spacing w:after="60" w:line="300" w:lineRule="exact"/>
      </w:pPr>
      <w:r>
        <w:rPr>
          <w:rFonts w:ascii="Calibri" w:hAnsi="Calibri"/>
          <w:color w:val="333333"/>
          <w:sz w:val="21"/>
        </w:rPr>
        <w:t>NGOs submit reports through the platform; AI evaluates each report against extracted requirements with per-requirement compliance scores and risk flags</w:t>
      </w:r>
    </w:p>
    <w:p>
      <w:pPr>
        <w:pStyle w:val="ListBullet"/>
        <w:spacing w:after="60" w:line="300" w:lineRule="exact"/>
      </w:pPr>
      <w:r>
        <w:rPr>
          <w:rFonts w:ascii="Calibri" w:hAnsi="Calibri"/>
          <w:color w:val="333333"/>
          <w:sz w:val="21"/>
        </w:rPr>
        <w:t>Compliance dashboard provides donors with portfolio-level visibility into upcoming deadlines, submission status, and risk indicators</w:t>
      </w:r>
    </w:p>
    <w:p>
      <w:pPr>
        <w:pStyle w:val="ListBullet"/>
        <w:spacing w:after="60" w:line="300" w:lineRule="exact"/>
      </w:pPr>
      <w:r>
        <w:rPr>
          <w:rFonts w:ascii="Calibri" w:hAnsi="Calibri"/>
          <w:color w:val="333333"/>
          <w:sz w:val="21"/>
        </w:rPr>
        <w:t>For NGOs not using the ERP: the reporting module seamlessly connects grant information to compliance workflows without requiring additional software adoption</w:t>
      </w:r>
    </w:p>
    <w:p>
      <w:pPr>
        <w:pStyle w:val="Heading2"/>
        <w:spacing w:before="280" w:after="120"/>
      </w:pPr>
      <w:r>
        <w:rPr>
          <w:rFonts w:ascii="Calibri" w:hAnsi="Calibri"/>
          <w:color w:val="0D9488"/>
        </w:rPr>
        <w:t>Stage 8 — ERP &amp; Operations (Kuja Build — Odoo 17)</w:t>
      </w:r>
    </w:p>
    <w:p>
      <w:pPr>
        <w:spacing w:after="120" w:line="300" w:lineRule="exact"/>
      </w:pPr>
      <w:r>
        <w:rPr>
          <w:rFonts w:ascii="Calibri" w:hAnsi="Calibri"/>
          <w:b w:val="0"/>
          <w:i w:val="0"/>
          <w:color w:val="333333"/>
          <w:sz w:val="21"/>
        </w:rPr>
        <w:t>The final stage extends grant management into full operational management, closing the loop between funding and implementation.</w:t>
      </w:r>
    </w:p>
    <w:p>
      <w:pPr>
        <w:pStyle w:val="ListBullet"/>
        <w:spacing w:after="60" w:line="300" w:lineRule="exact"/>
      </w:pPr>
      <w:r>
        <w:rPr>
          <w:rFonts w:ascii="Calibri" w:hAnsi="Calibri"/>
          <w:color w:val="333333"/>
          <w:sz w:val="21"/>
        </w:rPr>
        <w:t>Three subscription tiers: Basic (donor/grant management, accounting, financial reporting), Premium (adds asset management, procurement, payroll), Premium+ (adds project management, HRIS, MEAL)</w:t>
      </w:r>
    </w:p>
    <w:p>
      <w:pPr>
        <w:pStyle w:val="ListBullet"/>
        <w:spacing w:after="60" w:line="300" w:lineRule="exact"/>
      </w:pPr>
      <w:r>
        <w:rPr>
          <w:rFonts w:ascii="Calibri" w:hAnsi="Calibri"/>
          <w:color w:val="333333"/>
          <w:sz w:val="21"/>
        </w:rPr>
        <w:t>Multi-tenancy architecture: donors can access real-time financial data for their specific grants within a grantee’s ERP instance, increasing transparency and reducing reporting burden</w:t>
      </w:r>
    </w:p>
    <w:p>
      <w:pPr>
        <w:pStyle w:val="ListBullet"/>
        <w:spacing w:after="60" w:line="300" w:lineRule="exact"/>
      </w:pPr>
      <w:r>
        <w:rPr>
          <w:rFonts w:ascii="Calibri" w:hAnsi="Calibri"/>
          <w:color w:val="333333"/>
          <w:sz w:val="21"/>
        </w:rPr>
        <w:t>Seamless onboarding: most organizational information is already captured through Stages 1–7, reducing ERP setup from weeks to hours</w:t>
      </w:r>
    </w:p>
    <w:p>
      <w:pPr>
        <w:pStyle w:val="ListBullet"/>
        <w:spacing w:after="60" w:line="300" w:lineRule="exact"/>
      </w:pPr>
      <w:r>
        <w:rPr>
          <w:rFonts w:ascii="Calibri" w:hAnsi="Calibri"/>
          <w:color w:val="333333"/>
          <w:sz w:val="21"/>
        </w:rPr>
        <w:t>For entities choosing the ERP: automatic data migration from marketplace profiles, assessment results, and grant records</w:t>
      </w:r>
    </w:p>
    <w:p>
      <w:r>
        <w:br w:type="page"/>
      </w:r>
    </w:p>
    <w:p>
      <w:pPr>
        <w:pStyle w:val="Heading1"/>
        <w:spacing w:before="360" w:after="160"/>
      </w:pPr>
      <w:r>
        <w:rPr>
          <w:rFonts w:ascii="Calibri" w:hAnsi="Calibri"/>
          <w:color w:val="1E40AF"/>
        </w:rPr>
        <w:t>4. Market Opportunity</w:t>
      </w:r>
    </w:p>
    <w:p>
      <w:pPr>
        <w:pStyle w:val="Heading2"/>
        <w:spacing w:before="280" w:after="120"/>
      </w:pPr>
      <w:r>
        <w:rPr>
          <w:rFonts w:ascii="Calibri" w:hAnsi="Calibri"/>
          <w:color w:val="0D9488"/>
        </w:rPr>
        <w:t>Market Size</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135"/>
        <w:gridCol w:w="3135"/>
        <w:gridCol w:w="3135"/>
      </w:tblGrid>
      <w:tr>
        <w:tc>
          <w:tcPr>
            <w:tcW w:type="dxa" w:w="3135"/>
            <w:shd w:fill="1E40AF" w:val="clear"/>
          </w:tcPr>
          <w:p>
            <w:pPr>
              <w:spacing w:before="40" w:after="40"/>
            </w:pPr>
            <w:r/>
            <w:r>
              <w:rPr>
                <w:rFonts w:ascii="Calibri" w:hAnsi="Calibri"/>
                <w:b/>
                <w:color w:val="FFFFFF"/>
                <w:sz w:val="18"/>
              </w:rPr>
              <w:t>Metric</w:t>
            </w:r>
          </w:p>
        </w:tc>
        <w:tc>
          <w:tcPr>
            <w:tcW w:type="dxa" w:w="3135"/>
            <w:shd w:fill="1E40AF" w:val="clear"/>
          </w:tcPr>
          <w:p>
            <w:pPr>
              <w:spacing w:before="40" w:after="40"/>
            </w:pPr>
            <w:r/>
            <w:r>
              <w:rPr>
                <w:rFonts w:ascii="Calibri" w:hAnsi="Calibri"/>
                <w:b/>
                <w:color w:val="FFFFFF"/>
                <w:sz w:val="18"/>
              </w:rPr>
              <w:t>Value</w:t>
            </w:r>
          </w:p>
        </w:tc>
        <w:tc>
          <w:tcPr>
            <w:tcW w:type="dxa" w:w="3135"/>
            <w:shd w:fill="1E40AF" w:val="clear"/>
          </w:tcPr>
          <w:p>
            <w:pPr>
              <w:spacing w:before="40" w:after="40"/>
            </w:pPr>
            <w:r/>
            <w:r>
              <w:rPr>
                <w:rFonts w:ascii="Calibri" w:hAnsi="Calibri"/>
                <w:b/>
                <w:color w:val="FFFFFF"/>
                <w:sz w:val="18"/>
              </w:rPr>
              <w:t>Source</w:t>
            </w:r>
          </w:p>
        </w:tc>
      </w:tr>
      <w:tr>
        <w:tc>
          <w:tcPr>
            <w:tcW w:type="dxa" w:w="3135"/>
          </w:tcPr>
          <w:p>
            <w:pPr>
              <w:spacing w:before="40" w:after="40"/>
            </w:pPr>
            <w:r/>
            <w:r>
              <w:rPr>
                <w:rFonts w:ascii="Calibri" w:hAnsi="Calibri"/>
                <w:b w:val="0"/>
                <w:color w:val="333333"/>
                <w:sz w:val="18"/>
              </w:rPr>
              <w:t>Global grant management software market (2024)</w:t>
            </w:r>
          </w:p>
        </w:tc>
        <w:tc>
          <w:tcPr>
            <w:tcW w:type="dxa" w:w="3135"/>
          </w:tcPr>
          <w:p>
            <w:pPr>
              <w:spacing w:before="40" w:after="40"/>
            </w:pPr>
            <w:r/>
            <w:r>
              <w:rPr>
                <w:rFonts w:ascii="Calibri" w:hAnsi="Calibri"/>
                <w:b w:val="0"/>
                <w:color w:val="333333"/>
                <w:sz w:val="18"/>
              </w:rPr>
              <w:t>$2.75 billion</w:t>
            </w:r>
          </w:p>
        </w:tc>
        <w:tc>
          <w:tcPr>
            <w:tcW w:type="dxa" w:w="3135"/>
          </w:tcPr>
          <w:p>
            <w:pPr>
              <w:spacing w:before="40" w:after="40"/>
            </w:pPr>
            <w:r/>
            <w:r>
              <w:rPr>
                <w:rFonts w:ascii="Calibri" w:hAnsi="Calibri"/>
                <w:b w:val="0"/>
                <w:color w:val="333333"/>
                <w:sz w:val="18"/>
              </w:rPr>
              <w:t>Grand View Research</w:t>
            </w:r>
          </w:p>
        </w:tc>
      </w:tr>
      <w:tr>
        <w:tc>
          <w:tcPr>
            <w:tcW w:type="dxa" w:w="3135"/>
            <w:shd w:fill="F0F7FF" w:val="clear"/>
          </w:tcPr>
          <w:p>
            <w:pPr>
              <w:spacing w:before="40" w:after="40"/>
            </w:pPr>
            <w:r/>
            <w:r>
              <w:rPr>
                <w:rFonts w:ascii="Calibri" w:hAnsi="Calibri"/>
                <w:b w:val="0"/>
                <w:color w:val="333333"/>
                <w:sz w:val="18"/>
              </w:rPr>
              <w:t>Projected market size (2030)</w:t>
            </w:r>
          </w:p>
        </w:tc>
        <w:tc>
          <w:tcPr>
            <w:tcW w:type="dxa" w:w="3135"/>
            <w:shd w:fill="F0F7FF" w:val="clear"/>
          </w:tcPr>
          <w:p>
            <w:pPr>
              <w:spacing w:before="40" w:after="40"/>
            </w:pPr>
            <w:r/>
            <w:r>
              <w:rPr>
                <w:rFonts w:ascii="Calibri" w:hAnsi="Calibri"/>
                <w:b w:val="0"/>
                <w:color w:val="333333"/>
                <w:sz w:val="18"/>
              </w:rPr>
              <w:t>$4.79 billion</w:t>
            </w:r>
          </w:p>
        </w:tc>
        <w:tc>
          <w:tcPr>
            <w:tcW w:type="dxa" w:w="3135"/>
            <w:shd w:fill="F0F7FF" w:val="clear"/>
          </w:tcPr>
          <w:p>
            <w:pPr>
              <w:spacing w:before="40" w:after="40"/>
            </w:pPr>
            <w:r/>
            <w:r>
              <w:rPr>
                <w:rFonts w:ascii="Calibri" w:hAnsi="Calibri"/>
                <w:b w:val="0"/>
                <w:color w:val="333333"/>
                <w:sz w:val="18"/>
              </w:rPr>
              <w:t>Grand View Research</w:t>
            </w:r>
          </w:p>
        </w:tc>
      </w:tr>
      <w:tr>
        <w:tc>
          <w:tcPr>
            <w:tcW w:type="dxa" w:w="3135"/>
          </w:tcPr>
          <w:p>
            <w:pPr>
              <w:spacing w:before="40" w:after="40"/>
            </w:pPr>
            <w:r/>
            <w:r>
              <w:rPr>
                <w:rFonts w:ascii="Calibri" w:hAnsi="Calibri"/>
                <w:b w:val="0"/>
                <w:color w:val="333333"/>
                <w:sz w:val="18"/>
              </w:rPr>
              <w:t>CAGR (2024–2030)</w:t>
            </w:r>
          </w:p>
        </w:tc>
        <w:tc>
          <w:tcPr>
            <w:tcW w:type="dxa" w:w="3135"/>
          </w:tcPr>
          <w:p>
            <w:pPr>
              <w:spacing w:before="40" w:after="40"/>
            </w:pPr>
            <w:r/>
            <w:r>
              <w:rPr>
                <w:rFonts w:ascii="Calibri" w:hAnsi="Calibri"/>
                <w:b w:val="0"/>
                <w:color w:val="333333"/>
                <w:sz w:val="18"/>
              </w:rPr>
              <w:t>10.3%</w:t>
            </w:r>
          </w:p>
        </w:tc>
        <w:tc>
          <w:tcPr>
            <w:tcW w:type="dxa" w:w="3135"/>
          </w:tcPr>
          <w:p>
            <w:pPr>
              <w:spacing w:before="40" w:after="40"/>
            </w:pPr>
            <w:r/>
            <w:r>
              <w:rPr>
                <w:rFonts w:ascii="Calibri" w:hAnsi="Calibri"/>
                <w:b w:val="0"/>
                <w:color w:val="333333"/>
                <w:sz w:val="18"/>
              </w:rPr>
              <w:t>Grand View Research</w:t>
            </w:r>
          </w:p>
        </w:tc>
      </w:tr>
      <w:tr>
        <w:tc>
          <w:tcPr>
            <w:tcW w:type="dxa" w:w="3135"/>
            <w:shd w:fill="F0F7FF" w:val="clear"/>
          </w:tcPr>
          <w:p>
            <w:pPr>
              <w:spacing w:before="40" w:after="40"/>
            </w:pPr>
            <w:r/>
            <w:r>
              <w:rPr>
                <w:rFonts w:ascii="Calibri" w:hAnsi="Calibri"/>
                <w:b w:val="0"/>
                <w:color w:val="333333"/>
                <w:sz w:val="18"/>
              </w:rPr>
              <w:t>Nonprofit/NGO segment share</w:t>
            </w:r>
          </w:p>
        </w:tc>
        <w:tc>
          <w:tcPr>
            <w:tcW w:type="dxa" w:w="3135"/>
            <w:shd w:fill="F0F7FF" w:val="clear"/>
          </w:tcPr>
          <w:p>
            <w:pPr>
              <w:spacing w:before="40" w:after="40"/>
            </w:pPr>
            <w:r/>
            <w:r>
              <w:rPr>
                <w:rFonts w:ascii="Calibri" w:hAnsi="Calibri"/>
                <w:b w:val="0"/>
                <w:color w:val="333333"/>
                <w:sz w:val="18"/>
              </w:rPr>
              <w:t>58.2%</w:t>
            </w:r>
          </w:p>
        </w:tc>
        <w:tc>
          <w:tcPr>
            <w:tcW w:type="dxa" w:w="3135"/>
            <w:shd w:fill="F0F7FF" w:val="clear"/>
          </w:tcPr>
          <w:p>
            <w:pPr>
              <w:spacing w:before="40" w:after="40"/>
            </w:pPr>
            <w:r/>
            <w:r>
              <w:rPr>
                <w:rFonts w:ascii="Calibri" w:hAnsi="Calibri"/>
                <w:b w:val="0"/>
                <w:color w:val="333333"/>
                <w:sz w:val="18"/>
              </w:rPr>
              <w:t>Grand View Research</w:t>
            </w:r>
          </w:p>
        </w:tc>
      </w:tr>
      <w:tr>
        <w:tc>
          <w:tcPr>
            <w:tcW w:type="dxa" w:w="3135"/>
          </w:tcPr>
          <w:p>
            <w:pPr>
              <w:spacing w:before="40" w:after="40"/>
            </w:pPr>
            <w:r/>
            <w:r>
              <w:rPr>
                <w:rFonts w:ascii="Calibri" w:hAnsi="Calibri"/>
                <w:b w:val="0"/>
                <w:color w:val="333333"/>
                <w:sz w:val="18"/>
              </w:rPr>
              <w:t>Cloud-based deployments</w:t>
            </w:r>
          </w:p>
        </w:tc>
        <w:tc>
          <w:tcPr>
            <w:tcW w:type="dxa" w:w="3135"/>
          </w:tcPr>
          <w:p>
            <w:pPr>
              <w:spacing w:before="40" w:after="40"/>
            </w:pPr>
            <w:r/>
            <w:r>
              <w:rPr>
                <w:rFonts w:ascii="Calibri" w:hAnsi="Calibri"/>
                <w:b w:val="0"/>
                <w:color w:val="333333"/>
                <w:sz w:val="18"/>
              </w:rPr>
              <w:t>65% of new implementations</w:t>
            </w:r>
          </w:p>
        </w:tc>
        <w:tc>
          <w:tcPr>
            <w:tcW w:type="dxa" w:w="3135"/>
          </w:tcPr>
          <w:p>
            <w:pPr>
              <w:spacing w:before="40" w:after="40"/>
            </w:pPr>
            <w:r/>
            <w:r>
              <w:rPr>
                <w:rFonts w:ascii="Calibri" w:hAnsi="Calibri"/>
                <w:b w:val="0"/>
                <w:color w:val="333333"/>
                <w:sz w:val="18"/>
              </w:rPr>
              <w:t>Industry reports</w:t>
            </w:r>
          </w:p>
        </w:tc>
      </w:tr>
      <w:tr>
        <w:tc>
          <w:tcPr>
            <w:tcW w:type="dxa" w:w="3135"/>
            <w:shd w:fill="F0F7FF" w:val="clear"/>
          </w:tcPr>
          <w:p>
            <w:pPr>
              <w:spacing w:before="40" w:after="40"/>
            </w:pPr>
            <w:r/>
            <w:r>
              <w:rPr>
                <w:rFonts w:ascii="Calibri" w:hAnsi="Calibri"/>
                <w:b w:val="0"/>
                <w:color w:val="333333"/>
                <w:sz w:val="18"/>
              </w:rPr>
              <w:t>Nonprofits wanting to expand AI use</w:t>
            </w:r>
          </w:p>
        </w:tc>
        <w:tc>
          <w:tcPr>
            <w:tcW w:type="dxa" w:w="3135"/>
            <w:shd w:fill="F0F7FF" w:val="clear"/>
          </w:tcPr>
          <w:p>
            <w:pPr>
              <w:spacing w:before="40" w:after="40"/>
            </w:pPr>
            <w:r/>
            <w:r>
              <w:rPr>
                <w:rFonts w:ascii="Calibri" w:hAnsi="Calibri"/>
                <w:b w:val="0"/>
                <w:color w:val="333333"/>
                <w:sz w:val="18"/>
              </w:rPr>
              <w:t>90%</w:t>
            </w:r>
          </w:p>
        </w:tc>
        <w:tc>
          <w:tcPr>
            <w:tcW w:type="dxa" w:w="3135"/>
            <w:shd w:fill="F0F7FF" w:val="clear"/>
          </w:tcPr>
          <w:p>
            <w:pPr>
              <w:spacing w:before="40" w:after="40"/>
            </w:pPr>
            <w:r/>
            <w:r>
              <w:rPr>
                <w:rFonts w:ascii="Calibri" w:hAnsi="Calibri"/>
                <w:b w:val="0"/>
                <w:color w:val="333333"/>
                <w:sz w:val="18"/>
              </w:rPr>
              <w:t>Sector surveys</w:t>
            </w:r>
          </w:p>
        </w:tc>
      </w:tr>
      <w:tr>
        <w:tc>
          <w:tcPr>
            <w:tcW w:type="dxa" w:w="3135"/>
          </w:tcPr>
          <w:p>
            <w:pPr>
              <w:spacing w:before="40" w:after="40"/>
            </w:pPr>
            <w:r/>
            <w:r>
              <w:rPr>
                <w:rFonts w:ascii="Calibri" w:hAnsi="Calibri"/>
                <w:b w:val="0"/>
                <w:color w:val="333333"/>
                <w:sz w:val="18"/>
              </w:rPr>
              <w:t>Foundations wanting to expand AI use</w:t>
            </w:r>
          </w:p>
        </w:tc>
        <w:tc>
          <w:tcPr>
            <w:tcW w:type="dxa" w:w="3135"/>
          </w:tcPr>
          <w:p>
            <w:pPr>
              <w:spacing w:before="40" w:after="40"/>
            </w:pPr>
            <w:r/>
            <w:r>
              <w:rPr>
                <w:rFonts w:ascii="Calibri" w:hAnsi="Calibri"/>
                <w:b w:val="0"/>
                <w:color w:val="333333"/>
                <w:sz w:val="18"/>
              </w:rPr>
              <w:t>94%</w:t>
            </w:r>
          </w:p>
        </w:tc>
        <w:tc>
          <w:tcPr>
            <w:tcW w:type="dxa" w:w="3135"/>
          </w:tcPr>
          <w:p>
            <w:pPr>
              <w:spacing w:before="40" w:after="40"/>
            </w:pPr>
            <w:r/>
            <w:r>
              <w:rPr>
                <w:rFonts w:ascii="Calibri" w:hAnsi="Calibri"/>
                <w:b w:val="0"/>
                <w:color w:val="333333"/>
                <w:sz w:val="18"/>
              </w:rPr>
              <w:t>Sector surveys</w:t>
            </w:r>
          </w:p>
        </w:tc>
      </w:tr>
    </w:tbl>
    <w:p/>
    <w:p>
      <w:pPr>
        <w:pStyle w:val="Heading2"/>
        <w:spacing w:before="280" w:after="120"/>
      </w:pPr>
      <w:r>
        <w:rPr>
          <w:rFonts w:ascii="Calibri" w:hAnsi="Calibri"/>
          <w:color w:val="0D9488"/>
        </w:rPr>
        <w:t>Target Market</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135"/>
        <w:gridCol w:w="3135"/>
        <w:gridCol w:w="3135"/>
      </w:tblGrid>
      <w:tr>
        <w:tc>
          <w:tcPr>
            <w:tcW w:type="dxa" w:w="3135"/>
            <w:shd w:fill="1E40AF" w:val="clear"/>
          </w:tcPr>
          <w:p>
            <w:pPr>
              <w:spacing w:before="40" w:after="40"/>
            </w:pPr>
            <w:r/>
            <w:r>
              <w:rPr>
                <w:rFonts w:ascii="Calibri" w:hAnsi="Calibri"/>
                <w:b/>
                <w:color w:val="FFFFFF"/>
                <w:sz w:val="18"/>
              </w:rPr>
              <w:t>Segment</w:t>
            </w:r>
          </w:p>
        </w:tc>
        <w:tc>
          <w:tcPr>
            <w:tcW w:type="dxa" w:w="3135"/>
            <w:shd w:fill="1E40AF" w:val="clear"/>
          </w:tcPr>
          <w:p>
            <w:pPr>
              <w:spacing w:before="40" w:after="40"/>
            </w:pPr>
            <w:r/>
            <w:r>
              <w:rPr>
                <w:rFonts w:ascii="Calibri" w:hAnsi="Calibri"/>
                <w:b/>
                <w:color w:val="FFFFFF"/>
                <w:sz w:val="18"/>
              </w:rPr>
              <w:t>Estimated Size</w:t>
            </w:r>
          </w:p>
        </w:tc>
        <w:tc>
          <w:tcPr>
            <w:tcW w:type="dxa" w:w="3135"/>
            <w:shd w:fill="1E40AF" w:val="clear"/>
          </w:tcPr>
          <w:p>
            <w:pPr>
              <w:spacing w:before="40" w:after="40"/>
            </w:pPr>
            <w:r/>
            <w:r>
              <w:rPr>
                <w:rFonts w:ascii="Calibri" w:hAnsi="Calibri"/>
                <w:b/>
                <w:color w:val="FFFFFF"/>
                <w:sz w:val="18"/>
              </w:rPr>
              <w:t>Kuja’s Approach</w:t>
            </w:r>
          </w:p>
        </w:tc>
      </w:tr>
      <w:tr>
        <w:tc>
          <w:tcPr>
            <w:tcW w:type="dxa" w:w="3135"/>
          </w:tcPr>
          <w:p>
            <w:pPr>
              <w:spacing w:before="40" w:after="40"/>
            </w:pPr>
            <w:r/>
            <w:r>
              <w:rPr>
                <w:rFonts w:ascii="Calibri" w:hAnsi="Calibri"/>
                <w:b w:val="0"/>
                <w:color w:val="333333"/>
                <w:sz w:val="18"/>
              </w:rPr>
              <w:t>African CSOs/NGOs</w:t>
            </w:r>
          </w:p>
        </w:tc>
        <w:tc>
          <w:tcPr>
            <w:tcW w:type="dxa" w:w="3135"/>
          </w:tcPr>
          <w:p>
            <w:pPr>
              <w:spacing w:before="40" w:after="40"/>
            </w:pPr>
            <w:r/>
            <w:r>
              <w:rPr>
                <w:rFonts w:ascii="Calibri" w:hAnsi="Calibri"/>
                <w:b w:val="0"/>
                <w:color w:val="333333"/>
                <w:sz w:val="18"/>
              </w:rPr>
              <w:t>100,000+ registered organizations</w:t>
            </w:r>
          </w:p>
        </w:tc>
        <w:tc>
          <w:tcPr>
            <w:tcW w:type="dxa" w:w="3135"/>
          </w:tcPr>
          <w:p>
            <w:pPr>
              <w:spacing w:before="40" w:after="40"/>
            </w:pPr>
            <w:r/>
            <w:r>
              <w:rPr>
                <w:rFonts w:ascii="Calibri" w:hAnsi="Calibri"/>
                <w:b w:val="0"/>
                <w:color w:val="333333"/>
                <w:sz w:val="18"/>
              </w:rPr>
              <w:t>Free tier for marketplace + paid assessment + ERP</w:t>
            </w:r>
          </w:p>
        </w:tc>
      </w:tr>
      <w:tr>
        <w:tc>
          <w:tcPr>
            <w:tcW w:type="dxa" w:w="3135"/>
            <w:shd w:fill="F0F7FF" w:val="clear"/>
          </w:tcPr>
          <w:p>
            <w:pPr>
              <w:spacing w:before="40" w:after="40"/>
            </w:pPr>
            <w:r/>
            <w:r>
              <w:rPr>
                <w:rFonts w:ascii="Calibri" w:hAnsi="Calibri"/>
                <w:b w:val="0"/>
                <w:color w:val="333333"/>
                <w:sz w:val="18"/>
              </w:rPr>
              <w:t>Global South CSOs (incl. LatAm, Asia)</w:t>
            </w:r>
          </w:p>
        </w:tc>
        <w:tc>
          <w:tcPr>
            <w:tcW w:type="dxa" w:w="3135"/>
            <w:shd w:fill="F0F7FF" w:val="clear"/>
          </w:tcPr>
          <w:p>
            <w:pPr>
              <w:spacing w:before="40" w:after="40"/>
            </w:pPr>
            <w:r/>
            <w:r>
              <w:rPr>
                <w:rFonts w:ascii="Calibri" w:hAnsi="Calibri"/>
                <w:b w:val="0"/>
                <w:color w:val="333333"/>
                <w:sz w:val="18"/>
              </w:rPr>
              <w:t>500,000+</w:t>
            </w:r>
          </w:p>
        </w:tc>
        <w:tc>
          <w:tcPr>
            <w:tcW w:type="dxa" w:w="3135"/>
            <w:shd w:fill="F0F7FF" w:val="clear"/>
          </w:tcPr>
          <w:p>
            <w:pPr>
              <w:spacing w:before="40" w:after="40"/>
            </w:pPr>
            <w:r/>
            <w:r>
              <w:rPr>
                <w:rFonts w:ascii="Calibri" w:hAnsi="Calibri"/>
                <w:b w:val="0"/>
                <w:color w:val="333333"/>
                <w:sz w:val="18"/>
              </w:rPr>
              <w:t>Phase 2–3 geographic expansion</w:t>
            </w:r>
          </w:p>
        </w:tc>
      </w:tr>
      <w:tr>
        <w:tc>
          <w:tcPr>
            <w:tcW w:type="dxa" w:w="3135"/>
          </w:tcPr>
          <w:p>
            <w:pPr>
              <w:spacing w:before="40" w:after="40"/>
            </w:pPr>
            <w:r/>
            <w:r>
              <w:rPr>
                <w:rFonts w:ascii="Calibri" w:hAnsi="Calibri"/>
                <w:b w:val="0"/>
                <w:color w:val="333333"/>
                <w:sz w:val="18"/>
              </w:rPr>
              <w:t>Bilateral/multilateral donors</w:t>
            </w:r>
          </w:p>
        </w:tc>
        <w:tc>
          <w:tcPr>
            <w:tcW w:type="dxa" w:w="3135"/>
          </w:tcPr>
          <w:p>
            <w:pPr>
              <w:spacing w:before="40" w:after="40"/>
            </w:pPr>
            <w:r/>
            <w:r>
              <w:rPr>
                <w:rFonts w:ascii="Calibri" w:hAnsi="Calibri"/>
                <w:b w:val="0"/>
                <w:color w:val="333333"/>
                <w:sz w:val="18"/>
              </w:rPr>
              <w:t>50+ major institutions</w:t>
            </w:r>
          </w:p>
        </w:tc>
        <w:tc>
          <w:tcPr>
            <w:tcW w:type="dxa" w:w="3135"/>
          </w:tcPr>
          <w:p>
            <w:pPr>
              <w:spacing w:before="40" w:after="40"/>
            </w:pPr>
            <w:r/>
            <w:r>
              <w:rPr>
                <w:rFonts w:ascii="Calibri" w:hAnsi="Calibri"/>
                <w:b w:val="0"/>
                <w:color w:val="333333"/>
                <w:sz w:val="18"/>
              </w:rPr>
              <w:t>Premium end-to-end solution</w:t>
            </w:r>
          </w:p>
        </w:tc>
      </w:tr>
      <w:tr>
        <w:tc>
          <w:tcPr>
            <w:tcW w:type="dxa" w:w="3135"/>
            <w:shd w:fill="F0F7FF" w:val="clear"/>
          </w:tcPr>
          <w:p>
            <w:pPr>
              <w:spacing w:before="40" w:after="40"/>
            </w:pPr>
            <w:r/>
            <w:r>
              <w:rPr>
                <w:rFonts w:ascii="Calibri" w:hAnsi="Calibri"/>
                <w:b w:val="0"/>
                <w:color w:val="333333"/>
                <w:sz w:val="18"/>
              </w:rPr>
              <w:t>Private foundations</w:t>
            </w:r>
          </w:p>
        </w:tc>
        <w:tc>
          <w:tcPr>
            <w:tcW w:type="dxa" w:w="3135"/>
            <w:shd w:fill="F0F7FF" w:val="clear"/>
          </w:tcPr>
          <w:p>
            <w:pPr>
              <w:spacing w:before="40" w:after="40"/>
            </w:pPr>
            <w:r/>
            <w:r>
              <w:rPr>
                <w:rFonts w:ascii="Calibri" w:hAnsi="Calibri"/>
                <w:b w:val="0"/>
                <w:color w:val="333333"/>
                <w:sz w:val="18"/>
              </w:rPr>
              <w:t>200,000+ globally</w:t>
            </w:r>
          </w:p>
        </w:tc>
        <w:tc>
          <w:tcPr>
            <w:tcW w:type="dxa" w:w="3135"/>
            <w:shd w:fill="F0F7FF" w:val="clear"/>
          </w:tcPr>
          <w:p>
            <w:pPr>
              <w:spacing w:before="40" w:after="40"/>
            </w:pPr>
            <w:r/>
            <w:r>
              <w:rPr>
                <w:rFonts w:ascii="Calibri" w:hAnsi="Calibri"/>
                <w:b w:val="0"/>
                <w:color w:val="333333"/>
                <w:sz w:val="18"/>
              </w:rPr>
              <w:t>Application portal + matching</w:t>
            </w:r>
          </w:p>
        </w:tc>
      </w:tr>
      <w:tr>
        <w:tc>
          <w:tcPr>
            <w:tcW w:type="dxa" w:w="3135"/>
          </w:tcPr>
          <w:p>
            <w:pPr>
              <w:spacing w:before="40" w:after="40"/>
            </w:pPr>
            <w:r/>
            <w:r>
              <w:rPr>
                <w:rFonts w:ascii="Calibri" w:hAnsi="Calibri"/>
                <w:b w:val="0"/>
                <w:color w:val="333333"/>
                <w:sz w:val="18"/>
              </w:rPr>
              <w:t>INGOs seeking local partners</w:t>
            </w:r>
          </w:p>
        </w:tc>
        <w:tc>
          <w:tcPr>
            <w:tcW w:type="dxa" w:w="3135"/>
          </w:tcPr>
          <w:p>
            <w:pPr>
              <w:spacing w:before="40" w:after="40"/>
            </w:pPr>
            <w:r/>
            <w:r>
              <w:rPr>
                <w:rFonts w:ascii="Calibri" w:hAnsi="Calibri"/>
                <w:b w:val="0"/>
                <w:color w:val="333333"/>
                <w:sz w:val="18"/>
              </w:rPr>
              <w:t>1,000+</w:t>
            </w:r>
          </w:p>
        </w:tc>
        <w:tc>
          <w:tcPr>
            <w:tcW w:type="dxa" w:w="3135"/>
          </w:tcPr>
          <w:p>
            <w:pPr>
              <w:spacing w:before="40" w:after="40"/>
            </w:pPr>
            <w:r/>
            <w:r>
              <w:rPr>
                <w:rFonts w:ascii="Calibri" w:hAnsi="Calibri"/>
                <w:b w:val="0"/>
                <w:color w:val="333333"/>
                <w:sz w:val="18"/>
              </w:rPr>
              <w:t>Marketplace + assessment integration</w:t>
            </w:r>
          </w:p>
        </w:tc>
      </w:tr>
    </w:tbl>
    <w:p/>
    <w:p>
      <w:pPr>
        <w:pStyle w:val="Heading2"/>
        <w:spacing w:before="280" w:after="120"/>
      </w:pPr>
      <w:r>
        <w:rPr>
          <w:rFonts w:ascii="Calibri" w:hAnsi="Calibri"/>
          <w:color w:val="0D9488"/>
        </w:rPr>
        <w:t>Key Market Dynamics</w:t>
      </w:r>
    </w:p>
    <w:p>
      <w:pPr>
        <w:pStyle w:val="ListBullet"/>
        <w:spacing w:after="60" w:line="300" w:lineRule="exact"/>
      </w:pPr>
      <w:r>
        <w:rPr>
          <w:rFonts w:ascii="Calibri" w:hAnsi="Calibri"/>
          <w:color w:val="333333"/>
          <w:sz w:val="21"/>
        </w:rPr>
        <w:t>The post-USAID landscape has created acute urgency for alternative funding infrastructure. Organizations that previously relied on USAID sub-grants through INGO intermediaries now need direct connections to diversified donor bases.</w:t>
      </w:r>
    </w:p>
    <w:p>
      <w:pPr>
        <w:pStyle w:val="ListBullet"/>
        <w:spacing w:after="60" w:line="300" w:lineRule="exact"/>
      </w:pPr>
      <w:r>
        <w:rPr>
          <w:rFonts w:ascii="Calibri" w:hAnsi="Calibri"/>
          <w:color w:val="333333"/>
          <w:sz w:val="21"/>
        </w:rPr>
        <w:t>Aid localization mandates under the Grand Bargain 2.0 require new digital infrastructure to route funding directly to local actors—yet no technology platform currently exists at scale to facilitate this transition.</w:t>
      </w:r>
    </w:p>
    <w:p>
      <w:pPr>
        <w:pStyle w:val="ListBullet"/>
        <w:spacing w:after="60" w:line="300" w:lineRule="exact"/>
      </w:pPr>
      <w:r>
        <w:rPr>
          <w:rFonts w:ascii="Calibri" w:hAnsi="Calibri"/>
          <w:color w:val="333333"/>
          <w:sz w:val="21"/>
        </w:rPr>
        <w:t>The inefficiency of 4–12 duplicate capacity assessments per NGO per year represents a massive efficiency opportunity. A single passportable assessment eliminates redundant evaluations worth an estimated $50,000–$150,000 annually per NGO in staff time and consultant fees.</w:t>
      </w:r>
    </w:p>
    <w:p>
      <w:r>
        <w:br w:type="page"/>
      </w:r>
    </w:p>
    <w:p>
      <w:pPr>
        <w:pStyle w:val="Heading1"/>
        <w:spacing w:before="360" w:after="160"/>
      </w:pPr>
      <w:r>
        <w:rPr>
          <w:rFonts w:ascii="Calibri" w:hAnsi="Calibri"/>
          <w:color w:val="1E40AF"/>
        </w:rPr>
        <w:t>5. Competitive Landscape</w:t>
      </w:r>
    </w:p>
    <w:p>
      <w:pPr>
        <w:spacing w:after="120" w:line="300" w:lineRule="exact"/>
      </w:pPr>
      <w:r>
        <w:rPr>
          <w:rFonts w:ascii="Calibri" w:hAnsi="Calibri"/>
          <w:b w:val="0"/>
          <w:i w:val="0"/>
          <w:color w:val="333333"/>
          <w:sz w:val="21"/>
        </w:rPr>
        <w:t>The competitive landscape spans three categories: donor-side grant management platforms (Fluxx, Submittable, SmartSimple, Good Grants, Foundant, Benevity), seeker-side tools (OpenGrants, Instrumentl, GrantHub), and sector infrastructure (GlobalGiving, UN Partner Portal, TechSoup STEP, Xapien). No existing competitor offers Kuja’s end-to-end integrated approach combining all eight lifecycle stages.</w:t>
      </w:r>
    </w:p>
    <w:p>
      <w:pPr>
        <w:pStyle w:val="Heading2"/>
        <w:spacing w:before="280" w:after="120"/>
      </w:pPr>
      <w:r>
        <w:rPr>
          <w:rFonts w:ascii="Calibri" w:hAnsi="Calibri"/>
          <w:color w:val="0D9488"/>
        </w:rPr>
        <w:t>Key Competitors</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344"/>
        <w:gridCol w:w="1344"/>
        <w:gridCol w:w="1344"/>
        <w:gridCol w:w="1344"/>
        <w:gridCol w:w="1344"/>
        <w:gridCol w:w="1344"/>
        <w:gridCol w:w="1344"/>
      </w:tblGrid>
      <w:tr>
        <w:tc>
          <w:tcPr>
            <w:tcW w:type="dxa" w:w="1344"/>
            <w:shd w:fill="1E40AF" w:val="clear"/>
          </w:tcPr>
          <w:p>
            <w:pPr>
              <w:spacing w:before="40" w:after="40"/>
            </w:pPr>
            <w:r/>
            <w:r>
              <w:rPr>
                <w:rFonts w:ascii="Calibri" w:hAnsi="Calibri"/>
                <w:b/>
                <w:color w:val="FFFFFF"/>
                <w:sz w:val="18"/>
              </w:rPr>
              <w:t>Competitor</w:t>
            </w:r>
          </w:p>
        </w:tc>
        <w:tc>
          <w:tcPr>
            <w:tcW w:type="dxa" w:w="1344"/>
            <w:shd w:fill="1E40AF" w:val="clear"/>
          </w:tcPr>
          <w:p>
            <w:pPr>
              <w:spacing w:before="40" w:after="40"/>
            </w:pPr>
            <w:r/>
            <w:r>
              <w:rPr>
                <w:rFonts w:ascii="Calibri" w:hAnsi="Calibri"/>
                <w:b/>
                <w:color w:val="FFFFFF"/>
                <w:sz w:val="18"/>
              </w:rPr>
              <w:t>Type</w:t>
            </w:r>
          </w:p>
        </w:tc>
        <w:tc>
          <w:tcPr>
            <w:tcW w:type="dxa" w:w="1344"/>
            <w:shd w:fill="1E40AF" w:val="clear"/>
          </w:tcPr>
          <w:p>
            <w:pPr>
              <w:spacing w:before="40" w:after="40"/>
            </w:pPr>
            <w:r/>
            <w:r>
              <w:rPr>
                <w:rFonts w:ascii="Calibri" w:hAnsi="Calibri"/>
                <w:b/>
                <w:color w:val="FFFFFF"/>
                <w:sz w:val="18"/>
              </w:rPr>
              <w:t>Primary User</w:t>
            </w:r>
          </w:p>
        </w:tc>
        <w:tc>
          <w:tcPr>
            <w:tcW w:type="dxa" w:w="1344"/>
            <w:shd w:fill="1E40AF" w:val="clear"/>
          </w:tcPr>
          <w:p>
            <w:pPr>
              <w:spacing w:before="40" w:after="40"/>
            </w:pPr>
            <w:r/>
            <w:r>
              <w:rPr>
                <w:rFonts w:ascii="Calibri" w:hAnsi="Calibri"/>
                <w:b/>
                <w:color w:val="FFFFFF"/>
                <w:sz w:val="18"/>
              </w:rPr>
              <w:t>Key Strength</w:t>
            </w:r>
          </w:p>
        </w:tc>
        <w:tc>
          <w:tcPr>
            <w:tcW w:type="dxa" w:w="1344"/>
            <w:shd w:fill="1E40AF" w:val="clear"/>
          </w:tcPr>
          <w:p>
            <w:pPr>
              <w:spacing w:before="40" w:after="40"/>
            </w:pPr>
            <w:r/>
            <w:r>
              <w:rPr>
                <w:rFonts w:ascii="Calibri" w:hAnsi="Calibri"/>
                <w:b/>
                <w:color w:val="FFFFFF"/>
                <w:sz w:val="18"/>
              </w:rPr>
              <w:t>Pricing</w:t>
            </w:r>
          </w:p>
        </w:tc>
        <w:tc>
          <w:tcPr>
            <w:tcW w:type="dxa" w:w="1344"/>
            <w:shd w:fill="1E40AF" w:val="clear"/>
          </w:tcPr>
          <w:p>
            <w:pPr>
              <w:spacing w:before="40" w:after="40"/>
            </w:pPr>
            <w:r/>
            <w:r>
              <w:rPr>
                <w:rFonts w:ascii="Calibri" w:hAnsi="Calibri"/>
                <w:b/>
                <w:color w:val="FFFFFF"/>
                <w:sz w:val="18"/>
              </w:rPr>
              <w:t>Global South?</w:t>
            </w:r>
          </w:p>
        </w:tc>
        <w:tc>
          <w:tcPr>
            <w:tcW w:type="dxa" w:w="1344"/>
            <w:shd w:fill="1E40AF" w:val="clear"/>
          </w:tcPr>
          <w:p>
            <w:pPr>
              <w:spacing w:before="40" w:after="40"/>
            </w:pPr>
            <w:r/>
            <w:r>
              <w:rPr>
                <w:rFonts w:ascii="Calibri" w:hAnsi="Calibri"/>
                <w:b/>
                <w:color w:val="FFFFFF"/>
                <w:sz w:val="18"/>
              </w:rPr>
              <w:t>AI?</w:t>
            </w:r>
          </w:p>
        </w:tc>
      </w:tr>
      <w:tr>
        <w:tc>
          <w:tcPr>
            <w:tcW w:type="dxa" w:w="1344"/>
          </w:tcPr>
          <w:p>
            <w:pPr>
              <w:spacing w:before="40" w:after="40"/>
            </w:pPr>
            <w:r/>
            <w:r>
              <w:rPr>
                <w:rFonts w:ascii="Calibri" w:hAnsi="Calibri"/>
                <w:b w:val="0"/>
                <w:color w:val="333333"/>
                <w:sz w:val="18"/>
              </w:rPr>
              <w:t>Fluxx</w:t>
            </w:r>
          </w:p>
        </w:tc>
        <w:tc>
          <w:tcPr>
            <w:tcW w:type="dxa" w:w="1344"/>
          </w:tcPr>
          <w:p>
            <w:pPr>
              <w:spacing w:before="40" w:after="40"/>
            </w:pPr>
            <w:r/>
            <w:r>
              <w:rPr>
                <w:rFonts w:ascii="Calibri" w:hAnsi="Calibri"/>
                <w:b w:val="0"/>
                <w:color w:val="333333"/>
                <w:sz w:val="18"/>
              </w:rPr>
              <w:t>Grant Mgmt</w:t>
            </w:r>
          </w:p>
        </w:tc>
        <w:tc>
          <w:tcPr>
            <w:tcW w:type="dxa" w:w="1344"/>
          </w:tcPr>
          <w:p>
            <w:pPr>
              <w:spacing w:before="40" w:after="40"/>
            </w:pPr>
            <w:r/>
            <w:r>
              <w:rPr>
                <w:rFonts w:ascii="Calibri" w:hAnsi="Calibri"/>
                <w:b w:val="0"/>
                <w:color w:val="333333"/>
                <w:sz w:val="18"/>
              </w:rPr>
              <w:t>Donors</w:t>
            </w:r>
          </w:p>
        </w:tc>
        <w:tc>
          <w:tcPr>
            <w:tcW w:type="dxa" w:w="1344"/>
          </w:tcPr>
          <w:p>
            <w:pPr>
              <w:spacing w:before="40" w:after="40"/>
            </w:pPr>
            <w:r/>
            <w:r>
              <w:rPr>
                <w:rFonts w:ascii="Calibri" w:hAnsi="Calibri"/>
                <w:b w:val="0"/>
                <w:color w:val="333333"/>
                <w:sz w:val="18"/>
              </w:rPr>
              <w:t>Deep lifecycle management, Grantelligence AI</w:t>
            </w:r>
          </w:p>
        </w:tc>
        <w:tc>
          <w:tcPr>
            <w:tcW w:type="dxa" w:w="1344"/>
          </w:tcPr>
          <w:p>
            <w:pPr>
              <w:spacing w:before="40" w:after="40"/>
            </w:pPr>
            <w:r/>
            <w:r>
              <w:rPr>
                <w:rFonts w:ascii="Calibri" w:hAnsi="Calibri"/>
                <w:b w:val="0"/>
                <w:color w:val="333333"/>
                <w:sz w:val="18"/>
              </w:rPr>
              <w:t>$13.5K–$300K+/yr</w:t>
            </w:r>
          </w:p>
        </w:tc>
        <w:tc>
          <w:tcPr>
            <w:tcW w:type="dxa" w:w="1344"/>
          </w:tcPr>
          <w:p>
            <w:pPr>
              <w:spacing w:before="40" w:after="40"/>
            </w:pPr>
            <w:r/>
            <w:r>
              <w:rPr>
                <w:rFonts w:ascii="Calibri" w:hAnsi="Calibri"/>
                <w:b w:val="0"/>
                <w:color w:val="333333"/>
                <w:sz w:val="18"/>
              </w:rPr>
              <w:t>No</w:t>
            </w:r>
          </w:p>
        </w:tc>
        <w:tc>
          <w:tcPr>
            <w:tcW w:type="dxa" w:w="1344"/>
          </w:tcPr>
          <w:p>
            <w:pPr>
              <w:spacing w:before="40" w:after="40"/>
            </w:pPr>
            <w:r/>
            <w:r>
              <w:rPr>
                <w:rFonts w:ascii="Calibri" w:hAnsi="Calibri"/>
                <w:b w:val="0"/>
                <w:color w:val="333333"/>
                <w:sz w:val="18"/>
              </w:rPr>
              <w:t>Yes (analytics)</w:t>
            </w:r>
          </w:p>
        </w:tc>
      </w:tr>
      <w:tr>
        <w:tc>
          <w:tcPr>
            <w:tcW w:type="dxa" w:w="1344"/>
            <w:shd w:fill="F0F7FF" w:val="clear"/>
          </w:tcPr>
          <w:p>
            <w:pPr>
              <w:spacing w:before="40" w:after="40"/>
            </w:pPr>
            <w:r/>
            <w:r>
              <w:rPr>
                <w:rFonts w:ascii="Calibri" w:hAnsi="Calibri"/>
                <w:b w:val="0"/>
                <w:color w:val="333333"/>
                <w:sz w:val="18"/>
              </w:rPr>
              <w:t>Submittable</w:t>
            </w:r>
          </w:p>
        </w:tc>
        <w:tc>
          <w:tcPr>
            <w:tcW w:type="dxa" w:w="1344"/>
            <w:shd w:fill="F0F7FF" w:val="clear"/>
          </w:tcPr>
          <w:p>
            <w:pPr>
              <w:spacing w:before="40" w:after="40"/>
            </w:pPr>
            <w:r/>
            <w:r>
              <w:rPr>
                <w:rFonts w:ascii="Calibri" w:hAnsi="Calibri"/>
                <w:b w:val="0"/>
                <w:color w:val="333333"/>
                <w:sz w:val="18"/>
              </w:rPr>
              <w:t>Grant Mgmt</w:t>
            </w:r>
          </w:p>
        </w:tc>
        <w:tc>
          <w:tcPr>
            <w:tcW w:type="dxa" w:w="1344"/>
            <w:shd w:fill="F0F7FF" w:val="clear"/>
          </w:tcPr>
          <w:p>
            <w:pPr>
              <w:spacing w:before="40" w:after="40"/>
            </w:pPr>
            <w:r/>
            <w:r>
              <w:rPr>
                <w:rFonts w:ascii="Calibri" w:hAnsi="Calibri"/>
                <w:b w:val="0"/>
                <w:color w:val="333333"/>
                <w:sz w:val="18"/>
              </w:rPr>
              <w:t>Donors</w:t>
            </w:r>
          </w:p>
        </w:tc>
        <w:tc>
          <w:tcPr>
            <w:tcW w:type="dxa" w:w="1344"/>
            <w:shd w:fill="F0F7FF" w:val="clear"/>
          </w:tcPr>
          <w:p>
            <w:pPr>
              <w:spacing w:before="40" w:after="40"/>
            </w:pPr>
            <w:r/>
            <w:r>
              <w:rPr>
                <w:rFonts w:ascii="Calibri" w:hAnsi="Calibri"/>
                <w:b w:val="0"/>
                <w:color w:val="333333"/>
                <w:sz w:val="18"/>
              </w:rPr>
              <w:t>Proven scale (25M apps, 145K programs)</w:t>
            </w:r>
          </w:p>
        </w:tc>
        <w:tc>
          <w:tcPr>
            <w:tcW w:type="dxa" w:w="1344"/>
            <w:shd w:fill="F0F7FF" w:val="clear"/>
          </w:tcPr>
          <w:p>
            <w:pPr>
              <w:spacing w:before="40" w:after="40"/>
            </w:pPr>
            <w:r/>
            <w:r>
              <w:rPr>
                <w:rFonts w:ascii="Calibri" w:hAnsi="Calibri"/>
                <w:b w:val="0"/>
                <w:color w:val="333333"/>
                <w:sz w:val="18"/>
              </w:rPr>
              <w:t>~$10K/yr+</w:t>
            </w:r>
          </w:p>
        </w:tc>
        <w:tc>
          <w:tcPr>
            <w:tcW w:type="dxa" w:w="1344"/>
            <w:shd w:fill="F0F7FF" w:val="clear"/>
          </w:tcPr>
          <w:p>
            <w:pPr>
              <w:spacing w:before="40" w:after="40"/>
            </w:pPr>
            <w:r/>
            <w:r>
              <w:rPr>
                <w:rFonts w:ascii="Calibri" w:hAnsi="Calibri"/>
                <w:b w:val="0"/>
                <w:color w:val="333333"/>
                <w:sz w:val="18"/>
              </w:rPr>
              <w:t>No</w:t>
            </w:r>
          </w:p>
        </w:tc>
        <w:tc>
          <w:tcPr>
            <w:tcW w:type="dxa" w:w="1344"/>
            <w:shd w:fill="F0F7FF" w:val="clear"/>
          </w:tcPr>
          <w:p>
            <w:pPr>
              <w:spacing w:before="40" w:after="40"/>
            </w:pPr>
            <w:r/>
            <w:r>
              <w:rPr>
                <w:rFonts w:ascii="Calibri" w:hAnsi="Calibri"/>
                <w:b w:val="0"/>
                <w:color w:val="333333"/>
                <w:sz w:val="18"/>
              </w:rPr>
              <w:t>Yes (fraud)</w:t>
            </w:r>
          </w:p>
        </w:tc>
      </w:tr>
      <w:tr>
        <w:tc>
          <w:tcPr>
            <w:tcW w:type="dxa" w:w="1344"/>
          </w:tcPr>
          <w:p>
            <w:pPr>
              <w:spacing w:before="40" w:after="40"/>
            </w:pPr>
            <w:r/>
            <w:r>
              <w:rPr>
                <w:rFonts w:ascii="Calibri" w:hAnsi="Calibri"/>
                <w:b w:val="0"/>
                <w:color w:val="333333"/>
                <w:sz w:val="18"/>
              </w:rPr>
              <w:t>SmartSimple</w:t>
            </w:r>
          </w:p>
        </w:tc>
        <w:tc>
          <w:tcPr>
            <w:tcW w:type="dxa" w:w="1344"/>
          </w:tcPr>
          <w:p>
            <w:pPr>
              <w:spacing w:before="40" w:after="40"/>
            </w:pPr>
            <w:r/>
            <w:r>
              <w:rPr>
                <w:rFonts w:ascii="Calibri" w:hAnsi="Calibri"/>
                <w:b w:val="0"/>
                <w:color w:val="333333"/>
                <w:sz w:val="18"/>
              </w:rPr>
              <w:t>Grant Mgmt</w:t>
            </w:r>
          </w:p>
        </w:tc>
        <w:tc>
          <w:tcPr>
            <w:tcW w:type="dxa" w:w="1344"/>
          </w:tcPr>
          <w:p>
            <w:pPr>
              <w:spacing w:before="40" w:after="40"/>
            </w:pPr>
            <w:r/>
            <w:r>
              <w:rPr>
                <w:rFonts w:ascii="Calibri" w:hAnsi="Calibri"/>
                <w:b w:val="0"/>
                <w:color w:val="333333"/>
                <w:sz w:val="18"/>
              </w:rPr>
              <w:t>Donors</w:t>
            </w:r>
          </w:p>
        </w:tc>
        <w:tc>
          <w:tcPr>
            <w:tcW w:type="dxa" w:w="1344"/>
          </w:tcPr>
          <w:p>
            <w:pPr>
              <w:spacing w:before="40" w:after="40"/>
            </w:pPr>
            <w:r/>
            <w:r>
              <w:rPr>
                <w:rFonts w:ascii="Calibri" w:hAnsi="Calibri"/>
                <w:b w:val="0"/>
                <w:color w:val="333333"/>
                <w:sz w:val="18"/>
              </w:rPr>
              <w:t>Extremely configurable, 20+ languages</w:t>
            </w:r>
          </w:p>
        </w:tc>
        <w:tc>
          <w:tcPr>
            <w:tcW w:type="dxa" w:w="1344"/>
          </w:tcPr>
          <w:p>
            <w:pPr>
              <w:spacing w:before="40" w:after="40"/>
            </w:pPr>
            <w:r/>
            <w:r>
              <w:rPr>
                <w:rFonts w:ascii="Calibri" w:hAnsi="Calibri"/>
                <w:b w:val="0"/>
                <w:color w:val="333333"/>
                <w:sz w:val="18"/>
              </w:rPr>
              <w:t>~$6K/yr</w:t>
            </w:r>
          </w:p>
        </w:tc>
        <w:tc>
          <w:tcPr>
            <w:tcW w:type="dxa" w:w="1344"/>
          </w:tcPr>
          <w:p>
            <w:pPr>
              <w:spacing w:before="40" w:after="40"/>
            </w:pPr>
            <w:r/>
            <w:r>
              <w:rPr>
                <w:rFonts w:ascii="Calibri" w:hAnsi="Calibri"/>
                <w:b w:val="0"/>
                <w:color w:val="333333"/>
                <w:sz w:val="18"/>
              </w:rPr>
              <w:t>Partial</w:t>
            </w:r>
          </w:p>
        </w:tc>
        <w:tc>
          <w:tcPr>
            <w:tcW w:type="dxa" w:w="1344"/>
          </w:tcPr>
          <w:p>
            <w:pPr>
              <w:spacing w:before="40" w:after="40"/>
            </w:pPr>
            <w:r/>
            <w:r>
              <w:rPr>
                <w:rFonts w:ascii="Calibri" w:hAnsi="Calibri"/>
                <w:b w:val="0"/>
                <w:color w:val="333333"/>
                <w:sz w:val="18"/>
              </w:rPr>
              <w:t>Limited</w:t>
            </w:r>
          </w:p>
        </w:tc>
      </w:tr>
      <w:tr>
        <w:tc>
          <w:tcPr>
            <w:tcW w:type="dxa" w:w="1344"/>
            <w:shd w:fill="F0F7FF" w:val="clear"/>
          </w:tcPr>
          <w:p>
            <w:pPr>
              <w:spacing w:before="40" w:after="40"/>
            </w:pPr>
            <w:r/>
            <w:r>
              <w:rPr>
                <w:rFonts w:ascii="Calibri" w:hAnsi="Calibri"/>
                <w:b w:val="0"/>
                <w:color w:val="333333"/>
                <w:sz w:val="18"/>
              </w:rPr>
              <w:t>Good Grants</w:t>
            </w:r>
          </w:p>
        </w:tc>
        <w:tc>
          <w:tcPr>
            <w:tcW w:type="dxa" w:w="1344"/>
            <w:shd w:fill="F0F7FF" w:val="clear"/>
          </w:tcPr>
          <w:p>
            <w:pPr>
              <w:spacing w:before="40" w:after="40"/>
            </w:pPr>
            <w:r/>
            <w:r>
              <w:rPr>
                <w:rFonts w:ascii="Calibri" w:hAnsi="Calibri"/>
                <w:b w:val="0"/>
                <w:color w:val="333333"/>
                <w:sz w:val="18"/>
              </w:rPr>
              <w:t>Grant Mgmt</w:t>
            </w:r>
          </w:p>
        </w:tc>
        <w:tc>
          <w:tcPr>
            <w:tcW w:type="dxa" w:w="1344"/>
            <w:shd w:fill="F0F7FF" w:val="clear"/>
          </w:tcPr>
          <w:p>
            <w:pPr>
              <w:spacing w:before="40" w:after="40"/>
            </w:pPr>
            <w:r/>
            <w:r>
              <w:rPr>
                <w:rFonts w:ascii="Calibri" w:hAnsi="Calibri"/>
                <w:b w:val="0"/>
                <w:color w:val="333333"/>
                <w:sz w:val="18"/>
              </w:rPr>
              <w:t>Donors</w:t>
            </w:r>
          </w:p>
        </w:tc>
        <w:tc>
          <w:tcPr>
            <w:tcW w:type="dxa" w:w="1344"/>
            <w:shd w:fill="F0F7FF" w:val="clear"/>
          </w:tcPr>
          <w:p>
            <w:pPr>
              <w:spacing w:before="40" w:after="40"/>
            </w:pPr>
            <w:r/>
            <w:r>
              <w:rPr>
                <w:rFonts w:ascii="Calibri" w:hAnsi="Calibri"/>
                <w:b w:val="0"/>
                <w:color w:val="333333"/>
                <w:sz w:val="18"/>
              </w:rPr>
              <w:t>Affordable, humanitarian sector friendly</w:t>
            </w:r>
          </w:p>
        </w:tc>
        <w:tc>
          <w:tcPr>
            <w:tcW w:type="dxa" w:w="1344"/>
            <w:shd w:fill="F0F7FF" w:val="clear"/>
          </w:tcPr>
          <w:p>
            <w:pPr>
              <w:spacing w:before="40" w:after="40"/>
            </w:pPr>
            <w:r/>
            <w:r>
              <w:rPr>
                <w:rFonts w:ascii="Calibri" w:hAnsi="Calibri"/>
                <w:b w:val="0"/>
                <w:color w:val="333333"/>
                <w:sz w:val="18"/>
              </w:rPr>
              <w:t>EUR 3K–6K/yr</w:t>
            </w:r>
          </w:p>
        </w:tc>
        <w:tc>
          <w:tcPr>
            <w:tcW w:type="dxa" w:w="1344"/>
            <w:shd w:fill="F0F7FF" w:val="clear"/>
          </w:tcPr>
          <w:p>
            <w:pPr>
              <w:spacing w:before="40" w:after="40"/>
            </w:pPr>
            <w:r/>
            <w:r>
              <w:rPr>
                <w:rFonts w:ascii="Calibri" w:hAnsi="Calibri"/>
                <w:b w:val="0"/>
                <w:color w:val="333333"/>
                <w:sz w:val="18"/>
              </w:rPr>
              <w:t>Partial</w:t>
            </w:r>
          </w:p>
        </w:tc>
        <w:tc>
          <w:tcPr>
            <w:tcW w:type="dxa" w:w="1344"/>
            <w:shd w:fill="F0F7FF" w:val="clear"/>
          </w:tcPr>
          <w:p>
            <w:pPr>
              <w:spacing w:before="40" w:after="40"/>
            </w:pPr>
            <w:r/>
            <w:r>
              <w:rPr>
                <w:rFonts w:ascii="Calibri" w:hAnsi="Calibri"/>
                <w:b w:val="0"/>
                <w:color w:val="333333"/>
                <w:sz w:val="18"/>
              </w:rPr>
              <w:t>No</w:t>
            </w:r>
          </w:p>
        </w:tc>
      </w:tr>
      <w:tr>
        <w:tc>
          <w:tcPr>
            <w:tcW w:type="dxa" w:w="1344"/>
          </w:tcPr>
          <w:p>
            <w:pPr>
              <w:spacing w:before="40" w:after="40"/>
            </w:pPr>
            <w:r/>
            <w:r>
              <w:rPr>
                <w:rFonts w:ascii="Calibri" w:hAnsi="Calibri"/>
                <w:b w:val="0"/>
                <w:color w:val="333333"/>
                <w:sz w:val="18"/>
              </w:rPr>
              <w:t>Foundant GLM</w:t>
            </w:r>
          </w:p>
        </w:tc>
        <w:tc>
          <w:tcPr>
            <w:tcW w:type="dxa" w:w="1344"/>
          </w:tcPr>
          <w:p>
            <w:pPr>
              <w:spacing w:before="40" w:after="40"/>
            </w:pPr>
            <w:r/>
            <w:r>
              <w:rPr>
                <w:rFonts w:ascii="Calibri" w:hAnsi="Calibri"/>
                <w:b w:val="0"/>
                <w:color w:val="333333"/>
                <w:sz w:val="18"/>
              </w:rPr>
              <w:t>Grant Mgmt</w:t>
            </w:r>
          </w:p>
        </w:tc>
        <w:tc>
          <w:tcPr>
            <w:tcW w:type="dxa" w:w="1344"/>
          </w:tcPr>
          <w:p>
            <w:pPr>
              <w:spacing w:before="40" w:after="40"/>
            </w:pPr>
            <w:r/>
            <w:r>
              <w:rPr>
                <w:rFonts w:ascii="Calibri" w:hAnsi="Calibri"/>
                <w:b w:val="0"/>
                <w:color w:val="333333"/>
                <w:sz w:val="18"/>
              </w:rPr>
              <w:t>Donors</w:t>
            </w:r>
          </w:p>
        </w:tc>
        <w:tc>
          <w:tcPr>
            <w:tcW w:type="dxa" w:w="1344"/>
          </w:tcPr>
          <w:p>
            <w:pPr>
              <w:spacing w:before="40" w:after="40"/>
            </w:pPr>
            <w:r/>
            <w:r>
              <w:rPr>
                <w:rFonts w:ascii="Calibri" w:hAnsi="Calibri"/>
                <w:b w:val="0"/>
                <w:color w:val="333333"/>
                <w:sz w:val="18"/>
              </w:rPr>
              <w:t>User-friendly, unlimited users</w:t>
            </w:r>
          </w:p>
        </w:tc>
        <w:tc>
          <w:tcPr>
            <w:tcW w:type="dxa" w:w="1344"/>
          </w:tcPr>
          <w:p>
            <w:pPr>
              <w:spacing w:before="40" w:after="40"/>
            </w:pPr>
            <w:r/>
            <w:r>
              <w:rPr>
                <w:rFonts w:ascii="Calibri" w:hAnsi="Calibri"/>
                <w:b w:val="0"/>
                <w:color w:val="333333"/>
                <w:sz w:val="18"/>
              </w:rPr>
              <w:t>Not public</w:t>
            </w:r>
          </w:p>
        </w:tc>
        <w:tc>
          <w:tcPr>
            <w:tcW w:type="dxa" w:w="1344"/>
          </w:tcPr>
          <w:p>
            <w:pPr>
              <w:spacing w:before="40" w:after="40"/>
            </w:pPr>
            <w:r/>
            <w:r>
              <w:rPr>
                <w:rFonts w:ascii="Calibri" w:hAnsi="Calibri"/>
                <w:b w:val="0"/>
                <w:color w:val="333333"/>
                <w:sz w:val="18"/>
              </w:rPr>
              <w:t>No</w:t>
            </w:r>
          </w:p>
        </w:tc>
        <w:tc>
          <w:tcPr>
            <w:tcW w:type="dxa" w:w="1344"/>
          </w:tcPr>
          <w:p>
            <w:pPr>
              <w:spacing w:before="40" w:after="40"/>
            </w:pPr>
            <w:r/>
            <w:r>
              <w:rPr>
                <w:rFonts w:ascii="Calibri" w:hAnsi="Calibri"/>
                <w:b w:val="0"/>
                <w:color w:val="333333"/>
                <w:sz w:val="18"/>
              </w:rPr>
              <w:t>Limited</w:t>
            </w:r>
          </w:p>
        </w:tc>
      </w:tr>
      <w:tr>
        <w:tc>
          <w:tcPr>
            <w:tcW w:type="dxa" w:w="1344"/>
            <w:shd w:fill="F0F7FF" w:val="clear"/>
          </w:tcPr>
          <w:p>
            <w:pPr>
              <w:spacing w:before="40" w:after="40"/>
            </w:pPr>
            <w:r/>
            <w:r>
              <w:rPr>
                <w:rFonts w:ascii="Calibri" w:hAnsi="Calibri"/>
                <w:b w:val="0"/>
                <w:color w:val="333333"/>
                <w:sz w:val="18"/>
              </w:rPr>
              <w:t>Benevity</w:t>
            </w:r>
          </w:p>
        </w:tc>
        <w:tc>
          <w:tcPr>
            <w:tcW w:type="dxa" w:w="1344"/>
            <w:shd w:fill="F0F7FF" w:val="clear"/>
          </w:tcPr>
          <w:p>
            <w:pPr>
              <w:spacing w:before="40" w:after="40"/>
            </w:pPr>
            <w:r/>
            <w:r>
              <w:rPr>
                <w:rFonts w:ascii="Calibri" w:hAnsi="Calibri"/>
                <w:b w:val="0"/>
                <w:color w:val="333333"/>
                <w:sz w:val="18"/>
              </w:rPr>
              <w:t>CSR Suite</w:t>
            </w:r>
          </w:p>
        </w:tc>
        <w:tc>
          <w:tcPr>
            <w:tcW w:type="dxa" w:w="1344"/>
            <w:shd w:fill="F0F7FF" w:val="clear"/>
          </w:tcPr>
          <w:p>
            <w:pPr>
              <w:spacing w:before="40" w:after="40"/>
            </w:pPr>
            <w:r/>
            <w:r>
              <w:rPr>
                <w:rFonts w:ascii="Calibri" w:hAnsi="Calibri"/>
                <w:b w:val="0"/>
                <w:color w:val="333333"/>
                <w:sz w:val="18"/>
              </w:rPr>
              <w:t>Corporations</w:t>
            </w:r>
          </w:p>
        </w:tc>
        <w:tc>
          <w:tcPr>
            <w:tcW w:type="dxa" w:w="1344"/>
            <w:shd w:fill="F0F7FF" w:val="clear"/>
          </w:tcPr>
          <w:p>
            <w:pPr>
              <w:spacing w:before="40" w:after="40"/>
            </w:pPr>
            <w:r/>
            <w:r>
              <w:rPr>
                <w:rFonts w:ascii="Calibri" w:hAnsi="Calibri"/>
                <w:b w:val="0"/>
                <w:color w:val="333333"/>
                <w:sz w:val="18"/>
              </w:rPr>
              <w:t>Massive scale ($14B+ donations)</w:t>
            </w:r>
          </w:p>
        </w:tc>
        <w:tc>
          <w:tcPr>
            <w:tcW w:type="dxa" w:w="1344"/>
            <w:shd w:fill="F0F7FF" w:val="clear"/>
          </w:tcPr>
          <w:p>
            <w:pPr>
              <w:spacing w:before="40" w:after="40"/>
            </w:pPr>
            <w:r/>
            <w:r>
              <w:rPr>
                <w:rFonts w:ascii="Calibri" w:hAnsi="Calibri"/>
                <w:b w:val="0"/>
                <w:color w:val="333333"/>
                <w:sz w:val="18"/>
              </w:rPr>
              <w:t>$40K+/yr</w:t>
            </w:r>
          </w:p>
        </w:tc>
        <w:tc>
          <w:tcPr>
            <w:tcW w:type="dxa" w:w="1344"/>
            <w:shd w:fill="F0F7FF" w:val="clear"/>
          </w:tcPr>
          <w:p>
            <w:pPr>
              <w:spacing w:before="40" w:after="40"/>
            </w:pPr>
            <w:r/>
            <w:r>
              <w:rPr>
                <w:rFonts w:ascii="Calibri" w:hAnsi="Calibri"/>
                <w:b w:val="0"/>
                <w:color w:val="333333"/>
                <w:sz w:val="18"/>
              </w:rPr>
              <w:t>No</w:t>
            </w:r>
          </w:p>
        </w:tc>
        <w:tc>
          <w:tcPr>
            <w:tcW w:type="dxa" w:w="1344"/>
            <w:shd w:fill="F0F7FF" w:val="clear"/>
          </w:tcPr>
          <w:p>
            <w:pPr>
              <w:spacing w:before="40" w:after="40"/>
            </w:pPr>
            <w:r/>
            <w:r>
              <w:rPr>
                <w:rFonts w:ascii="Calibri" w:hAnsi="Calibri"/>
                <w:b w:val="0"/>
                <w:color w:val="333333"/>
                <w:sz w:val="18"/>
              </w:rPr>
              <w:t>Yes</w:t>
            </w:r>
          </w:p>
        </w:tc>
      </w:tr>
      <w:tr>
        <w:tc>
          <w:tcPr>
            <w:tcW w:type="dxa" w:w="1344"/>
          </w:tcPr>
          <w:p>
            <w:pPr>
              <w:spacing w:before="40" w:after="40"/>
            </w:pPr>
            <w:r/>
            <w:r>
              <w:rPr>
                <w:rFonts w:ascii="Calibri" w:hAnsi="Calibri"/>
                <w:b w:val="0"/>
                <w:color w:val="333333"/>
                <w:sz w:val="18"/>
              </w:rPr>
              <w:t>OpenGrants</w:t>
            </w:r>
          </w:p>
        </w:tc>
        <w:tc>
          <w:tcPr>
            <w:tcW w:type="dxa" w:w="1344"/>
          </w:tcPr>
          <w:p>
            <w:pPr>
              <w:spacing w:before="40" w:after="40"/>
            </w:pPr>
            <w:r/>
            <w:r>
              <w:rPr>
                <w:rFonts w:ascii="Calibri" w:hAnsi="Calibri"/>
                <w:b w:val="0"/>
                <w:color w:val="333333"/>
                <w:sz w:val="18"/>
              </w:rPr>
              <w:t>Discovery</w:t>
            </w:r>
          </w:p>
        </w:tc>
        <w:tc>
          <w:tcPr>
            <w:tcW w:type="dxa" w:w="1344"/>
          </w:tcPr>
          <w:p>
            <w:pPr>
              <w:spacing w:before="40" w:after="40"/>
            </w:pPr>
            <w:r/>
            <w:r>
              <w:rPr>
                <w:rFonts w:ascii="Calibri" w:hAnsi="Calibri"/>
                <w:b w:val="0"/>
                <w:color w:val="333333"/>
                <w:sz w:val="18"/>
              </w:rPr>
              <w:t>Seekers</w:t>
            </w:r>
          </w:p>
        </w:tc>
        <w:tc>
          <w:tcPr>
            <w:tcW w:type="dxa" w:w="1344"/>
          </w:tcPr>
          <w:p>
            <w:pPr>
              <w:spacing w:before="40" w:after="40"/>
            </w:pPr>
            <w:r/>
            <w:r>
              <w:rPr>
                <w:rFonts w:ascii="Calibri" w:hAnsi="Calibri"/>
                <w:b w:val="0"/>
                <w:color w:val="333333"/>
                <w:sz w:val="18"/>
              </w:rPr>
              <w:t>AI matching, grant writer marketplace</w:t>
            </w:r>
          </w:p>
        </w:tc>
        <w:tc>
          <w:tcPr>
            <w:tcW w:type="dxa" w:w="1344"/>
          </w:tcPr>
          <w:p>
            <w:pPr>
              <w:spacing w:before="40" w:after="40"/>
            </w:pPr>
            <w:r/>
            <w:r>
              <w:rPr>
                <w:rFonts w:ascii="Calibri" w:hAnsi="Calibri"/>
                <w:b w:val="0"/>
                <w:color w:val="333333"/>
                <w:sz w:val="18"/>
              </w:rPr>
              <w:t>$19/mo</w:t>
            </w:r>
          </w:p>
        </w:tc>
        <w:tc>
          <w:tcPr>
            <w:tcW w:type="dxa" w:w="1344"/>
          </w:tcPr>
          <w:p>
            <w:pPr>
              <w:spacing w:before="40" w:after="40"/>
            </w:pPr>
            <w:r/>
            <w:r>
              <w:rPr>
                <w:rFonts w:ascii="Calibri" w:hAnsi="Calibri"/>
                <w:b w:val="0"/>
                <w:color w:val="333333"/>
                <w:sz w:val="18"/>
              </w:rPr>
              <w:t>No</w:t>
            </w:r>
          </w:p>
        </w:tc>
        <w:tc>
          <w:tcPr>
            <w:tcW w:type="dxa" w:w="1344"/>
          </w:tcPr>
          <w:p>
            <w:pPr>
              <w:spacing w:before="40" w:after="40"/>
            </w:pPr>
            <w:r/>
            <w:r>
              <w:rPr>
                <w:rFonts w:ascii="Calibri" w:hAnsi="Calibri"/>
                <w:b w:val="0"/>
                <w:color w:val="333333"/>
                <w:sz w:val="18"/>
              </w:rPr>
              <w:t>Yes (matching)</w:t>
            </w:r>
          </w:p>
        </w:tc>
      </w:tr>
      <w:tr>
        <w:tc>
          <w:tcPr>
            <w:tcW w:type="dxa" w:w="1344"/>
            <w:shd w:fill="F0F7FF" w:val="clear"/>
          </w:tcPr>
          <w:p>
            <w:pPr>
              <w:spacing w:before="40" w:after="40"/>
            </w:pPr>
            <w:r/>
            <w:r>
              <w:rPr>
                <w:rFonts w:ascii="Calibri" w:hAnsi="Calibri"/>
                <w:b w:val="0"/>
                <w:color w:val="333333"/>
                <w:sz w:val="18"/>
              </w:rPr>
              <w:t>Instrumentl</w:t>
            </w:r>
          </w:p>
        </w:tc>
        <w:tc>
          <w:tcPr>
            <w:tcW w:type="dxa" w:w="1344"/>
            <w:shd w:fill="F0F7FF" w:val="clear"/>
          </w:tcPr>
          <w:p>
            <w:pPr>
              <w:spacing w:before="40" w:after="40"/>
            </w:pPr>
            <w:r/>
            <w:r>
              <w:rPr>
                <w:rFonts w:ascii="Calibri" w:hAnsi="Calibri"/>
                <w:b w:val="0"/>
                <w:color w:val="333333"/>
                <w:sz w:val="18"/>
              </w:rPr>
              <w:t>Discovery</w:t>
            </w:r>
          </w:p>
        </w:tc>
        <w:tc>
          <w:tcPr>
            <w:tcW w:type="dxa" w:w="1344"/>
            <w:shd w:fill="F0F7FF" w:val="clear"/>
          </w:tcPr>
          <w:p>
            <w:pPr>
              <w:spacing w:before="40" w:after="40"/>
            </w:pPr>
            <w:r/>
            <w:r>
              <w:rPr>
                <w:rFonts w:ascii="Calibri" w:hAnsi="Calibri"/>
                <w:b w:val="0"/>
                <w:color w:val="333333"/>
                <w:sz w:val="18"/>
              </w:rPr>
              <w:t>Seekers</w:t>
            </w:r>
          </w:p>
        </w:tc>
        <w:tc>
          <w:tcPr>
            <w:tcW w:type="dxa" w:w="1344"/>
            <w:shd w:fill="F0F7FF" w:val="clear"/>
          </w:tcPr>
          <w:p>
            <w:pPr>
              <w:spacing w:before="40" w:after="40"/>
            </w:pPr>
            <w:r/>
            <w:r>
              <w:rPr>
                <w:rFonts w:ascii="Calibri" w:hAnsi="Calibri"/>
                <w:b w:val="0"/>
                <w:color w:val="333333"/>
                <w:sz w:val="18"/>
              </w:rPr>
              <w:t>Best discovery (400K+ funders, 22K+ RFPs)</w:t>
            </w:r>
          </w:p>
        </w:tc>
        <w:tc>
          <w:tcPr>
            <w:tcW w:type="dxa" w:w="1344"/>
            <w:shd w:fill="F0F7FF" w:val="clear"/>
          </w:tcPr>
          <w:p>
            <w:pPr>
              <w:spacing w:before="40" w:after="40"/>
            </w:pPr>
            <w:r/>
            <w:r>
              <w:rPr>
                <w:rFonts w:ascii="Calibri" w:hAnsi="Calibri"/>
                <w:b w:val="0"/>
                <w:color w:val="333333"/>
                <w:sz w:val="18"/>
              </w:rPr>
              <w:t>$179–299/mo</w:t>
            </w:r>
          </w:p>
        </w:tc>
        <w:tc>
          <w:tcPr>
            <w:tcW w:type="dxa" w:w="1344"/>
            <w:shd w:fill="F0F7FF" w:val="clear"/>
          </w:tcPr>
          <w:p>
            <w:pPr>
              <w:spacing w:before="40" w:after="40"/>
            </w:pPr>
            <w:r/>
            <w:r>
              <w:rPr>
                <w:rFonts w:ascii="Calibri" w:hAnsi="Calibri"/>
                <w:b w:val="0"/>
                <w:color w:val="333333"/>
                <w:sz w:val="18"/>
              </w:rPr>
              <w:t>No</w:t>
            </w:r>
          </w:p>
        </w:tc>
        <w:tc>
          <w:tcPr>
            <w:tcW w:type="dxa" w:w="1344"/>
            <w:shd w:fill="F0F7FF" w:val="clear"/>
          </w:tcPr>
          <w:p>
            <w:pPr>
              <w:spacing w:before="40" w:after="40"/>
            </w:pPr>
            <w:r/>
            <w:r>
              <w:rPr>
                <w:rFonts w:ascii="Calibri" w:hAnsi="Calibri"/>
                <w:b w:val="0"/>
                <w:color w:val="333333"/>
                <w:sz w:val="18"/>
              </w:rPr>
              <w:t>Yes (matching)</w:t>
            </w:r>
          </w:p>
        </w:tc>
      </w:tr>
      <w:tr>
        <w:tc>
          <w:tcPr>
            <w:tcW w:type="dxa" w:w="1344"/>
          </w:tcPr>
          <w:p>
            <w:pPr>
              <w:spacing w:before="40" w:after="40"/>
            </w:pPr>
            <w:r/>
            <w:r>
              <w:rPr>
                <w:rFonts w:ascii="Calibri" w:hAnsi="Calibri"/>
                <w:b w:val="0"/>
                <w:color w:val="333333"/>
                <w:sz w:val="18"/>
              </w:rPr>
              <w:t>GrantHub</w:t>
            </w:r>
          </w:p>
        </w:tc>
        <w:tc>
          <w:tcPr>
            <w:tcW w:type="dxa" w:w="1344"/>
          </w:tcPr>
          <w:p>
            <w:pPr>
              <w:spacing w:before="40" w:after="40"/>
            </w:pPr>
            <w:r/>
            <w:r>
              <w:rPr>
                <w:rFonts w:ascii="Calibri" w:hAnsi="Calibri"/>
                <w:b w:val="0"/>
                <w:color w:val="333333"/>
                <w:sz w:val="18"/>
              </w:rPr>
              <w:t>Pipeline</w:t>
            </w:r>
          </w:p>
        </w:tc>
        <w:tc>
          <w:tcPr>
            <w:tcW w:type="dxa" w:w="1344"/>
          </w:tcPr>
          <w:p>
            <w:pPr>
              <w:spacing w:before="40" w:after="40"/>
            </w:pPr>
            <w:r/>
            <w:r>
              <w:rPr>
                <w:rFonts w:ascii="Calibri" w:hAnsi="Calibri"/>
                <w:b w:val="0"/>
                <w:color w:val="333333"/>
                <w:sz w:val="18"/>
              </w:rPr>
              <w:t>Seekers</w:t>
            </w:r>
          </w:p>
        </w:tc>
        <w:tc>
          <w:tcPr>
            <w:tcW w:type="dxa" w:w="1344"/>
          </w:tcPr>
          <w:p>
            <w:pPr>
              <w:spacing w:before="40" w:after="40"/>
            </w:pPr>
            <w:r/>
            <w:r>
              <w:rPr>
                <w:rFonts w:ascii="Calibri" w:hAnsi="Calibri"/>
                <w:b w:val="0"/>
                <w:color w:val="333333"/>
                <w:sz w:val="18"/>
              </w:rPr>
              <w:t>Affordable entry point</w:t>
            </w:r>
          </w:p>
        </w:tc>
        <w:tc>
          <w:tcPr>
            <w:tcW w:type="dxa" w:w="1344"/>
          </w:tcPr>
          <w:p>
            <w:pPr>
              <w:spacing w:before="40" w:after="40"/>
            </w:pPr>
            <w:r/>
            <w:r>
              <w:rPr>
                <w:rFonts w:ascii="Calibri" w:hAnsi="Calibri"/>
                <w:b w:val="0"/>
                <w:color w:val="333333"/>
                <w:sz w:val="18"/>
              </w:rPr>
              <w:t>$95/mo</w:t>
            </w:r>
          </w:p>
        </w:tc>
        <w:tc>
          <w:tcPr>
            <w:tcW w:type="dxa" w:w="1344"/>
          </w:tcPr>
          <w:p>
            <w:pPr>
              <w:spacing w:before="40" w:after="40"/>
            </w:pPr>
            <w:r/>
            <w:r>
              <w:rPr>
                <w:rFonts w:ascii="Calibri" w:hAnsi="Calibri"/>
                <w:b w:val="0"/>
                <w:color w:val="333333"/>
                <w:sz w:val="18"/>
              </w:rPr>
              <w:t>No</w:t>
            </w:r>
          </w:p>
        </w:tc>
        <w:tc>
          <w:tcPr>
            <w:tcW w:type="dxa" w:w="1344"/>
          </w:tcPr>
          <w:p>
            <w:pPr>
              <w:spacing w:before="40" w:after="40"/>
            </w:pPr>
            <w:r/>
            <w:r>
              <w:rPr>
                <w:rFonts w:ascii="Calibri" w:hAnsi="Calibri"/>
                <w:b w:val="0"/>
                <w:color w:val="333333"/>
                <w:sz w:val="18"/>
              </w:rPr>
              <w:t>No</w:t>
            </w:r>
          </w:p>
        </w:tc>
      </w:tr>
      <w:tr>
        <w:tc>
          <w:tcPr>
            <w:tcW w:type="dxa" w:w="1344"/>
            <w:shd w:fill="F0F7FF" w:val="clear"/>
          </w:tcPr>
          <w:p>
            <w:pPr>
              <w:spacing w:before="40" w:after="40"/>
            </w:pPr>
            <w:r/>
            <w:r>
              <w:rPr>
                <w:rFonts w:ascii="Calibri" w:hAnsi="Calibri"/>
                <w:b w:val="0"/>
                <w:color w:val="333333"/>
                <w:sz w:val="18"/>
              </w:rPr>
              <w:t>GlobalGiving</w:t>
            </w:r>
          </w:p>
        </w:tc>
        <w:tc>
          <w:tcPr>
            <w:tcW w:type="dxa" w:w="1344"/>
            <w:shd w:fill="F0F7FF" w:val="clear"/>
          </w:tcPr>
          <w:p>
            <w:pPr>
              <w:spacing w:before="40" w:after="40"/>
            </w:pPr>
            <w:r/>
            <w:r>
              <w:rPr>
                <w:rFonts w:ascii="Calibri" w:hAnsi="Calibri"/>
                <w:b w:val="0"/>
                <w:color w:val="333333"/>
                <w:sz w:val="18"/>
              </w:rPr>
              <w:t>Marketplace</w:t>
            </w:r>
          </w:p>
        </w:tc>
        <w:tc>
          <w:tcPr>
            <w:tcW w:type="dxa" w:w="1344"/>
            <w:shd w:fill="F0F7FF" w:val="clear"/>
          </w:tcPr>
          <w:p>
            <w:pPr>
              <w:spacing w:before="40" w:after="40"/>
            </w:pPr>
            <w:r/>
            <w:r>
              <w:rPr>
                <w:rFonts w:ascii="Calibri" w:hAnsi="Calibri"/>
                <w:b w:val="0"/>
                <w:color w:val="333333"/>
                <w:sz w:val="18"/>
              </w:rPr>
              <w:t>Both</w:t>
            </w:r>
          </w:p>
        </w:tc>
        <w:tc>
          <w:tcPr>
            <w:tcW w:type="dxa" w:w="1344"/>
            <w:shd w:fill="F0F7FF" w:val="clear"/>
          </w:tcPr>
          <w:p>
            <w:pPr>
              <w:spacing w:before="40" w:after="40"/>
            </w:pPr>
            <w:r/>
            <w:r>
              <w:rPr>
                <w:rFonts w:ascii="Calibri" w:hAnsi="Calibri"/>
                <w:b w:val="0"/>
                <w:color w:val="333333"/>
                <w:sz w:val="18"/>
              </w:rPr>
              <w:t>Established trust, 175 countries</w:t>
            </w:r>
          </w:p>
        </w:tc>
        <w:tc>
          <w:tcPr>
            <w:tcW w:type="dxa" w:w="1344"/>
            <w:shd w:fill="F0F7FF" w:val="clear"/>
          </w:tcPr>
          <w:p>
            <w:pPr>
              <w:spacing w:before="40" w:after="40"/>
            </w:pPr>
            <w:r/>
            <w:r>
              <w:rPr>
                <w:rFonts w:ascii="Calibri" w:hAnsi="Calibri"/>
                <w:b w:val="0"/>
                <w:color w:val="333333"/>
                <w:sz w:val="18"/>
              </w:rPr>
              <w:t>5–12% + 3% fees</w:t>
            </w:r>
          </w:p>
        </w:tc>
        <w:tc>
          <w:tcPr>
            <w:tcW w:type="dxa" w:w="1344"/>
            <w:shd w:fill="F0F7FF" w:val="clear"/>
          </w:tcPr>
          <w:p>
            <w:pPr>
              <w:spacing w:before="40" w:after="40"/>
            </w:pPr>
            <w:r/>
            <w:r>
              <w:rPr>
                <w:rFonts w:ascii="Calibri" w:hAnsi="Calibri"/>
                <w:b w:val="0"/>
                <w:color w:val="333333"/>
                <w:sz w:val="18"/>
              </w:rPr>
              <w:t>Yes</w:t>
            </w:r>
          </w:p>
        </w:tc>
        <w:tc>
          <w:tcPr>
            <w:tcW w:type="dxa" w:w="1344"/>
            <w:shd w:fill="F0F7FF" w:val="clear"/>
          </w:tcPr>
          <w:p>
            <w:pPr>
              <w:spacing w:before="40" w:after="40"/>
            </w:pPr>
            <w:r/>
            <w:r>
              <w:rPr>
                <w:rFonts w:ascii="Calibri" w:hAnsi="Calibri"/>
                <w:b w:val="0"/>
                <w:color w:val="333333"/>
                <w:sz w:val="18"/>
              </w:rPr>
              <w:t>No</w:t>
            </w:r>
          </w:p>
        </w:tc>
      </w:tr>
      <w:tr>
        <w:tc>
          <w:tcPr>
            <w:tcW w:type="dxa" w:w="1344"/>
          </w:tcPr>
          <w:p>
            <w:pPr>
              <w:spacing w:before="40" w:after="40"/>
            </w:pPr>
            <w:r/>
            <w:r>
              <w:rPr>
                <w:rFonts w:ascii="Calibri" w:hAnsi="Calibri"/>
                <w:b w:val="0"/>
                <w:color w:val="333333"/>
                <w:sz w:val="18"/>
              </w:rPr>
              <w:t>UN Partner Portal</w:t>
            </w:r>
          </w:p>
        </w:tc>
        <w:tc>
          <w:tcPr>
            <w:tcW w:type="dxa" w:w="1344"/>
          </w:tcPr>
          <w:p>
            <w:pPr>
              <w:spacing w:before="40" w:after="40"/>
            </w:pPr>
            <w:r/>
            <w:r>
              <w:rPr>
                <w:rFonts w:ascii="Calibri" w:hAnsi="Calibri"/>
                <w:b w:val="0"/>
                <w:color w:val="333333"/>
                <w:sz w:val="18"/>
              </w:rPr>
              <w:t>Due Diligence</w:t>
            </w:r>
          </w:p>
        </w:tc>
        <w:tc>
          <w:tcPr>
            <w:tcW w:type="dxa" w:w="1344"/>
          </w:tcPr>
          <w:p>
            <w:pPr>
              <w:spacing w:before="40" w:after="40"/>
            </w:pPr>
            <w:r/>
            <w:r>
              <w:rPr>
                <w:rFonts w:ascii="Calibri" w:hAnsi="Calibri"/>
                <w:b w:val="0"/>
                <w:color w:val="333333"/>
                <w:sz w:val="18"/>
              </w:rPr>
              <w:t>UN–CSO</w:t>
            </w:r>
          </w:p>
        </w:tc>
        <w:tc>
          <w:tcPr>
            <w:tcW w:type="dxa" w:w="1344"/>
          </w:tcPr>
          <w:p>
            <w:pPr>
              <w:spacing w:before="40" w:after="40"/>
            </w:pPr>
            <w:r/>
            <w:r>
              <w:rPr>
                <w:rFonts w:ascii="Calibri" w:hAnsi="Calibri"/>
                <w:b w:val="0"/>
                <w:color w:val="333333"/>
                <w:sz w:val="18"/>
              </w:rPr>
              <w:t>Free, harmonized across UN system</w:t>
            </w:r>
          </w:p>
        </w:tc>
        <w:tc>
          <w:tcPr>
            <w:tcW w:type="dxa" w:w="1344"/>
          </w:tcPr>
          <w:p>
            <w:pPr>
              <w:spacing w:before="40" w:after="40"/>
            </w:pPr>
            <w:r/>
            <w:r>
              <w:rPr>
                <w:rFonts w:ascii="Calibri" w:hAnsi="Calibri"/>
                <w:b w:val="0"/>
                <w:color w:val="333333"/>
                <w:sz w:val="18"/>
              </w:rPr>
              <w:t>Free</w:t>
            </w:r>
          </w:p>
        </w:tc>
        <w:tc>
          <w:tcPr>
            <w:tcW w:type="dxa" w:w="1344"/>
          </w:tcPr>
          <w:p>
            <w:pPr>
              <w:spacing w:before="40" w:after="40"/>
            </w:pPr>
            <w:r/>
            <w:r>
              <w:rPr>
                <w:rFonts w:ascii="Calibri" w:hAnsi="Calibri"/>
                <w:b w:val="0"/>
                <w:color w:val="333333"/>
                <w:sz w:val="18"/>
              </w:rPr>
              <w:t>Yes</w:t>
            </w:r>
          </w:p>
        </w:tc>
        <w:tc>
          <w:tcPr>
            <w:tcW w:type="dxa" w:w="1344"/>
          </w:tcPr>
          <w:p>
            <w:pPr>
              <w:spacing w:before="40" w:after="40"/>
            </w:pPr>
            <w:r/>
            <w:r>
              <w:rPr>
                <w:rFonts w:ascii="Calibri" w:hAnsi="Calibri"/>
                <w:b w:val="0"/>
                <w:color w:val="333333"/>
                <w:sz w:val="18"/>
              </w:rPr>
              <w:t>No</w:t>
            </w:r>
          </w:p>
        </w:tc>
      </w:tr>
      <w:tr>
        <w:tc>
          <w:tcPr>
            <w:tcW w:type="dxa" w:w="1344"/>
            <w:shd w:fill="F0F7FF" w:val="clear"/>
          </w:tcPr>
          <w:p>
            <w:pPr>
              <w:spacing w:before="40" w:after="40"/>
            </w:pPr>
            <w:r/>
            <w:r>
              <w:rPr>
                <w:rFonts w:ascii="Calibri" w:hAnsi="Calibri"/>
                <w:b w:val="0"/>
                <w:color w:val="333333"/>
                <w:sz w:val="18"/>
              </w:rPr>
              <w:t>TechSoup STEP</w:t>
            </w:r>
          </w:p>
        </w:tc>
        <w:tc>
          <w:tcPr>
            <w:tcW w:type="dxa" w:w="1344"/>
            <w:shd w:fill="F0F7FF" w:val="clear"/>
          </w:tcPr>
          <w:p>
            <w:pPr>
              <w:spacing w:before="40" w:after="40"/>
            </w:pPr>
            <w:r/>
            <w:r>
              <w:rPr>
                <w:rFonts w:ascii="Calibri" w:hAnsi="Calibri"/>
                <w:b w:val="0"/>
                <w:color w:val="333333"/>
                <w:sz w:val="18"/>
              </w:rPr>
              <w:t>Assessment</w:t>
            </w:r>
          </w:p>
        </w:tc>
        <w:tc>
          <w:tcPr>
            <w:tcW w:type="dxa" w:w="1344"/>
            <w:shd w:fill="F0F7FF" w:val="clear"/>
          </w:tcPr>
          <w:p>
            <w:pPr>
              <w:spacing w:before="40" w:after="40"/>
            </w:pPr>
            <w:r/>
            <w:r>
              <w:rPr>
                <w:rFonts w:ascii="Calibri" w:hAnsi="Calibri"/>
                <w:b w:val="0"/>
                <w:color w:val="333333"/>
                <w:sz w:val="18"/>
              </w:rPr>
              <w:t>Both</w:t>
            </w:r>
          </w:p>
        </w:tc>
        <w:tc>
          <w:tcPr>
            <w:tcW w:type="dxa" w:w="1344"/>
            <w:shd w:fill="F0F7FF" w:val="clear"/>
          </w:tcPr>
          <w:p>
            <w:pPr>
              <w:spacing w:before="40" w:after="40"/>
            </w:pPr>
            <w:r/>
            <w:r>
              <w:rPr>
                <w:rFonts w:ascii="Calibri" w:hAnsi="Calibri"/>
                <w:b w:val="0"/>
                <w:color w:val="333333"/>
                <w:sz w:val="18"/>
              </w:rPr>
              <w:t>Comprehensive 9-area framework</w:t>
            </w:r>
          </w:p>
        </w:tc>
        <w:tc>
          <w:tcPr>
            <w:tcW w:type="dxa" w:w="1344"/>
            <w:shd w:fill="F0F7FF" w:val="clear"/>
          </w:tcPr>
          <w:p>
            <w:pPr>
              <w:spacing w:before="40" w:after="40"/>
            </w:pPr>
            <w:r/>
            <w:r>
              <w:rPr>
                <w:rFonts w:ascii="Calibri" w:hAnsi="Calibri"/>
                <w:b w:val="0"/>
                <w:color w:val="333333"/>
                <w:sz w:val="18"/>
              </w:rPr>
              <w:t>Contact</w:t>
            </w:r>
          </w:p>
        </w:tc>
        <w:tc>
          <w:tcPr>
            <w:tcW w:type="dxa" w:w="1344"/>
            <w:shd w:fill="F0F7FF" w:val="clear"/>
          </w:tcPr>
          <w:p>
            <w:pPr>
              <w:spacing w:before="40" w:after="40"/>
            </w:pPr>
            <w:r/>
            <w:r>
              <w:rPr>
                <w:rFonts w:ascii="Calibri" w:hAnsi="Calibri"/>
                <w:b w:val="0"/>
                <w:color w:val="333333"/>
                <w:sz w:val="18"/>
              </w:rPr>
              <w:t>Yes</w:t>
            </w:r>
          </w:p>
        </w:tc>
        <w:tc>
          <w:tcPr>
            <w:tcW w:type="dxa" w:w="1344"/>
            <w:shd w:fill="F0F7FF" w:val="clear"/>
          </w:tcPr>
          <w:p>
            <w:pPr>
              <w:spacing w:before="40" w:after="40"/>
            </w:pPr>
            <w:r/>
            <w:r>
              <w:rPr>
                <w:rFonts w:ascii="Calibri" w:hAnsi="Calibri"/>
                <w:b w:val="0"/>
                <w:color w:val="333333"/>
                <w:sz w:val="18"/>
              </w:rPr>
              <w:t>No</w:t>
            </w:r>
          </w:p>
        </w:tc>
      </w:tr>
      <w:tr>
        <w:tc>
          <w:tcPr>
            <w:tcW w:type="dxa" w:w="1344"/>
          </w:tcPr>
          <w:p>
            <w:pPr>
              <w:spacing w:before="40" w:after="40"/>
            </w:pPr>
            <w:r/>
            <w:r>
              <w:rPr>
                <w:rFonts w:ascii="Calibri" w:hAnsi="Calibri"/>
                <w:b w:val="0"/>
                <w:color w:val="333333"/>
                <w:sz w:val="18"/>
              </w:rPr>
              <w:t>Xapien</w:t>
            </w:r>
          </w:p>
        </w:tc>
        <w:tc>
          <w:tcPr>
            <w:tcW w:type="dxa" w:w="1344"/>
          </w:tcPr>
          <w:p>
            <w:pPr>
              <w:spacing w:before="40" w:after="40"/>
            </w:pPr>
            <w:r/>
            <w:r>
              <w:rPr>
                <w:rFonts w:ascii="Calibri" w:hAnsi="Calibri"/>
                <w:b w:val="0"/>
                <w:color w:val="333333"/>
                <w:sz w:val="18"/>
              </w:rPr>
              <w:t>Screening</w:t>
            </w:r>
          </w:p>
        </w:tc>
        <w:tc>
          <w:tcPr>
            <w:tcW w:type="dxa" w:w="1344"/>
          </w:tcPr>
          <w:p>
            <w:pPr>
              <w:spacing w:before="40" w:after="40"/>
            </w:pPr>
            <w:r/>
            <w:r>
              <w:rPr>
                <w:rFonts w:ascii="Calibri" w:hAnsi="Calibri"/>
                <w:b w:val="0"/>
                <w:color w:val="333333"/>
                <w:sz w:val="18"/>
              </w:rPr>
              <w:t>Donors</w:t>
            </w:r>
          </w:p>
        </w:tc>
        <w:tc>
          <w:tcPr>
            <w:tcW w:type="dxa" w:w="1344"/>
          </w:tcPr>
          <w:p>
            <w:pPr>
              <w:spacing w:before="40" w:after="40"/>
            </w:pPr>
            <w:r/>
            <w:r>
              <w:rPr>
                <w:rFonts w:ascii="Calibri" w:hAnsi="Calibri"/>
                <w:b w:val="0"/>
                <w:color w:val="333333"/>
                <w:sz w:val="18"/>
              </w:rPr>
              <w:t>True AI (35T pages, 0.5B registries)</w:t>
            </w:r>
          </w:p>
        </w:tc>
        <w:tc>
          <w:tcPr>
            <w:tcW w:type="dxa" w:w="1344"/>
          </w:tcPr>
          <w:p>
            <w:pPr>
              <w:spacing w:before="40" w:after="40"/>
            </w:pPr>
            <w:r/>
            <w:r>
              <w:rPr>
                <w:rFonts w:ascii="Calibri" w:hAnsi="Calibri"/>
                <w:b w:val="0"/>
                <w:color w:val="333333"/>
                <w:sz w:val="18"/>
              </w:rPr>
              <w:t>Subscription</w:t>
            </w:r>
          </w:p>
        </w:tc>
        <w:tc>
          <w:tcPr>
            <w:tcW w:type="dxa" w:w="1344"/>
          </w:tcPr>
          <w:p>
            <w:pPr>
              <w:spacing w:before="40" w:after="40"/>
            </w:pPr>
            <w:r/>
            <w:r>
              <w:rPr>
                <w:rFonts w:ascii="Calibri" w:hAnsi="Calibri"/>
                <w:b w:val="0"/>
                <w:color w:val="333333"/>
                <w:sz w:val="18"/>
              </w:rPr>
              <w:t>Partial</w:t>
            </w:r>
          </w:p>
        </w:tc>
        <w:tc>
          <w:tcPr>
            <w:tcW w:type="dxa" w:w="1344"/>
          </w:tcPr>
          <w:p>
            <w:pPr>
              <w:spacing w:before="40" w:after="40"/>
            </w:pPr>
            <w:r/>
            <w:r>
              <w:rPr>
                <w:rFonts w:ascii="Calibri" w:hAnsi="Calibri"/>
                <w:b w:val="0"/>
                <w:color w:val="333333"/>
                <w:sz w:val="18"/>
              </w:rPr>
              <w:t>Yes</w:t>
            </w:r>
          </w:p>
        </w:tc>
      </w:tr>
    </w:tbl>
    <w:p/>
    <w:p>
      <w:pPr>
        <w:pStyle w:val="Heading2"/>
        <w:spacing w:before="280" w:after="120"/>
      </w:pPr>
      <w:r>
        <w:rPr>
          <w:rFonts w:ascii="Calibri" w:hAnsi="Calibri"/>
          <w:color w:val="0D9488"/>
        </w:rPr>
        <w:t>Key Finding</w:t>
      </w:r>
    </w:p>
    <w:p>
      <w:pPr>
        <w:spacing w:after="120" w:line="300" w:lineRule="exact"/>
      </w:pPr>
      <w:r>
        <w:rPr>
          <w:rFonts w:ascii="Calibri" w:hAnsi="Calibri"/>
          <w:b w:val="0"/>
          <w:i w:val="0"/>
          <w:color w:val="333333"/>
          <w:sz w:val="21"/>
        </w:rPr>
        <w:t>No competitor offers all eight of Kuja’s lifecycle stages in a single platform. The closest competitors—Fluxx and Submittable—serve only the donor side of the equation, cost 10–100x more than Kuja’s target pricing, and lack capacity assessment, marketplace discovery, and any meaningful focus on the Global South. Donor-side platforms require CSOs to navigate multiple disconnected systems; seeker-side tools provide discovery but no management; and sector infrastructure (UNPP, TechSoup) addresses narrow slices of the lifecycle without integration. Kuja is the only platform that eliminates these gaps by unifying all stages under a single architecture with AI automation throughout.</w:t>
      </w:r>
    </w:p>
    <w:p>
      <w:r>
        <w:br w:type="page"/>
      </w:r>
    </w:p>
    <w:p>
      <w:pPr>
        <w:pStyle w:val="Heading1"/>
        <w:spacing w:before="360" w:after="160"/>
      </w:pPr>
      <w:r>
        <w:rPr>
          <w:rFonts w:ascii="Calibri" w:hAnsi="Calibri"/>
          <w:color w:val="1E40AF"/>
        </w:rPr>
        <w:t>6. Kuja’s Competitive Advantages</w:t>
      </w:r>
    </w:p>
    <w:p>
      <w:pPr>
        <w:spacing w:after="120" w:line="300" w:lineRule="exact"/>
      </w:pPr>
      <w:r>
        <w:rPr>
          <w:rFonts w:ascii="Calibri" w:hAnsi="Calibri"/>
          <w:b/>
          <w:color w:val="1E40AF"/>
          <w:sz w:val="21"/>
        </w:rPr>
        <w:t xml:space="preserve">1. ONLY END-TO-END PLATFORM: </w:t>
      </w:r>
      <w:r>
        <w:rPr>
          <w:rFonts w:ascii="Calibri" w:hAnsi="Calibri"/>
          <w:color w:val="333333"/>
          <w:sz w:val="21"/>
        </w:rPr>
        <w:t>Kuja is the only solution that combines marketplace discovery, capacity assessment, grant application, dual-scoring review, compliance reporting, and ERP operations in a single platform. Organizations and donors never need to switch between disconnected tools or re-enter data across systems.</w:t>
      </w:r>
    </w:p>
    <w:p>
      <w:pPr>
        <w:spacing w:after="120" w:line="300" w:lineRule="exact"/>
      </w:pPr>
      <w:r>
        <w:rPr>
          <w:rFonts w:ascii="Calibri" w:hAnsi="Calibri"/>
          <w:b/>
          <w:color w:val="1E40AF"/>
          <w:sz w:val="21"/>
        </w:rPr>
        <w:t xml:space="preserve">2. AI-POWERED THROUGHOUT: </w:t>
      </w:r>
      <w:r>
        <w:rPr>
          <w:rFonts w:ascii="Calibri" w:hAnsi="Calibri"/>
          <w:color w:val="333333"/>
          <w:sz w:val="21"/>
        </w:rPr>
        <w:t>Anthropic Claude AI is integrated across every stage: document analysis with per-criteria scoring (0–100), grant agreement parsing and requirement extraction, report evaluation with compliance scoring, capacity assessment with gap analysis, grant matching, and context-aware chat assistance. No competitor uses AI across all lifecycle stages.</w:t>
      </w:r>
    </w:p>
    <w:p>
      <w:pPr>
        <w:spacing w:after="120" w:line="300" w:lineRule="exact"/>
      </w:pPr>
      <w:r>
        <w:rPr>
          <w:rFonts w:ascii="Calibri" w:hAnsi="Calibri"/>
          <w:b/>
          <w:color w:val="1E40AF"/>
          <w:sz w:val="21"/>
        </w:rPr>
        <w:t xml:space="preserve">3. BUILT FOR THE GLOBAL SOUTH: </w:t>
      </w:r>
      <w:r>
        <w:rPr>
          <w:rFonts w:ascii="Calibri" w:hAnsi="Calibri"/>
          <w:color w:val="333333"/>
          <w:sz w:val="21"/>
        </w:rPr>
        <w:t>Created by Adeso, a Somali-founded social enterprise with 30+ years of humanitarian experience across Africa. Multi-language support from day one (English, French, Arabic, Swahili, Somali) with architecture for 100+ languages. Pricing designed for affordability. Interface optimized for low-bandwidth environments common in target geographies.</w:t>
      </w:r>
    </w:p>
    <w:p>
      <w:pPr>
        <w:spacing w:after="120" w:line="300" w:lineRule="exact"/>
      </w:pPr>
      <w:r>
        <w:rPr>
          <w:rFonts w:ascii="Calibri" w:hAnsi="Calibri"/>
          <w:b/>
          <w:color w:val="1E40AF"/>
          <w:sz w:val="21"/>
        </w:rPr>
        <w:t xml:space="preserve">4. LIVE DUE DILIGENCE: </w:t>
      </w:r>
      <w:r>
        <w:rPr>
          <w:rFonts w:ascii="Calibri" w:hAnsi="Calibri"/>
          <w:color w:val="333333"/>
          <w:sz w:val="21"/>
        </w:rPr>
        <w:t>Real-time government registry verification for seven African countries plus sanctions screening against four major databases and OpenSanctions. No other grant management platform offers automated, live compliance verification—a capability that typically costs donors $5,000–$15,000 per manual assessment.</w:t>
      </w:r>
    </w:p>
    <w:p>
      <w:pPr>
        <w:spacing w:after="120" w:line="300" w:lineRule="exact"/>
      </w:pPr>
      <w:r>
        <w:rPr>
          <w:rFonts w:ascii="Calibri" w:hAnsi="Calibri"/>
          <w:b/>
          <w:color w:val="1E40AF"/>
          <w:sz w:val="21"/>
        </w:rPr>
        <w:t xml:space="preserve">5. PASSPORTABLE ASSESSMENTS: </w:t>
      </w:r>
      <w:r>
        <w:rPr>
          <w:rFonts w:ascii="Calibri" w:hAnsi="Calibri"/>
          <w:color w:val="333333"/>
          <w:sz w:val="21"/>
        </w:rPr>
        <w:t>Organizations complete one comprehensive assessment covering five industry frameworks (Kuja, STEP, UN-HACT, CHS, NUPAS) and share verified results with multiple donors. This eliminates the 4–12 duplicate assessments NGOs currently endure each year, saving thousands of staff hours across the sector.</w:t>
      </w:r>
    </w:p>
    <w:p>
      <w:pPr>
        <w:spacing w:after="120" w:line="300" w:lineRule="exact"/>
      </w:pPr>
      <w:r>
        <w:rPr>
          <w:rFonts w:ascii="Calibri" w:hAnsi="Calibri"/>
          <w:b/>
          <w:color w:val="1E40AF"/>
          <w:sz w:val="21"/>
        </w:rPr>
        <w:t xml:space="preserve">6. TWO-SIDED MARKETPLACE: </w:t>
      </w:r>
      <w:r>
        <w:rPr>
          <w:rFonts w:ascii="Calibri" w:hAnsi="Calibri"/>
          <w:color w:val="333333"/>
          <w:sz w:val="21"/>
        </w:rPr>
        <w:t>Kuja is the only platform connecting assessed and verified NGOs directly with donors in a two-sided marketplace. This creates powerful network effects: each additional organization increases the platform’s value for all participants, building a defensible competitive moat that is difficult for single-sided competitors to replicate.</w:t>
      </w:r>
    </w:p>
    <w:p>
      <w:pPr>
        <w:spacing w:after="120" w:line="300" w:lineRule="exact"/>
      </w:pPr>
      <w:r>
        <w:rPr>
          <w:rFonts w:ascii="Calibri" w:hAnsi="Calibri"/>
          <w:b/>
          <w:color w:val="1E40AF"/>
          <w:sz w:val="21"/>
        </w:rPr>
        <w:t xml:space="preserve">7. SEAMLESS ERP ONBOARDING: </w:t>
      </w:r>
      <w:r>
        <w:rPr>
          <w:rFonts w:ascii="Calibri" w:hAnsi="Calibri"/>
          <w:color w:val="333333"/>
          <w:sz w:val="21"/>
        </w:rPr>
        <w:t>Organizations using the marketplace naturally flow into operational management without re-entering data. The Odoo 17-based ERP inherits organizational profiles, assessment results, and grant records. Multi-tenant architecture gives donors real-time financial visibility into their grants—transforming reporting from a periodic burden into continuous transparency.</w:t>
      </w:r>
    </w:p>
    <w:p>
      <w:pPr>
        <w:spacing w:after="120" w:line="300" w:lineRule="exact"/>
      </w:pPr>
      <w:r>
        <w:rPr>
          <w:rFonts w:ascii="Calibri" w:hAnsi="Calibri"/>
          <w:b/>
          <w:color w:val="1E40AF"/>
          <w:sz w:val="21"/>
        </w:rPr>
        <w:t xml:space="preserve">8. ADESO’S CREDIBILITY: </w:t>
      </w:r>
      <w:r>
        <w:rPr>
          <w:rFonts w:ascii="Calibri" w:hAnsi="Calibri"/>
          <w:color w:val="333333"/>
          <w:sz w:val="21"/>
        </w:rPr>
        <w:t>30+ years of humanitarian experience. Founding member and leader of the NEAR network (the largest network of local and national organizations in the Global South). Champion of aid localization with deep relationships across the sector—including Oxfam, IRC, Save the Children, Gates Foundation, Hilton Foundation, and Porticus. This credibility cannot be replicated by technology-only competitors.</w:t>
      </w:r>
    </w:p>
    <w:p>
      <w:r>
        <w:br w:type="page"/>
      </w:r>
    </w:p>
    <w:p>
      <w:pPr>
        <w:pStyle w:val="Heading1"/>
        <w:spacing w:before="360" w:after="160"/>
      </w:pPr>
      <w:r>
        <w:rPr>
          <w:rFonts w:ascii="Calibri" w:hAnsi="Calibri"/>
          <w:color w:val="1E40AF"/>
        </w:rPr>
        <w:t>7. Platform Architecture &amp; AI Capabilities</w:t>
      </w:r>
    </w:p>
    <w:p>
      <w:pPr>
        <w:pStyle w:val="Heading2"/>
        <w:spacing w:before="280" w:after="120"/>
      </w:pPr>
      <w:r>
        <w:rPr>
          <w:rFonts w:ascii="Calibri" w:hAnsi="Calibri"/>
          <w:color w:val="0D9488"/>
        </w:rPr>
        <w:t>Technical Overview</w:t>
      </w:r>
    </w:p>
    <w:p>
      <w:pPr>
        <w:pStyle w:val="ListBullet"/>
        <w:spacing w:after="60" w:line="300" w:lineRule="exact"/>
      </w:pPr>
      <w:r>
        <w:rPr>
          <w:rFonts w:ascii="Calibri" w:hAnsi="Calibri"/>
          <w:b/>
          <w:color w:val="333333"/>
          <w:sz w:val="21"/>
        </w:rPr>
        <w:t xml:space="preserve">Production URL: </w:t>
      </w:r>
      <w:r>
        <w:rPr>
          <w:rFonts w:ascii="Calibri" w:hAnsi="Calibri"/>
          <w:color w:val="333333"/>
          <w:sz w:val="21"/>
        </w:rPr>
        <w:t>https://web-production-6f8a.up.railway.app</w:t>
      </w:r>
    </w:p>
    <w:p>
      <w:pPr>
        <w:pStyle w:val="ListBullet"/>
        <w:spacing w:after="60" w:line="300" w:lineRule="exact"/>
      </w:pPr>
      <w:r>
        <w:rPr>
          <w:rFonts w:ascii="Calibri" w:hAnsi="Calibri"/>
          <w:b/>
          <w:color w:val="333333"/>
          <w:sz w:val="21"/>
        </w:rPr>
        <w:t xml:space="preserve">Application Stack: </w:t>
      </w:r>
      <w:r>
        <w:rPr>
          <w:rFonts w:ascii="Calibri" w:hAnsi="Calibri"/>
          <w:color w:val="333333"/>
          <w:sz w:val="21"/>
        </w:rPr>
        <w:t>Python/Flask backend + Vanilla JavaScript single-page application frontend</w:t>
      </w:r>
    </w:p>
    <w:p>
      <w:pPr>
        <w:pStyle w:val="ListBullet"/>
        <w:spacing w:after="60" w:line="300" w:lineRule="exact"/>
      </w:pPr>
      <w:r>
        <w:rPr>
          <w:rFonts w:ascii="Calibri" w:hAnsi="Calibri"/>
          <w:b/>
          <w:color w:val="333333"/>
          <w:sz w:val="21"/>
        </w:rPr>
        <w:t xml:space="preserve">Database: </w:t>
      </w:r>
      <w:r>
        <w:rPr>
          <w:rFonts w:ascii="Calibri" w:hAnsi="Calibri"/>
          <w:color w:val="333333"/>
          <w:sz w:val="21"/>
        </w:rPr>
        <w:t>PostgreSQL (production) with SQLite for local development</w:t>
      </w:r>
    </w:p>
    <w:p>
      <w:pPr>
        <w:pStyle w:val="ListBullet"/>
        <w:spacing w:after="60" w:line="300" w:lineRule="exact"/>
      </w:pPr>
      <w:r>
        <w:rPr>
          <w:rFonts w:ascii="Calibri" w:hAnsi="Calibri"/>
          <w:b/>
          <w:color w:val="333333"/>
          <w:sz w:val="21"/>
        </w:rPr>
        <w:t xml:space="preserve">AI Engine: </w:t>
      </w:r>
      <w:r>
        <w:rPr>
          <w:rFonts w:ascii="Calibri" w:hAnsi="Calibri"/>
          <w:color w:val="333333"/>
          <w:sz w:val="21"/>
        </w:rPr>
        <w:t>Anthropic Claude API (claude-sonnet-4-20250514)</w:t>
      </w:r>
    </w:p>
    <w:p>
      <w:pPr>
        <w:pStyle w:val="ListBullet"/>
        <w:spacing w:after="60" w:line="300" w:lineRule="exact"/>
      </w:pPr>
      <w:r>
        <w:rPr>
          <w:rFonts w:ascii="Calibri" w:hAnsi="Calibri"/>
          <w:b/>
          <w:color w:val="333333"/>
          <w:sz w:val="21"/>
        </w:rPr>
        <w:t xml:space="preserve">Deployment: </w:t>
      </w:r>
      <w:r>
        <w:rPr>
          <w:rFonts w:ascii="Calibri" w:hAnsi="Calibri"/>
          <w:color w:val="333333"/>
          <w:sz w:val="21"/>
        </w:rPr>
        <w:t>Railway PaaS with Gunicorn WSGI server</w:t>
      </w:r>
    </w:p>
    <w:p>
      <w:pPr>
        <w:pStyle w:val="ListBullet"/>
        <w:spacing w:after="60" w:line="300" w:lineRule="exact"/>
      </w:pPr>
      <w:r>
        <w:rPr>
          <w:rFonts w:ascii="Calibri" w:hAnsi="Calibri"/>
          <w:b/>
          <w:color w:val="333333"/>
          <w:sz w:val="21"/>
        </w:rPr>
        <w:t xml:space="preserve">Marketplace: </w:t>
      </w:r>
      <w:r>
        <w:rPr>
          <w:rFonts w:ascii="Calibri" w:hAnsi="Calibri"/>
          <w:color w:val="333333"/>
          <w:sz w:val="21"/>
        </w:rPr>
        <w:t>kuja.org (Odoo 17 Community) — marketplace and ERP integration target</w:t>
      </w:r>
    </w:p>
    <w:p>
      <w:pPr>
        <w:pStyle w:val="ListBullet"/>
        <w:spacing w:after="60" w:line="300" w:lineRule="exact"/>
      </w:pPr>
      <w:r>
        <w:rPr>
          <w:rFonts w:ascii="Calibri" w:hAnsi="Calibri"/>
          <w:b/>
          <w:color w:val="333333"/>
          <w:sz w:val="21"/>
        </w:rPr>
        <w:t xml:space="preserve">Architecture: </w:t>
      </w:r>
      <w:r>
        <w:rPr>
          <w:rFonts w:ascii="Calibri" w:hAnsi="Calibri"/>
          <w:color w:val="333333"/>
          <w:sz w:val="21"/>
        </w:rPr>
        <w:t>RESTful API architecture; JWT authentication; role-based access control (NGO, Donor, Reviewer, Admin)</w:t>
      </w:r>
    </w:p>
    <w:p>
      <w:pPr>
        <w:pStyle w:val="Heading2"/>
        <w:spacing w:before="280" w:after="120"/>
      </w:pPr>
      <w:r>
        <w:rPr>
          <w:rFonts w:ascii="Calibri" w:hAnsi="Calibri"/>
          <w:color w:val="0D9488"/>
        </w:rPr>
        <w:t>AI Functions</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1E40AF" w:val="clear"/>
          </w:tcPr>
          <w:p>
            <w:pPr>
              <w:spacing w:before="40" w:after="40"/>
            </w:pPr>
            <w:r/>
            <w:r>
              <w:rPr>
                <w:rFonts w:ascii="Calibri" w:hAnsi="Calibri"/>
                <w:b/>
                <w:color w:val="FFFFFF"/>
                <w:sz w:val="18"/>
              </w:rPr>
              <w:t>Function</w:t>
            </w:r>
          </w:p>
        </w:tc>
        <w:tc>
          <w:tcPr>
            <w:tcW w:type="dxa" w:w="2351"/>
            <w:shd w:fill="1E40AF" w:val="clear"/>
          </w:tcPr>
          <w:p>
            <w:pPr>
              <w:spacing w:before="40" w:after="40"/>
            </w:pPr>
            <w:r/>
            <w:r>
              <w:rPr>
                <w:rFonts w:ascii="Calibri" w:hAnsi="Calibri"/>
                <w:b/>
                <w:color w:val="FFFFFF"/>
                <w:sz w:val="18"/>
              </w:rPr>
              <w:t>Input</w:t>
            </w:r>
          </w:p>
        </w:tc>
        <w:tc>
          <w:tcPr>
            <w:tcW w:type="dxa" w:w="2351"/>
            <w:shd w:fill="1E40AF" w:val="clear"/>
          </w:tcPr>
          <w:p>
            <w:pPr>
              <w:spacing w:before="40" w:after="40"/>
            </w:pPr>
            <w:r/>
            <w:r>
              <w:rPr>
                <w:rFonts w:ascii="Calibri" w:hAnsi="Calibri"/>
                <w:b/>
                <w:color w:val="FFFFFF"/>
                <w:sz w:val="18"/>
              </w:rPr>
              <w:t>Output</w:t>
            </w:r>
          </w:p>
        </w:tc>
        <w:tc>
          <w:tcPr>
            <w:tcW w:type="dxa" w:w="2351"/>
            <w:shd w:fill="1E40AF" w:val="clear"/>
          </w:tcPr>
          <w:p>
            <w:pPr>
              <w:spacing w:before="40" w:after="40"/>
            </w:pPr>
            <w:r/>
            <w:r>
              <w:rPr>
                <w:rFonts w:ascii="Calibri" w:hAnsi="Calibri"/>
                <w:b/>
                <w:color w:val="FFFFFF"/>
                <w:sz w:val="18"/>
              </w:rPr>
              <w:t>Impact</w:t>
            </w:r>
          </w:p>
        </w:tc>
      </w:tr>
      <w:tr>
        <w:tc>
          <w:tcPr>
            <w:tcW w:type="dxa" w:w="2351"/>
          </w:tcPr>
          <w:p>
            <w:pPr>
              <w:spacing w:before="40" w:after="40"/>
            </w:pPr>
            <w:r/>
            <w:r>
              <w:rPr>
                <w:rFonts w:ascii="Calibri" w:hAnsi="Calibri"/>
                <w:b w:val="0"/>
                <w:color w:val="333333"/>
                <w:sz w:val="18"/>
              </w:rPr>
              <w:t>Document Analysis</w:t>
            </w:r>
          </w:p>
        </w:tc>
        <w:tc>
          <w:tcPr>
            <w:tcW w:type="dxa" w:w="2351"/>
          </w:tcPr>
          <w:p>
            <w:pPr>
              <w:spacing w:before="40" w:after="40"/>
            </w:pPr>
            <w:r/>
            <w:r>
              <w:rPr>
                <w:rFonts w:ascii="Calibri" w:hAnsi="Calibri"/>
                <w:b w:val="0"/>
                <w:color w:val="333333"/>
                <w:sz w:val="18"/>
              </w:rPr>
              <w:t>PDF/DOCX/XLSX upload</w:t>
            </w:r>
          </w:p>
        </w:tc>
        <w:tc>
          <w:tcPr>
            <w:tcW w:type="dxa" w:w="2351"/>
          </w:tcPr>
          <w:p>
            <w:pPr>
              <w:spacing w:before="40" w:after="40"/>
            </w:pPr>
            <w:r/>
            <w:r>
              <w:rPr>
                <w:rFonts w:ascii="Calibri" w:hAnsi="Calibri"/>
                <w:b w:val="0"/>
                <w:color w:val="333333"/>
                <w:sz w:val="18"/>
              </w:rPr>
              <w:t>Score (0–100), findings, recommendations</w:t>
            </w:r>
          </w:p>
        </w:tc>
        <w:tc>
          <w:tcPr>
            <w:tcW w:type="dxa" w:w="2351"/>
          </w:tcPr>
          <w:p>
            <w:pPr>
              <w:spacing w:before="40" w:after="40"/>
            </w:pPr>
            <w:r/>
            <w:r>
              <w:rPr>
                <w:rFonts w:ascii="Calibri" w:hAnsi="Calibri"/>
                <w:b w:val="0"/>
                <w:color w:val="333333"/>
                <w:sz w:val="18"/>
              </w:rPr>
              <w:t>Automates manual review, 5x faster</w:t>
            </w:r>
          </w:p>
        </w:tc>
      </w:tr>
      <w:tr>
        <w:tc>
          <w:tcPr>
            <w:tcW w:type="dxa" w:w="2351"/>
            <w:shd w:fill="F0F7FF" w:val="clear"/>
          </w:tcPr>
          <w:p>
            <w:pPr>
              <w:spacing w:before="40" w:after="40"/>
            </w:pPr>
            <w:r/>
            <w:r>
              <w:rPr>
                <w:rFonts w:ascii="Calibri" w:hAnsi="Calibri"/>
                <w:b w:val="0"/>
                <w:color w:val="333333"/>
                <w:sz w:val="18"/>
              </w:rPr>
              <w:t>Grant Agreement Parsing</w:t>
            </w:r>
          </w:p>
        </w:tc>
        <w:tc>
          <w:tcPr>
            <w:tcW w:type="dxa" w:w="2351"/>
            <w:shd w:fill="F0F7FF" w:val="clear"/>
          </w:tcPr>
          <w:p>
            <w:pPr>
              <w:spacing w:before="40" w:after="40"/>
            </w:pPr>
            <w:r/>
            <w:r>
              <w:rPr>
                <w:rFonts w:ascii="Calibri" w:hAnsi="Calibri"/>
                <w:b w:val="0"/>
                <w:color w:val="333333"/>
                <w:sz w:val="18"/>
              </w:rPr>
              <w:t>Agreement document</w:t>
            </w:r>
          </w:p>
        </w:tc>
        <w:tc>
          <w:tcPr>
            <w:tcW w:type="dxa" w:w="2351"/>
            <w:shd w:fill="F0F7FF" w:val="clear"/>
          </w:tcPr>
          <w:p>
            <w:pPr>
              <w:spacing w:before="40" w:after="40"/>
            </w:pPr>
            <w:r/>
            <w:r>
              <w:rPr>
                <w:rFonts w:ascii="Calibri" w:hAnsi="Calibri"/>
                <w:b w:val="0"/>
                <w:color w:val="333333"/>
                <w:sz w:val="18"/>
              </w:rPr>
              <w:t>Extracted requirements, deadlines, obligations</w:t>
            </w:r>
          </w:p>
        </w:tc>
        <w:tc>
          <w:tcPr>
            <w:tcW w:type="dxa" w:w="2351"/>
            <w:shd w:fill="F0F7FF" w:val="clear"/>
          </w:tcPr>
          <w:p>
            <w:pPr>
              <w:spacing w:before="40" w:after="40"/>
            </w:pPr>
            <w:r/>
            <w:r>
              <w:rPr>
                <w:rFonts w:ascii="Calibri" w:hAnsi="Calibri"/>
                <w:b w:val="0"/>
                <w:color w:val="333333"/>
                <w:sz w:val="18"/>
              </w:rPr>
              <w:t>Eliminates manual extraction</w:t>
            </w:r>
          </w:p>
        </w:tc>
      </w:tr>
      <w:tr>
        <w:tc>
          <w:tcPr>
            <w:tcW w:type="dxa" w:w="2351"/>
          </w:tcPr>
          <w:p>
            <w:pPr>
              <w:spacing w:before="40" w:after="40"/>
            </w:pPr>
            <w:r/>
            <w:r>
              <w:rPr>
                <w:rFonts w:ascii="Calibri" w:hAnsi="Calibri"/>
                <w:b w:val="0"/>
                <w:color w:val="333333"/>
                <w:sz w:val="18"/>
              </w:rPr>
              <w:t>Report Evaluation</w:t>
            </w:r>
          </w:p>
        </w:tc>
        <w:tc>
          <w:tcPr>
            <w:tcW w:type="dxa" w:w="2351"/>
          </w:tcPr>
          <w:p>
            <w:pPr>
              <w:spacing w:before="40" w:after="40"/>
            </w:pPr>
            <w:r/>
            <w:r>
              <w:rPr>
                <w:rFonts w:ascii="Calibri" w:hAnsi="Calibri"/>
                <w:b w:val="0"/>
                <w:color w:val="333333"/>
                <w:sz w:val="18"/>
              </w:rPr>
              <w:t>NGO reports</w:t>
            </w:r>
          </w:p>
        </w:tc>
        <w:tc>
          <w:tcPr>
            <w:tcW w:type="dxa" w:w="2351"/>
          </w:tcPr>
          <w:p>
            <w:pPr>
              <w:spacing w:before="40" w:after="40"/>
            </w:pPr>
            <w:r/>
            <w:r>
              <w:rPr>
                <w:rFonts w:ascii="Calibri" w:hAnsi="Calibri"/>
                <w:b w:val="0"/>
                <w:color w:val="333333"/>
                <w:sz w:val="18"/>
              </w:rPr>
              <w:t>Per-requirement compliance scores, risk flags</w:t>
            </w:r>
          </w:p>
        </w:tc>
        <w:tc>
          <w:tcPr>
            <w:tcW w:type="dxa" w:w="2351"/>
          </w:tcPr>
          <w:p>
            <w:pPr>
              <w:spacing w:before="40" w:after="40"/>
            </w:pPr>
            <w:r/>
            <w:r>
              <w:rPr>
                <w:rFonts w:ascii="Calibri" w:hAnsi="Calibri"/>
                <w:b w:val="0"/>
                <w:color w:val="333333"/>
                <w:sz w:val="18"/>
              </w:rPr>
              <w:t>Consistent, objective evaluation</w:t>
            </w:r>
          </w:p>
        </w:tc>
      </w:tr>
      <w:tr>
        <w:tc>
          <w:tcPr>
            <w:tcW w:type="dxa" w:w="2351"/>
            <w:shd w:fill="F0F7FF" w:val="clear"/>
          </w:tcPr>
          <w:p>
            <w:pPr>
              <w:spacing w:before="40" w:after="40"/>
            </w:pPr>
            <w:r/>
            <w:r>
              <w:rPr>
                <w:rFonts w:ascii="Calibri" w:hAnsi="Calibri"/>
                <w:b w:val="0"/>
                <w:color w:val="333333"/>
                <w:sz w:val="18"/>
              </w:rPr>
              <w:t>Capacity Assessment</w:t>
            </w:r>
          </w:p>
        </w:tc>
        <w:tc>
          <w:tcPr>
            <w:tcW w:type="dxa" w:w="2351"/>
            <w:shd w:fill="F0F7FF" w:val="clear"/>
          </w:tcPr>
          <w:p>
            <w:pPr>
              <w:spacing w:before="40" w:after="40"/>
            </w:pPr>
            <w:r/>
            <w:r>
              <w:rPr>
                <w:rFonts w:ascii="Calibri" w:hAnsi="Calibri"/>
                <w:b w:val="0"/>
                <w:color w:val="333333"/>
                <w:sz w:val="18"/>
              </w:rPr>
              <w:t>Policies, audits, certificates</w:t>
            </w:r>
          </w:p>
        </w:tc>
        <w:tc>
          <w:tcPr>
            <w:tcW w:type="dxa" w:w="2351"/>
            <w:shd w:fill="F0F7FF" w:val="clear"/>
          </w:tcPr>
          <w:p>
            <w:pPr>
              <w:spacing w:before="40" w:after="40"/>
            </w:pPr>
            <w:r/>
            <w:r>
              <w:rPr>
                <w:rFonts w:ascii="Calibri" w:hAnsi="Calibri"/>
                <w:b w:val="0"/>
                <w:color w:val="333333"/>
                <w:sz w:val="18"/>
              </w:rPr>
              <w:t>Gap analysis, donor readiness tier, improvement roadmap</w:t>
            </w:r>
          </w:p>
        </w:tc>
        <w:tc>
          <w:tcPr>
            <w:tcW w:type="dxa" w:w="2351"/>
            <w:shd w:fill="F0F7FF" w:val="clear"/>
          </w:tcPr>
          <w:p>
            <w:pPr>
              <w:spacing w:before="40" w:after="40"/>
            </w:pPr>
            <w:r/>
            <w:r>
              <w:rPr>
                <w:rFonts w:ascii="Calibri" w:hAnsi="Calibri"/>
                <w:b w:val="0"/>
                <w:color w:val="333333"/>
                <w:sz w:val="18"/>
              </w:rPr>
              <w:t>Replaces expensive consultants</w:t>
            </w:r>
          </w:p>
        </w:tc>
      </w:tr>
      <w:tr>
        <w:tc>
          <w:tcPr>
            <w:tcW w:type="dxa" w:w="2351"/>
          </w:tcPr>
          <w:p>
            <w:pPr>
              <w:spacing w:before="40" w:after="40"/>
            </w:pPr>
            <w:r/>
            <w:r>
              <w:rPr>
                <w:rFonts w:ascii="Calibri" w:hAnsi="Calibri"/>
                <w:b w:val="0"/>
                <w:color w:val="333333"/>
                <w:sz w:val="18"/>
              </w:rPr>
              <w:t>Grant Matching</w:t>
            </w:r>
          </w:p>
        </w:tc>
        <w:tc>
          <w:tcPr>
            <w:tcW w:type="dxa" w:w="2351"/>
          </w:tcPr>
          <w:p>
            <w:pPr>
              <w:spacing w:before="40" w:after="40"/>
            </w:pPr>
            <w:r/>
            <w:r>
              <w:rPr>
                <w:rFonts w:ascii="Calibri" w:hAnsi="Calibri"/>
                <w:b w:val="0"/>
                <w:color w:val="333333"/>
                <w:sz w:val="18"/>
              </w:rPr>
              <w:t>NGO profile + grant criteria</w:t>
            </w:r>
          </w:p>
        </w:tc>
        <w:tc>
          <w:tcPr>
            <w:tcW w:type="dxa" w:w="2351"/>
          </w:tcPr>
          <w:p>
            <w:pPr>
              <w:spacing w:before="40" w:after="40"/>
            </w:pPr>
            <w:r/>
            <w:r>
              <w:rPr>
                <w:rFonts w:ascii="Calibri" w:hAnsi="Calibri"/>
                <w:b w:val="0"/>
                <w:color w:val="333333"/>
                <w:sz w:val="18"/>
              </w:rPr>
              <w:t>Ranked match list with compatibility scores</w:t>
            </w:r>
          </w:p>
        </w:tc>
        <w:tc>
          <w:tcPr>
            <w:tcW w:type="dxa" w:w="2351"/>
          </w:tcPr>
          <w:p>
            <w:pPr>
              <w:spacing w:before="40" w:after="40"/>
            </w:pPr>
            <w:r/>
            <w:r>
              <w:rPr>
                <w:rFonts w:ascii="Calibri" w:hAnsi="Calibri"/>
                <w:b w:val="0"/>
                <w:color w:val="333333"/>
                <w:sz w:val="18"/>
              </w:rPr>
              <w:t>Reduces discovery from weeks to minutes</w:t>
            </w:r>
          </w:p>
        </w:tc>
      </w:tr>
      <w:tr>
        <w:tc>
          <w:tcPr>
            <w:tcW w:type="dxa" w:w="2351"/>
            <w:shd w:fill="F0F7FF" w:val="clear"/>
          </w:tcPr>
          <w:p>
            <w:pPr>
              <w:spacing w:before="40" w:after="40"/>
            </w:pPr>
            <w:r/>
            <w:r>
              <w:rPr>
                <w:rFonts w:ascii="Calibri" w:hAnsi="Calibri"/>
                <w:b w:val="0"/>
                <w:color w:val="333333"/>
                <w:sz w:val="18"/>
              </w:rPr>
              <w:t>Chat Assistance</w:t>
            </w:r>
          </w:p>
        </w:tc>
        <w:tc>
          <w:tcPr>
            <w:tcW w:type="dxa" w:w="2351"/>
            <w:shd w:fill="F0F7FF" w:val="clear"/>
          </w:tcPr>
          <w:p>
            <w:pPr>
              <w:spacing w:before="40" w:after="40"/>
            </w:pPr>
            <w:r/>
            <w:r>
              <w:rPr>
                <w:rFonts w:ascii="Calibri" w:hAnsi="Calibri"/>
                <w:b w:val="0"/>
                <w:color w:val="333333"/>
                <w:sz w:val="18"/>
              </w:rPr>
              <w:t>User context + question</w:t>
            </w:r>
          </w:p>
        </w:tc>
        <w:tc>
          <w:tcPr>
            <w:tcW w:type="dxa" w:w="2351"/>
            <w:shd w:fill="F0F7FF" w:val="clear"/>
          </w:tcPr>
          <w:p>
            <w:pPr>
              <w:spacing w:before="40" w:after="40"/>
            </w:pPr>
            <w:r/>
            <w:r>
              <w:rPr>
                <w:rFonts w:ascii="Calibri" w:hAnsi="Calibri"/>
                <w:b w:val="0"/>
                <w:color w:val="333333"/>
                <w:sz w:val="18"/>
              </w:rPr>
              <w:t>Role-aware guidance (NGO vs Donor vs Reviewer)</w:t>
            </w:r>
          </w:p>
        </w:tc>
        <w:tc>
          <w:tcPr>
            <w:tcW w:type="dxa" w:w="2351"/>
            <w:shd w:fill="F0F7FF" w:val="clear"/>
          </w:tcPr>
          <w:p>
            <w:pPr>
              <w:spacing w:before="40" w:after="40"/>
            </w:pPr>
            <w:r/>
            <w:r>
              <w:rPr>
                <w:rFonts w:ascii="Calibri" w:hAnsi="Calibri"/>
                <w:b w:val="0"/>
                <w:color w:val="333333"/>
                <w:sz w:val="18"/>
              </w:rPr>
              <w:t>Reduces support burden, improves UX</w:t>
            </w:r>
          </w:p>
        </w:tc>
      </w:tr>
    </w:tbl>
    <w:p/>
    <w:p>
      <w:pPr>
        <w:spacing w:after="120" w:line="300" w:lineRule="exact"/>
      </w:pPr>
      <w:r>
        <w:rPr>
          <w:rFonts w:ascii="Calibri" w:hAnsi="Calibri"/>
          <w:b w:val="0"/>
          <w:i w:val="0"/>
          <w:color w:val="333333"/>
          <w:sz w:val="21"/>
        </w:rPr>
        <w:t>All AI functions use the same underlying architecture: structured prompts with role context, document content extraction, and JSON-formatted responses that integrate directly into the platform’s interface. The system is designed for extensibility—new AI functions can be added without architectural changes. AI responses include confidence indicators and are always presented alongside human review capabilities, ensuring that automation augments rather than replaces human judgment.</w:t>
      </w:r>
    </w:p>
    <w:p>
      <w:r>
        <w:br w:type="page"/>
      </w:r>
    </w:p>
    <w:p>
      <w:pPr>
        <w:pStyle w:val="Heading1"/>
        <w:spacing w:before="360" w:after="160"/>
      </w:pPr>
      <w:r>
        <w:rPr>
          <w:rFonts w:ascii="Calibri" w:hAnsi="Calibri"/>
          <w:color w:val="1E40AF"/>
        </w:rPr>
        <w:t>8. Go-to-Market Strategy</w:t>
      </w:r>
    </w:p>
    <w:p>
      <w:pPr>
        <w:pStyle w:val="Heading2"/>
        <w:spacing w:before="280" w:after="120"/>
      </w:pPr>
      <w:r>
        <w:rPr>
          <w:rFonts w:ascii="Calibri" w:hAnsi="Calibri"/>
          <w:color w:val="0D9488"/>
        </w:rPr>
        <w:t>Phased Rollout</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1E40AF" w:val="clear"/>
          </w:tcPr>
          <w:p>
            <w:pPr>
              <w:spacing w:before="40" w:after="40"/>
            </w:pPr>
            <w:r/>
            <w:r>
              <w:rPr>
                <w:rFonts w:ascii="Calibri" w:hAnsi="Calibri"/>
                <w:b/>
                <w:color w:val="FFFFFF"/>
                <w:sz w:val="18"/>
              </w:rPr>
              <w:t>Phase</w:t>
            </w:r>
          </w:p>
        </w:tc>
        <w:tc>
          <w:tcPr>
            <w:tcW w:type="dxa" w:w="2351"/>
            <w:shd w:fill="1E40AF" w:val="clear"/>
          </w:tcPr>
          <w:p>
            <w:pPr>
              <w:spacing w:before="40" w:after="40"/>
            </w:pPr>
            <w:r/>
            <w:r>
              <w:rPr>
                <w:rFonts w:ascii="Calibri" w:hAnsi="Calibri"/>
                <w:b/>
                <w:color w:val="FFFFFF"/>
                <w:sz w:val="18"/>
              </w:rPr>
              <w:t>Timeline</w:t>
            </w:r>
          </w:p>
        </w:tc>
        <w:tc>
          <w:tcPr>
            <w:tcW w:type="dxa" w:w="2351"/>
            <w:shd w:fill="1E40AF" w:val="clear"/>
          </w:tcPr>
          <w:p>
            <w:pPr>
              <w:spacing w:before="40" w:after="40"/>
            </w:pPr>
            <w:r/>
            <w:r>
              <w:rPr>
                <w:rFonts w:ascii="Calibri" w:hAnsi="Calibri"/>
                <w:b/>
                <w:color w:val="FFFFFF"/>
                <w:sz w:val="18"/>
              </w:rPr>
              <w:t>Focus</w:t>
            </w:r>
          </w:p>
        </w:tc>
        <w:tc>
          <w:tcPr>
            <w:tcW w:type="dxa" w:w="2351"/>
            <w:shd w:fill="1E40AF" w:val="clear"/>
          </w:tcPr>
          <w:p>
            <w:pPr>
              <w:spacing w:before="40" w:after="40"/>
            </w:pPr>
            <w:r/>
            <w:r>
              <w:rPr>
                <w:rFonts w:ascii="Calibri" w:hAnsi="Calibri"/>
                <w:b/>
                <w:color w:val="FFFFFF"/>
                <w:sz w:val="18"/>
              </w:rPr>
              <w:t>Key Actions</w:t>
            </w:r>
          </w:p>
        </w:tc>
      </w:tr>
      <w:tr>
        <w:tc>
          <w:tcPr>
            <w:tcW w:type="dxa" w:w="2351"/>
          </w:tcPr>
          <w:p>
            <w:pPr>
              <w:spacing w:before="40" w:after="40"/>
            </w:pPr>
            <w:r/>
            <w:r>
              <w:rPr>
                <w:rFonts w:ascii="Calibri" w:hAnsi="Calibri"/>
                <w:b w:val="0"/>
                <w:color w:val="333333"/>
                <w:sz w:val="18"/>
              </w:rPr>
              <w:t>Kenya Testing</w:t>
            </w:r>
          </w:p>
        </w:tc>
        <w:tc>
          <w:tcPr>
            <w:tcW w:type="dxa" w:w="2351"/>
          </w:tcPr>
          <w:p>
            <w:pPr>
              <w:spacing w:before="40" w:after="40"/>
            </w:pPr>
            <w:r/>
            <w:r>
              <w:rPr>
                <w:rFonts w:ascii="Calibri" w:hAnsi="Calibri"/>
                <w:b w:val="0"/>
                <w:color w:val="333333"/>
                <w:sz w:val="18"/>
              </w:rPr>
              <w:t>Q1–Q2 2026</w:t>
            </w:r>
          </w:p>
        </w:tc>
        <w:tc>
          <w:tcPr>
            <w:tcW w:type="dxa" w:w="2351"/>
          </w:tcPr>
          <w:p>
            <w:pPr>
              <w:spacing w:before="40" w:after="40"/>
            </w:pPr>
            <w:r/>
            <w:r>
              <w:rPr>
                <w:rFonts w:ascii="Calibri" w:hAnsi="Calibri"/>
                <w:b w:val="0"/>
                <w:color w:val="333333"/>
                <w:sz w:val="18"/>
              </w:rPr>
              <w:t>Validate model</w:t>
            </w:r>
          </w:p>
        </w:tc>
        <w:tc>
          <w:tcPr>
            <w:tcW w:type="dxa" w:w="2351"/>
          </w:tcPr>
          <w:p>
            <w:pPr>
              <w:spacing w:before="40" w:after="40"/>
            </w:pPr>
            <w:r/>
            <w:r>
              <w:rPr>
                <w:rFonts w:ascii="Calibri" w:hAnsi="Calibri"/>
                <w:b w:val="0"/>
                <w:color w:val="333333"/>
                <w:sz w:val="18"/>
              </w:rPr>
              <w:t>3 CSO Network MoUs, government partnerships (NGO Board), pilot with 8 pipeline partners, iterate based on user feedback</w:t>
            </w:r>
          </w:p>
        </w:tc>
      </w:tr>
      <w:tr>
        <w:tc>
          <w:tcPr>
            <w:tcW w:type="dxa" w:w="2351"/>
            <w:shd w:fill="F0F7FF" w:val="clear"/>
          </w:tcPr>
          <w:p>
            <w:pPr>
              <w:spacing w:before="40" w:after="40"/>
            </w:pPr>
            <w:r/>
            <w:r>
              <w:rPr>
                <w:rFonts w:ascii="Calibri" w:hAnsi="Calibri"/>
                <w:b w:val="0"/>
                <w:color w:val="333333"/>
                <w:sz w:val="18"/>
              </w:rPr>
              <w:t>Global Scaling</w:t>
            </w:r>
          </w:p>
        </w:tc>
        <w:tc>
          <w:tcPr>
            <w:tcW w:type="dxa" w:w="2351"/>
            <w:shd w:fill="F0F7FF" w:val="clear"/>
          </w:tcPr>
          <w:p>
            <w:pPr>
              <w:spacing w:before="40" w:after="40"/>
            </w:pPr>
            <w:r/>
            <w:r>
              <w:rPr>
                <w:rFonts w:ascii="Calibri" w:hAnsi="Calibri"/>
                <w:b w:val="0"/>
                <w:color w:val="333333"/>
                <w:sz w:val="18"/>
              </w:rPr>
              <w:t>Q2–Q4 2026</w:t>
            </w:r>
          </w:p>
        </w:tc>
        <w:tc>
          <w:tcPr>
            <w:tcW w:type="dxa" w:w="2351"/>
            <w:shd w:fill="F0F7FF" w:val="clear"/>
          </w:tcPr>
          <w:p>
            <w:pPr>
              <w:spacing w:before="40" w:after="40"/>
            </w:pPr>
            <w:r/>
            <w:r>
              <w:rPr>
                <w:rFonts w:ascii="Calibri" w:hAnsi="Calibri"/>
                <w:b w:val="0"/>
                <w:color w:val="333333"/>
                <w:sz w:val="18"/>
              </w:rPr>
              <w:t>Leverage Adeso network</w:t>
            </w:r>
          </w:p>
        </w:tc>
        <w:tc>
          <w:tcPr>
            <w:tcW w:type="dxa" w:w="2351"/>
            <w:shd w:fill="F0F7FF" w:val="clear"/>
          </w:tcPr>
          <w:p>
            <w:pPr>
              <w:spacing w:before="40" w:after="40"/>
            </w:pPr>
            <w:r/>
            <w:r>
              <w:rPr>
                <w:rFonts w:ascii="Calibri" w:hAnsi="Calibri"/>
                <w:b w:val="0"/>
                <w:color w:val="333333"/>
                <w:sz w:val="18"/>
              </w:rPr>
              <w:t>10 CSO Network MoUs globally (NEAR, WACSI, EACSOF, SANGONet), onboard Oxfam/IRC/Save as donor partners</w:t>
            </w:r>
          </w:p>
        </w:tc>
      </w:tr>
      <w:tr>
        <w:tc>
          <w:tcPr>
            <w:tcW w:type="dxa" w:w="2351"/>
          </w:tcPr>
          <w:p>
            <w:pPr>
              <w:spacing w:before="40" w:after="40"/>
            </w:pPr>
            <w:r/>
            <w:r>
              <w:rPr>
                <w:rFonts w:ascii="Calibri" w:hAnsi="Calibri"/>
                <w:b w:val="0"/>
                <w:color w:val="333333"/>
                <w:sz w:val="18"/>
              </w:rPr>
              <w:t>Sub-Saharan Africa</w:t>
            </w:r>
          </w:p>
        </w:tc>
        <w:tc>
          <w:tcPr>
            <w:tcW w:type="dxa" w:w="2351"/>
          </w:tcPr>
          <w:p>
            <w:pPr>
              <w:spacing w:before="40" w:after="40"/>
            </w:pPr>
            <w:r/>
            <w:r>
              <w:rPr>
                <w:rFonts w:ascii="Calibri" w:hAnsi="Calibri"/>
                <w:b w:val="0"/>
                <w:color w:val="333333"/>
                <w:sz w:val="18"/>
              </w:rPr>
              <w:t>Q3 2026–Q2 2027</w:t>
            </w:r>
          </w:p>
        </w:tc>
        <w:tc>
          <w:tcPr>
            <w:tcW w:type="dxa" w:w="2351"/>
          </w:tcPr>
          <w:p>
            <w:pPr>
              <w:spacing w:before="40" w:after="40"/>
            </w:pPr>
            <w:r/>
            <w:r>
              <w:rPr>
                <w:rFonts w:ascii="Calibri" w:hAnsi="Calibri"/>
                <w:b w:val="0"/>
                <w:color w:val="333333"/>
                <w:sz w:val="18"/>
              </w:rPr>
              <w:t>24 countries</w:t>
            </w:r>
          </w:p>
        </w:tc>
        <w:tc>
          <w:tcPr>
            <w:tcW w:type="dxa" w:w="2351"/>
          </w:tcPr>
          <w:p>
            <w:pPr>
              <w:spacing w:before="40" w:after="40"/>
            </w:pPr>
            <w:r/>
            <w:r>
              <w:rPr>
                <w:rFonts w:ascii="Calibri" w:hAnsi="Calibri"/>
                <w:b w:val="0"/>
                <w:color w:val="333333"/>
                <w:sz w:val="18"/>
              </w:rPr>
              <w:t>Expand across East, Central, West, and Southern Africa through regional CSO network partnerships</w:t>
            </w:r>
          </w:p>
        </w:tc>
      </w:tr>
      <w:tr>
        <w:tc>
          <w:tcPr>
            <w:tcW w:type="dxa" w:w="2351"/>
            <w:shd w:fill="F0F7FF" w:val="clear"/>
          </w:tcPr>
          <w:p>
            <w:pPr>
              <w:spacing w:before="40" w:after="40"/>
            </w:pPr>
            <w:r/>
            <w:r>
              <w:rPr>
                <w:rFonts w:ascii="Calibri" w:hAnsi="Calibri"/>
                <w:b w:val="0"/>
                <w:color w:val="333333"/>
                <w:sz w:val="18"/>
              </w:rPr>
              <w:t>Latin America</w:t>
            </w:r>
          </w:p>
        </w:tc>
        <w:tc>
          <w:tcPr>
            <w:tcW w:type="dxa" w:w="2351"/>
            <w:shd w:fill="F0F7FF" w:val="clear"/>
          </w:tcPr>
          <w:p>
            <w:pPr>
              <w:spacing w:before="40" w:after="40"/>
            </w:pPr>
            <w:r/>
            <w:r>
              <w:rPr>
                <w:rFonts w:ascii="Calibri" w:hAnsi="Calibri"/>
                <w:b w:val="0"/>
                <w:color w:val="333333"/>
                <w:sz w:val="18"/>
              </w:rPr>
              <w:t>Q3–Q4 2027</w:t>
            </w:r>
          </w:p>
        </w:tc>
        <w:tc>
          <w:tcPr>
            <w:tcW w:type="dxa" w:w="2351"/>
            <w:shd w:fill="F0F7FF" w:val="clear"/>
          </w:tcPr>
          <w:p>
            <w:pPr>
              <w:spacing w:before="40" w:after="40"/>
            </w:pPr>
            <w:r/>
            <w:r>
              <w:rPr>
                <w:rFonts w:ascii="Calibri" w:hAnsi="Calibri"/>
                <w:b w:val="0"/>
                <w:color w:val="333333"/>
                <w:sz w:val="18"/>
              </w:rPr>
              <w:t>15 countries</w:t>
            </w:r>
          </w:p>
        </w:tc>
        <w:tc>
          <w:tcPr>
            <w:tcW w:type="dxa" w:w="2351"/>
            <w:shd w:fill="F0F7FF" w:val="clear"/>
          </w:tcPr>
          <w:p>
            <w:pPr>
              <w:spacing w:before="40" w:after="40"/>
            </w:pPr>
            <w:r/>
            <w:r>
              <w:rPr>
                <w:rFonts w:ascii="Calibri" w:hAnsi="Calibri"/>
                <w:b w:val="0"/>
                <w:color w:val="333333"/>
                <w:sz w:val="18"/>
              </w:rPr>
              <w:t>Regional network partnerships, Spanish language support, LatAm donor engagement</w:t>
            </w:r>
          </w:p>
        </w:tc>
      </w:tr>
    </w:tbl>
    <w:p/>
    <w:p>
      <w:pPr>
        <w:pStyle w:val="Heading2"/>
        <w:spacing w:before="280" w:after="120"/>
      </w:pPr>
      <w:r>
        <w:rPr>
          <w:rFonts w:ascii="Calibri" w:hAnsi="Calibri"/>
          <w:color w:val="0D9488"/>
        </w:rPr>
        <w:t>Partnership Strategy</w:t>
      </w:r>
    </w:p>
    <w:p>
      <w:pPr>
        <w:pStyle w:val="Heading3"/>
        <w:spacing w:before="200" w:after="80"/>
      </w:pPr>
      <w:r>
        <w:rPr>
          <w:rFonts w:ascii="Calibri" w:hAnsi="Calibri"/>
          <w:color w:val="1E40AF"/>
          <w:sz w:val="24"/>
        </w:rPr>
        <w:t>CSO Networks (Distribution Channels)</w:t>
      </w:r>
    </w:p>
    <w:p>
      <w:pPr>
        <w:pStyle w:val="ListBullet"/>
        <w:spacing w:after="60" w:line="300" w:lineRule="exact"/>
      </w:pPr>
      <w:r>
        <w:rPr>
          <w:rFonts w:ascii="Calibri" w:hAnsi="Calibri"/>
          <w:color w:val="333333"/>
          <w:sz w:val="21"/>
        </w:rPr>
        <w:t>Mzizi Connect (DRC), WACSI (West Africa), EACSOF (East Africa), SANGONet (Southern Africa)</w:t>
      </w:r>
    </w:p>
    <w:p>
      <w:pPr>
        <w:pStyle w:val="ListBullet"/>
        <w:spacing w:after="60" w:line="300" w:lineRule="exact"/>
      </w:pPr>
      <w:r>
        <w:rPr>
          <w:rFonts w:ascii="Calibri" w:hAnsi="Calibri"/>
          <w:color w:val="333333"/>
          <w:sz w:val="21"/>
        </w:rPr>
        <w:t>NEAR Network, MCLD, Start Network, Pledge for Change</w:t>
      </w:r>
    </w:p>
    <w:p>
      <w:pPr>
        <w:pStyle w:val="ListBullet"/>
        <w:spacing w:after="60" w:line="300" w:lineRule="exact"/>
      </w:pPr>
      <w:r>
        <w:rPr>
          <w:rFonts w:ascii="Calibri" w:hAnsi="Calibri"/>
          <w:color w:val="333333"/>
          <w:sz w:val="21"/>
        </w:rPr>
        <w:t>Each network MoU provides access to 50–500+ member organizations</w:t>
      </w:r>
    </w:p>
    <w:p>
      <w:pPr>
        <w:pStyle w:val="Heading3"/>
        <w:spacing w:before="200" w:after="80"/>
      </w:pPr>
      <w:r>
        <w:rPr>
          <w:rFonts w:ascii="Calibri" w:hAnsi="Calibri"/>
          <w:color w:val="1E40AF"/>
          <w:sz w:val="24"/>
        </w:rPr>
        <w:t>Donor Partners</w:t>
      </w:r>
    </w:p>
    <w:p>
      <w:pPr>
        <w:pStyle w:val="ListBullet"/>
        <w:spacing w:after="60" w:line="300" w:lineRule="exact"/>
      </w:pPr>
      <w:r>
        <w:rPr>
          <w:rFonts w:ascii="Calibri" w:hAnsi="Calibri"/>
          <w:color w:val="333333"/>
          <w:sz w:val="21"/>
        </w:rPr>
        <w:t>NEAR Change Fund, Hilton Foundation, Gates Foundation, Oak Foundation, Porticus, Packard Foundation</w:t>
      </w:r>
    </w:p>
    <w:p>
      <w:pPr>
        <w:pStyle w:val="ListBullet"/>
        <w:spacing w:after="60" w:line="300" w:lineRule="exact"/>
      </w:pPr>
      <w:r>
        <w:rPr>
          <w:rFonts w:ascii="Calibri" w:hAnsi="Calibri"/>
          <w:color w:val="333333"/>
          <w:sz w:val="21"/>
        </w:rPr>
        <w:t>Approach: demonstrate ROI through pilot outcomes, emphasize compliance automation and risk reduction</w:t>
      </w:r>
    </w:p>
    <w:p>
      <w:pPr>
        <w:pStyle w:val="Heading3"/>
        <w:spacing w:before="200" w:after="80"/>
      </w:pPr>
      <w:r>
        <w:rPr>
          <w:rFonts w:ascii="Calibri" w:hAnsi="Calibri"/>
          <w:color w:val="1E40AF"/>
          <w:sz w:val="24"/>
        </w:rPr>
        <w:t>INGO Partners</w:t>
      </w:r>
    </w:p>
    <w:p>
      <w:pPr>
        <w:pStyle w:val="ListBullet"/>
        <w:spacing w:after="60" w:line="300" w:lineRule="exact"/>
      </w:pPr>
      <w:r>
        <w:rPr>
          <w:rFonts w:ascii="Calibri" w:hAnsi="Calibri"/>
          <w:color w:val="333333"/>
          <w:sz w:val="21"/>
        </w:rPr>
        <w:t>Oxfam, International Rescue Committee (IRC), Save the Children</w:t>
      </w:r>
    </w:p>
    <w:p>
      <w:pPr>
        <w:pStyle w:val="ListBullet"/>
        <w:spacing w:after="60" w:line="300" w:lineRule="exact"/>
      </w:pPr>
      <w:r>
        <w:rPr>
          <w:rFonts w:ascii="Calibri" w:hAnsi="Calibri"/>
          <w:color w:val="333333"/>
          <w:sz w:val="21"/>
        </w:rPr>
        <w:t>Use case: INGOs use Kuja to find, assess, and manage local implementing partners</w:t>
      </w:r>
    </w:p>
    <w:p>
      <w:pPr>
        <w:pStyle w:val="Heading3"/>
        <w:spacing w:before="200" w:after="80"/>
      </w:pPr>
      <w:r>
        <w:rPr>
          <w:rFonts w:ascii="Calibri" w:hAnsi="Calibri"/>
          <w:color w:val="1E40AF"/>
          <w:sz w:val="24"/>
        </w:rPr>
        <w:t>Ecosystem Partners</w:t>
      </w:r>
    </w:p>
    <w:p>
      <w:pPr>
        <w:pStyle w:val="ListBullet"/>
        <w:spacing w:after="60" w:line="300" w:lineRule="exact"/>
      </w:pPr>
      <w:r>
        <w:rPr>
          <w:rFonts w:ascii="Calibri" w:hAnsi="Calibri"/>
          <w:color w:val="333333"/>
          <w:sz w:val="21"/>
        </w:rPr>
        <w:t>TechSoup (technology access for nonprofits), EPIC Africa (data on African philanthropy)</w:t>
      </w:r>
    </w:p>
    <w:p>
      <w:pPr>
        <w:pStyle w:val="ListBullet"/>
        <w:spacing w:after="60" w:line="300" w:lineRule="exact"/>
      </w:pPr>
      <w:r>
        <w:rPr>
          <w:rFonts w:ascii="Calibri" w:hAnsi="Calibri"/>
          <w:color w:val="333333"/>
          <w:sz w:val="21"/>
        </w:rPr>
        <w:t>Proximate Fund (funding local innovation), Pledge for Change (INGO reform)</w:t>
      </w:r>
    </w:p>
    <w:p/>
    <w:p>
      <w:pPr>
        <w:pStyle w:val="Heading2"/>
        <w:spacing w:before="280" w:after="120"/>
      </w:pPr>
      <w:r>
        <w:rPr>
          <w:rFonts w:ascii="Calibri" w:hAnsi="Calibri"/>
          <w:color w:val="0D9488"/>
        </w:rPr>
        <w:t>2026 Targets</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703"/>
        <w:gridCol w:w="4703"/>
      </w:tblGrid>
      <w:tr>
        <w:tc>
          <w:tcPr>
            <w:tcW w:type="dxa" w:w="4703"/>
            <w:shd w:fill="1E40AF" w:val="clear"/>
          </w:tcPr>
          <w:p>
            <w:pPr>
              <w:spacing w:before="40" w:after="40"/>
            </w:pPr>
            <w:r/>
            <w:r>
              <w:rPr>
                <w:rFonts w:ascii="Calibri" w:hAnsi="Calibri"/>
                <w:b/>
                <w:color w:val="FFFFFF"/>
                <w:sz w:val="18"/>
              </w:rPr>
              <w:t>Metric</w:t>
            </w:r>
          </w:p>
        </w:tc>
        <w:tc>
          <w:tcPr>
            <w:tcW w:type="dxa" w:w="4703"/>
            <w:shd w:fill="1E40AF" w:val="clear"/>
          </w:tcPr>
          <w:p>
            <w:pPr>
              <w:spacing w:before="40" w:after="40"/>
            </w:pPr>
            <w:r/>
            <w:r>
              <w:rPr>
                <w:rFonts w:ascii="Calibri" w:hAnsi="Calibri"/>
                <w:b/>
                <w:color w:val="FFFFFF"/>
                <w:sz w:val="18"/>
              </w:rPr>
              <w:t>Target</w:t>
            </w:r>
          </w:p>
        </w:tc>
      </w:tr>
      <w:tr>
        <w:tc>
          <w:tcPr>
            <w:tcW w:type="dxa" w:w="4703"/>
          </w:tcPr>
          <w:p>
            <w:pPr>
              <w:spacing w:before="40" w:after="40"/>
            </w:pPr>
            <w:r/>
            <w:r>
              <w:rPr>
                <w:rFonts w:ascii="Calibri" w:hAnsi="Calibri"/>
                <w:b w:val="0"/>
                <w:color w:val="333333"/>
                <w:sz w:val="18"/>
              </w:rPr>
              <w:t>Sales revenue</w:t>
            </w:r>
          </w:p>
        </w:tc>
        <w:tc>
          <w:tcPr>
            <w:tcW w:type="dxa" w:w="4703"/>
          </w:tcPr>
          <w:p>
            <w:pPr>
              <w:spacing w:before="40" w:after="40"/>
            </w:pPr>
            <w:r/>
            <w:r>
              <w:rPr>
                <w:rFonts w:ascii="Calibri" w:hAnsi="Calibri"/>
                <w:b w:val="0"/>
                <w:color w:val="333333"/>
                <w:sz w:val="18"/>
              </w:rPr>
              <w:t>$1M</w:t>
            </w:r>
          </w:p>
        </w:tc>
      </w:tr>
      <w:tr>
        <w:tc>
          <w:tcPr>
            <w:tcW w:type="dxa" w:w="4703"/>
            <w:shd w:fill="F0F7FF" w:val="clear"/>
          </w:tcPr>
          <w:p>
            <w:pPr>
              <w:spacing w:before="40" w:after="40"/>
            </w:pPr>
            <w:r/>
            <w:r>
              <w:rPr>
                <w:rFonts w:ascii="Calibri" w:hAnsi="Calibri"/>
                <w:b w:val="0"/>
                <w:color w:val="333333"/>
                <w:sz w:val="18"/>
              </w:rPr>
              <w:t>CSO profiles on marketplace</w:t>
            </w:r>
          </w:p>
        </w:tc>
        <w:tc>
          <w:tcPr>
            <w:tcW w:type="dxa" w:w="4703"/>
            <w:shd w:fill="F0F7FF" w:val="clear"/>
          </w:tcPr>
          <w:p>
            <w:pPr>
              <w:spacing w:before="40" w:after="40"/>
            </w:pPr>
            <w:r/>
            <w:r>
              <w:rPr>
                <w:rFonts w:ascii="Calibri" w:hAnsi="Calibri"/>
                <w:b w:val="0"/>
                <w:color w:val="333333"/>
                <w:sz w:val="18"/>
              </w:rPr>
              <w:t>2,500</w:t>
            </w:r>
          </w:p>
        </w:tc>
      </w:tr>
      <w:tr>
        <w:tc>
          <w:tcPr>
            <w:tcW w:type="dxa" w:w="4703"/>
          </w:tcPr>
          <w:p>
            <w:pPr>
              <w:spacing w:before="40" w:after="40"/>
            </w:pPr>
            <w:r/>
            <w:r>
              <w:rPr>
                <w:rFonts w:ascii="Calibri" w:hAnsi="Calibri"/>
                <w:b w:val="0"/>
                <w:color w:val="333333"/>
                <w:sz w:val="18"/>
              </w:rPr>
              <w:t>INGO/Donor profiles</w:t>
            </w:r>
          </w:p>
        </w:tc>
        <w:tc>
          <w:tcPr>
            <w:tcW w:type="dxa" w:w="4703"/>
          </w:tcPr>
          <w:p>
            <w:pPr>
              <w:spacing w:before="40" w:after="40"/>
            </w:pPr>
            <w:r/>
            <w:r>
              <w:rPr>
                <w:rFonts w:ascii="Calibri" w:hAnsi="Calibri"/>
                <w:b w:val="0"/>
                <w:color w:val="333333"/>
                <w:sz w:val="18"/>
              </w:rPr>
              <w:t>25</w:t>
            </w:r>
          </w:p>
        </w:tc>
      </w:tr>
      <w:tr>
        <w:tc>
          <w:tcPr>
            <w:tcW w:type="dxa" w:w="4703"/>
            <w:shd w:fill="F0F7FF" w:val="clear"/>
          </w:tcPr>
          <w:p>
            <w:pPr>
              <w:spacing w:before="40" w:after="40"/>
            </w:pPr>
            <w:r/>
            <w:r>
              <w:rPr>
                <w:rFonts w:ascii="Calibri" w:hAnsi="Calibri"/>
                <w:b w:val="0"/>
                <w:color w:val="333333"/>
                <w:sz w:val="18"/>
              </w:rPr>
              <w:t>Individual profiles</w:t>
            </w:r>
          </w:p>
        </w:tc>
        <w:tc>
          <w:tcPr>
            <w:tcW w:type="dxa" w:w="4703"/>
            <w:shd w:fill="F0F7FF" w:val="clear"/>
          </w:tcPr>
          <w:p>
            <w:pPr>
              <w:spacing w:before="40" w:after="40"/>
            </w:pPr>
            <w:r/>
            <w:r>
              <w:rPr>
                <w:rFonts w:ascii="Calibri" w:hAnsi="Calibri"/>
                <w:b w:val="0"/>
                <w:color w:val="333333"/>
                <w:sz w:val="18"/>
              </w:rPr>
              <w:t>7,500</w:t>
            </w:r>
          </w:p>
        </w:tc>
      </w:tr>
      <w:tr>
        <w:tc>
          <w:tcPr>
            <w:tcW w:type="dxa" w:w="4703"/>
          </w:tcPr>
          <w:p>
            <w:pPr>
              <w:spacing w:before="40" w:after="40"/>
            </w:pPr>
            <w:r/>
            <w:r>
              <w:rPr>
                <w:rFonts w:ascii="Calibri" w:hAnsi="Calibri"/>
                <w:b w:val="0"/>
                <w:color w:val="333333"/>
                <w:sz w:val="18"/>
              </w:rPr>
              <w:t>User retention rate</w:t>
            </w:r>
          </w:p>
        </w:tc>
        <w:tc>
          <w:tcPr>
            <w:tcW w:type="dxa" w:w="4703"/>
          </w:tcPr>
          <w:p>
            <w:pPr>
              <w:spacing w:before="40" w:after="40"/>
            </w:pPr>
            <w:r/>
            <w:r>
              <w:rPr>
                <w:rFonts w:ascii="Calibri" w:hAnsi="Calibri"/>
                <w:b w:val="0"/>
                <w:color w:val="333333"/>
                <w:sz w:val="18"/>
              </w:rPr>
              <w:t>75%</w:t>
            </w:r>
          </w:p>
        </w:tc>
      </w:tr>
      <w:tr>
        <w:tc>
          <w:tcPr>
            <w:tcW w:type="dxa" w:w="4703"/>
            <w:shd w:fill="F0F7FF" w:val="clear"/>
          </w:tcPr>
          <w:p>
            <w:pPr>
              <w:spacing w:before="40" w:after="40"/>
            </w:pPr>
            <w:r/>
            <w:r>
              <w:rPr>
                <w:rFonts w:ascii="Calibri" w:hAnsi="Calibri"/>
                <w:b w:val="0"/>
                <w:color w:val="333333"/>
                <w:sz w:val="18"/>
              </w:rPr>
              <w:t>CSO Network MoUs signed</w:t>
            </w:r>
          </w:p>
        </w:tc>
        <w:tc>
          <w:tcPr>
            <w:tcW w:type="dxa" w:w="4703"/>
            <w:shd w:fill="F0F7FF" w:val="clear"/>
          </w:tcPr>
          <w:p>
            <w:pPr>
              <w:spacing w:before="40" w:after="40"/>
            </w:pPr>
            <w:r/>
            <w:r>
              <w:rPr>
                <w:rFonts w:ascii="Calibri" w:hAnsi="Calibri"/>
                <w:b w:val="0"/>
                <w:color w:val="333333"/>
                <w:sz w:val="18"/>
              </w:rPr>
              <w:t>10</w:t>
            </w:r>
          </w:p>
        </w:tc>
      </w:tr>
    </w:tbl>
    <w:p>
      <w:r>
        <w:br w:type="page"/>
      </w:r>
    </w:p>
    <w:p>
      <w:pPr>
        <w:pStyle w:val="Heading1"/>
        <w:spacing w:before="360" w:after="160"/>
      </w:pPr>
      <w:r>
        <w:rPr>
          <w:rFonts w:ascii="Calibri" w:hAnsi="Calibri"/>
          <w:color w:val="1E40AF"/>
        </w:rPr>
        <w:t>9. Revenue Model</w:t>
      </w:r>
    </w:p>
    <w:p>
      <w:pPr>
        <w:pStyle w:val="Heading2"/>
        <w:spacing w:before="280" w:after="120"/>
      </w:pPr>
      <w:r>
        <w:rPr>
          <w:rFonts w:ascii="Calibri" w:hAnsi="Calibri"/>
          <w:color w:val="0D9488"/>
        </w:rPr>
        <w:t>Revenue Streams</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135"/>
        <w:gridCol w:w="3135"/>
        <w:gridCol w:w="3135"/>
      </w:tblGrid>
      <w:tr>
        <w:tc>
          <w:tcPr>
            <w:tcW w:type="dxa" w:w="3135"/>
            <w:shd w:fill="1E40AF" w:val="clear"/>
          </w:tcPr>
          <w:p>
            <w:pPr>
              <w:spacing w:before="40" w:after="40"/>
            </w:pPr>
            <w:r/>
            <w:r>
              <w:rPr>
                <w:rFonts w:ascii="Calibri" w:hAnsi="Calibri"/>
                <w:b/>
                <w:color w:val="FFFFFF"/>
                <w:sz w:val="18"/>
              </w:rPr>
              <w:t>Stream</w:t>
            </w:r>
          </w:p>
        </w:tc>
        <w:tc>
          <w:tcPr>
            <w:tcW w:type="dxa" w:w="3135"/>
            <w:shd w:fill="1E40AF" w:val="clear"/>
          </w:tcPr>
          <w:p>
            <w:pPr>
              <w:spacing w:before="40" w:after="40"/>
            </w:pPr>
            <w:r/>
            <w:r>
              <w:rPr>
                <w:rFonts w:ascii="Calibri" w:hAnsi="Calibri"/>
                <w:b/>
                <w:color w:val="FFFFFF"/>
                <w:sz w:val="18"/>
              </w:rPr>
              <w:t>Pricing</w:t>
            </w:r>
          </w:p>
        </w:tc>
        <w:tc>
          <w:tcPr>
            <w:tcW w:type="dxa" w:w="3135"/>
            <w:shd w:fill="1E40AF" w:val="clear"/>
          </w:tcPr>
          <w:p>
            <w:pPr>
              <w:spacing w:before="40" w:after="40"/>
            </w:pPr>
            <w:r/>
            <w:r>
              <w:rPr>
                <w:rFonts w:ascii="Calibri" w:hAnsi="Calibri"/>
                <w:b/>
                <w:color w:val="FFFFFF"/>
                <w:sz w:val="18"/>
              </w:rPr>
              <w:t>2026 Target</w:t>
            </w:r>
          </w:p>
        </w:tc>
      </w:tr>
      <w:tr>
        <w:tc>
          <w:tcPr>
            <w:tcW w:type="dxa" w:w="3135"/>
          </w:tcPr>
          <w:p>
            <w:pPr>
              <w:spacing w:before="40" w:after="40"/>
            </w:pPr>
            <w:r/>
            <w:r>
              <w:rPr>
                <w:rFonts w:ascii="Calibri" w:hAnsi="Calibri"/>
                <w:b w:val="0"/>
                <w:color w:val="333333"/>
                <w:sz w:val="18"/>
              </w:rPr>
              <w:t>Application Portal</w:t>
            </w:r>
          </w:p>
        </w:tc>
        <w:tc>
          <w:tcPr>
            <w:tcW w:type="dxa" w:w="3135"/>
          </w:tcPr>
          <w:p>
            <w:pPr>
              <w:spacing w:before="40" w:after="40"/>
            </w:pPr>
            <w:r/>
            <w:r>
              <w:rPr>
                <w:rFonts w:ascii="Calibri" w:hAnsi="Calibri"/>
                <w:b w:val="0"/>
                <w:color w:val="333333"/>
                <w:sz w:val="18"/>
              </w:rPr>
              <w:t>$10K–$20K/year per donor</w:t>
            </w:r>
          </w:p>
        </w:tc>
        <w:tc>
          <w:tcPr>
            <w:tcW w:type="dxa" w:w="3135"/>
          </w:tcPr>
          <w:p>
            <w:pPr>
              <w:spacing w:before="40" w:after="40"/>
            </w:pPr>
            <w:r/>
            <w:r>
              <w:rPr>
                <w:rFonts w:ascii="Calibri" w:hAnsi="Calibri"/>
                <w:b w:val="0"/>
                <w:color w:val="333333"/>
                <w:sz w:val="18"/>
              </w:rPr>
              <w:t>$50K</w:t>
            </w:r>
          </w:p>
        </w:tc>
      </w:tr>
      <w:tr>
        <w:tc>
          <w:tcPr>
            <w:tcW w:type="dxa" w:w="3135"/>
            <w:shd w:fill="F0F7FF" w:val="clear"/>
          </w:tcPr>
          <w:p>
            <w:pPr>
              <w:spacing w:before="40" w:after="40"/>
            </w:pPr>
            <w:r/>
            <w:r>
              <w:rPr>
                <w:rFonts w:ascii="Calibri" w:hAnsi="Calibri"/>
                <w:b w:val="0"/>
                <w:color w:val="333333"/>
                <w:sz w:val="18"/>
              </w:rPr>
              <w:t>End-to-End Fund Management</w:t>
            </w:r>
          </w:p>
        </w:tc>
        <w:tc>
          <w:tcPr>
            <w:tcW w:type="dxa" w:w="3135"/>
            <w:shd w:fill="F0F7FF" w:val="clear"/>
          </w:tcPr>
          <w:p>
            <w:pPr>
              <w:spacing w:before="40" w:after="40"/>
            </w:pPr>
            <w:r/>
            <w:r>
              <w:rPr>
                <w:rFonts w:ascii="Calibri" w:hAnsi="Calibri"/>
                <w:b w:val="0"/>
                <w:color w:val="333333"/>
                <w:sz w:val="18"/>
              </w:rPr>
              <w:t>Custom pricing by portfolio size</w:t>
            </w:r>
          </w:p>
        </w:tc>
        <w:tc>
          <w:tcPr>
            <w:tcW w:type="dxa" w:w="3135"/>
            <w:shd w:fill="F0F7FF" w:val="clear"/>
          </w:tcPr>
          <w:p>
            <w:pPr>
              <w:spacing w:before="40" w:after="40"/>
            </w:pPr>
            <w:r/>
            <w:r>
              <w:rPr>
                <w:rFonts w:ascii="Calibri" w:hAnsi="Calibri"/>
                <w:b w:val="0"/>
                <w:color w:val="333333"/>
                <w:sz w:val="18"/>
              </w:rPr>
              <w:t>$650K</w:t>
            </w:r>
          </w:p>
        </w:tc>
      </w:tr>
      <w:tr>
        <w:tc>
          <w:tcPr>
            <w:tcW w:type="dxa" w:w="3135"/>
          </w:tcPr>
          <w:p>
            <w:pPr>
              <w:spacing w:before="40" w:after="40"/>
            </w:pPr>
            <w:r/>
            <w:r>
              <w:rPr>
                <w:rFonts w:ascii="Calibri" w:hAnsi="Calibri"/>
                <w:b w:val="0"/>
                <w:color w:val="333333"/>
                <w:sz w:val="18"/>
              </w:rPr>
              <w:t>ERP Subscriptions + Outsourcing</w:t>
            </w:r>
          </w:p>
        </w:tc>
        <w:tc>
          <w:tcPr>
            <w:tcW w:type="dxa" w:w="3135"/>
          </w:tcPr>
          <w:p>
            <w:pPr>
              <w:spacing w:before="40" w:after="40"/>
            </w:pPr>
            <w:r/>
            <w:r>
              <w:rPr>
                <w:rFonts w:ascii="Calibri" w:hAnsi="Calibri"/>
                <w:b w:val="0"/>
                <w:color w:val="333333"/>
                <w:sz w:val="18"/>
              </w:rPr>
              <w:t>Tiered (Basic / Premium / Premium+)</w:t>
            </w:r>
          </w:p>
        </w:tc>
        <w:tc>
          <w:tcPr>
            <w:tcW w:type="dxa" w:w="3135"/>
          </w:tcPr>
          <w:p>
            <w:pPr>
              <w:spacing w:before="40" w:after="40"/>
            </w:pPr>
            <w:r/>
            <w:r>
              <w:rPr>
                <w:rFonts w:ascii="Calibri" w:hAnsi="Calibri"/>
                <w:b w:val="0"/>
                <w:color w:val="333333"/>
                <w:sz w:val="18"/>
              </w:rPr>
              <w:t>$300K</w:t>
            </w:r>
          </w:p>
        </w:tc>
      </w:tr>
      <w:tr>
        <w:tc>
          <w:tcPr>
            <w:tcW w:type="dxa" w:w="3135"/>
            <w:shd w:fill="F0F7FF" w:val="clear"/>
          </w:tcPr>
          <w:p>
            <w:pPr>
              <w:spacing w:before="40" w:after="40"/>
            </w:pPr>
            <w:r/>
            <w:r>
              <w:rPr>
                <w:rFonts w:ascii="Calibri" w:hAnsi="Calibri"/>
                <w:b w:val="0"/>
                <w:color w:val="333333"/>
                <w:sz w:val="18"/>
              </w:rPr>
              <w:t>Verification Fees</w:t>
            </w:r>
          </w:p>
        </w:tc>
        <w:tc>
          <w:tcPr>
            <w:tcW w:type="dxa" w:w="3135"/>
            <w:shd w:fill="F0F7FF" w:val="clear"/>
          </w:tcPr>
          <w:p>
            <w:pPr>
              <w:spacing w:before="40" w:after="40"/>
            </w:pPr>
            <w:r/>
            <w:r>
              <w:rPr>
                <w:rFonts w:ascii="Calibri" w:hAnsi="Calibri"/>
                <w:b w:val="0"/>
                <w:color w:val="333333"/>
                <w:sz w:val="18"/>
              </w:rPr>
              <w:t>Per-verification fee</w:t>
            </w:r>
          </w:p>
        </w:tc>
        <w:tc>
          <w:tcPr>
            <w:tcW w:type="dxa" w:w="3135"/>
            <w:shd w:fill="F0F7FF" w:val="clear"/>
          </w:tcPr>
          <w:p>
            <w:pPr>
              <w:spacing w:before="40" w:after="40"/>
            </w:pPr>
            <w:r/>
            <w:r>
              <w:rPr>
                <w:rFonts w:ascii="Calibri" w:hAnsi="Calibri"/>
                <w:b w:val="0"/>
                <w:color w:val="333333"/>
                <w:sz w:val="18"/>
              </w:rPr>
              <w:t>Future (2027)</w:t>
            </w:r>
          </w:p>
        </w:tc>
      </w:tr>
      <w:tr>
        <w:tc>
          <w:tcPr>
            <w:tcW w:type="dxa" w:w="3135"/>
          </w:tcPr>
          <w:p>
            <w:pPr>
              <w:spacing w:before="40" w:after="40"/>
            </w:pPr>
            <w:r/>
            <w:r>
              <w:rPr>
                <w:rFonts w:ascii="Calibri" w:hAnsi="Calibri"/>
                <w:b w:val="0"/>
                <w:color w:val="333333"/>
                <w:sz w:val="18"/>
              </w:rPr>
              <w:t>LMS Course Revenue</w:t>
            </w:r>
          </w:p>
        </w:tc>
        <w:tc>
          <w:tcPr>
            <w:tcW w:type="dxa" w:w="3135"/>
          </w:tcPr>
          <w:p>
            <w:pPr>
              <w:spacing w:before="40" w:after="40"/>
            </w:pPr>
            <w:r/>
            <w:r>
              <w:rPr>
                <w:rFonts w:ascii="Calibri" w:hAnsi="Calibri"/>
                <w:b w:val="0"/>
                <w:color w:val="333333"/>
                <w:sz w:val="18"/>
              </w:rPr>
              <w:t>Revenue sharing with content providers</w:t>
            </w:r>
          </w:p>
        </w:tc>
        <w:tc>
          <w:tcPr>
            <w:tcW w:type="dxa" w:w="3135"/>
          </w:tcPr>
          <w:p>
            <w:pPr>
              <w:spacing w:before="40" w:after="40"/>
            </w:pPr>
            <w:r/>
            <w:r>
              <w:rPr>
                <w:rFonts w:ascii="Calibri" w:hAnsi="Calibri"/>
                <w:b w:val="0"/>
                <w:color w:val="333333"/>
                <w:sz w:val="18"/>
              </w:rPr>
              <w:t>Future (2028)</w:t>
            </w:r>
          </w:p>
        </w:tc>
      </w:tr>
      <w:tr>
        <w:tc>
          <w:tcPr>
            <w:tcW w:type="dxa" w:w="3135"/>
            <w:shd w:fill="F0F7FF" w:val="clear"/>
          </w:tcPr>
          <w:p>
            <w:pPr>
              <w:spacing w:before="40" w:after="40"/>
            </w:pPr>
            <w:r/>
            <w:r>
              <w:rPr>
                <w:rFonts w:ascii="Calibri" w:hAnsi="Calibri"/>
                <w:b w:val="0"/>
                <w:color w:val="333333"/>
                <w:sz w:val="18"/>
              </w:rPr>
              <w:t>Ad Revenue</w:t>
            </w:r>
          </w:p>
        </w:tc>
        <w:tc>
          <w:tcPr>
            <w:tcW w:type="dxa" w:w="3135"/>
            <w:shd w:fill="F0F7FF" w:val="clear"/>
          </w:tcPr>
          <w:p>
            <w:pPr>
              <w:spacing w:before="40" w:after="40"/>
            </w:pPr>
            <w:r/>
            <w:r>
              <w:rPr>
                <w:rFonts w:ascii="Calibri" w:hAnsi="Calibri"/>
                <w:b w:val="0"/>
                <w:color w:val="333333"/>
                <w:sz w:val="18"/>
              </w:rPr>
              <w:t>$2/click at 5,000+ monthly active users</w:t>
            </w:r>
          </w:p>
        </w:tc>
        <w:tc>
          <w:tcPr>
            <w:tcW w:type="dxa" w:w="3135"/>
            <w:shd w:fill="F0F7FF" w:val="clear"/>
          </w:tcPr>
          <w:p>
            <w:pPr>
              <w:spacing w:before="40" w:after="40"/>
            </w:pPr>
            <w:r/>
            <w:r>
              <w:rPr>
                <w:rFonts w:ascii="Calibri" w:hAnsi="Calibri"/>
                <w:b w:val="0"/>
                <w:color w:val="333333"/>
                <w:sz w:val="18"/>
              </w:rPr>
              <w:t>Future (2028)</w:t>
            </w:r>
          </w:p>
        </w:tc>
      </w:tr>
    </w:tbl>
    <w:p/>
    <w:p>
      <w:pPr>
        <w:pStyle w:val="Heading2"/>
        <w:spacing w:before="280" w:after="120"/>
      </w:pPr>
      <w:r>
        <w:rPr>
          <w:rFonts w:ascii="Calibri" w:hAnsi="Calibri"/>
          <w:color w:val="0D9488"/>
        </w:rPr>
        <w:t>Pricing Philosophy</w:t>
      </w:r>
    </w:p>
    <w:p>
      <w:pPr>
        <w:pStyle w:val="ListBullet"/>
        <w:spacing w:after="60" w:line="300" w:lineRule="exact"/>
      </w:pPr>
      <w:r>
        <w:rPr>
          <w:rFonts w:ascii="Calibri" w:hAnsi="Calibri"/>
          <w:b/>
          <w:color w:val="333333"/>
          <w:sz w:val="21"/>
        </w:rPr>
        <w:t xml:space="preserve">CSO Affordability: </w:t>
      </w:r>
      <w:r>
        <w:rPr>
          <w:rFonts w:ascii="Calibri" w:hAnsi="Calibri"/>
          <w:color w:val="333333"/>
          <w:sz w:val="21"/>
        </w:rPr>
        <w:t>CSOs pay substantially lower prices than equivalent Global North platforms. Accessibility and inclusion are the priority—the platform cannot achieve its mission if the organizations it serves cannot afford it.</w:t>
      </w:r>
    </w:p>
    <w:p>
      <w:pPr>
        <w:pStyle w:val="ListBullet"/>
        <w:spacing w:after="60" w:line="300" w:lineRule="exact"/>
      </w:pPr>
      <w:r>
        <w:rPr>
          <w:rFonts w:ascii="Calibri" w:hAnsi="Calibri"/>
          <w:b/>
          <w:color w:val="333333"/>
          <w:sz w:val="21"/>
        </w:rPr>
        <w:t xml:space="preserve">Donor Premium: </w:t>
      </w:r>
      <w:r>
        <w:rPr>
          <w:rFonts w:ascii="Calibri" w:hAnsi="Calibri"/>
          <w:color w:val="333333"/>
          <w:sz w:val="21"/>
        </w:rPr>
        <w:t>Donor organizations pay a 75% premium over CSO pricing. This cross-subsidy model ensures sustainability while maintaining accessibility.</w:t>
      </w:r>
    </w:p>
    <w:p>
      <w:pPr>
        <w:pStyle w:val="ListBullet"/>
        <w:spacing w:after="60" w:line="300" w:lineRule="exact"/>
      </w:pPr>
      <w:r>
        <w:rPr>
          <w:rFonts w:ascii="Calibri" w:hAnsi="Calibri"/>
          <w:b/>
          <w:color w:val="333333"/>
          <w:sz w:val="21"/>
        </w:rPr>
        <w:t xml:space="preserve">Cross-Subsidy Model: </w:t>
      </w:r>
      <w:r>
        <w:rPr>
          <w:rFonts w:ascii="Calibri" w:hAnsi="Calibri"/>
          <w:color w:val="333333"/>
          <w:sz w:val="21"/>
        </w:rPr>
        <w:t>For every two donor-sponsored organizations onboarded, one CSO receives full platform access at no cost. This creates a virtuous cycle where donor investment directly expands the ecosystem.</w:t>
      </w:r>
    </w:p>
    <w:p>
      <w:pPr>
        <w:pStyle w:val="ListBullet"/>
        <w:spacing w:after="60" w:line="300" w:lineRule="exact"/>
      </w:pPr>
      <w:r>
        <w:rPr>
          <w:rFonts w:ascii="Calibri" w:hAnsi="Calibri"/>
          <w:b/>
          <w:color w:val="333333"/>
          <w:sz w:val="21"/>
        </w:rPr>
        <w:t xml:space="preserve">Free Tier: </w:t>
      </w:r>
      <w:r>
        <w:rPr>
          <w:rFonts w:ascii="Calibri" w:hAnsi="Calibri"/>
          <w:color w:val="333333"/>
          <w:sz w:val="21"/>
        </w:rPr>
        <w:t>The marketplace and basic capacity assessment (rules-based) are permanently free. This serves as the acquisition pipeline for paid services while ensuring that all organizations can benefit from basic platform functionality.</w:t>
      </w:r>
    </w:p>
    <w:p>
      <w:pPr>
        <w:pStyle w:val="Heading2"/>
        <w:spacing w:before="280" w:after="120"/>
      </w:pPr>
      <w:r>
        <w:rPr>
          <w:rFonts w:ascii="Calibri" w:hAnsi="Calibri"/>
          <w:color w:val="0D9488"/>
        </w:rPr>
        <w:t>Competitive Pricing Context</w:t>
      </w:r>
    </w:p>
    <w:p>
      <w:pPr>
        <w:spacing w:after="120" w:line="300" w:lineRule="exact"/>
      </w:pPr>
      <w:r>
        <w:rPr>
          <w:rFonts w:ascii="Calibri" w:hAnsi="Calibri"/>
          <w:b w:val="0"/>
          <w:i w:val="0"/>
          <w:color w:val="333333"/>
          <w:sz w:val="21"/>
        </w:rPr>
        <w:t>Fluxx charges $13,500–$300,000+ per year for donor-side grant management alone. Good Grants charges EUR 3,000–6,000 per year for a simpler solution. Submittable starts at approximately $10,000 per year. Kuja targets pricing significantly below these benchmarks while delivering equivalent or superior functionality—including capabilities (marketplace, capacity assessment, ERP integration) that no competitor offers at any price.</w:t>
      </w:r>
    </w:p>
    <w:p>
      <w:pPr>
        <w:pStyle w:val="Heading2"/>
        <w:spacing w:before="280" w:after="120"/>
      </w:pPr>
      <w:r>
        <w:rPr>
          <w:rFonts w:ascii="Calibri" w:hAnsi="Calibri"/>
          <w:color w:val="0D9488"/>
        </w:rPr>
        <w:t>Revenue Trajectory</w:t>
      </w:r>
    </w:p>
    <w:p>
      <w:pPr>
        <w:spacing w:after="120" w:line="300" w:lineRule="exact"/>
      </w:pPr>
      <w:r>
        <w:rPr>
          <w:rFonts w:ascii="Calibri" w:hAnsi="Calibri"/>
          <w:b w:val="0"/>
          <w:i w:val="0"/>
          <w:color w:val="333333"/>
          <w:sz w:val="21"/>
        </w:rPr>
        <w:t>$1M in 2026 (validation year) → Scale through ERP adoption and geographic expansion in 2027 → Profitability target at $2M+ annual recurring revenue in 2029. The marketplace-to-ERP conversion funnel creates a predictable revenue growth model: free marketplace users convert to paid assessment users, who convert to grant management subscribers, who convert to ERP customers—each stage increasing lifetime value.</w:t>
      </w:r>
    </w:p>
    <w:p>
      <w:r>
        <w:br w:type="page"/>
      </w:r>
    </w:p>
    <w:p>
      <w:pPr>
        <w:pStyle w:val="Heading1"/>
        <w:spacing w:before="360" w:after="160"/>
      </w:pPr>
      <w:r>
        <w:rPr>
          <w:rFonts w:ascii="Calibri" w:hAnsi="Calibri"/>
          <w:color w:val="1E40AF"/>
        </w:rPr>
        <w:t>10. Appendix: Feature Comparison Matrix</w:t>
      </w:r>
    </w:p>
    <w:p>
      <w:pPr>
        <w:spacing w:after="120" w:line="300" w:lineRule="exact"/>
      </w:pPr>
      <w:r>
        <w:rPr>
          <w:rFonts w:ascii="Calibri" w:hAnsi="Calibri"/>
          <w:b w:val="0"/>
          <w:i/>
          <w:color w:val="333333"/>
          <w:sz w:val="21"/>
        </w:rPr>
        <w:t>The following matrix compares Kuja against eight leading competitors across 24 platform capabilities. Y = Yes (fully supported), P = Partial (limited support), — = Not available.</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941"/>
        <w:gridCol w:w="941"/>
        <w:gridCol w:w="941"/>
        <w:gridCol w:w="941"/>
        <w:gridCol w:w="941"/>
        <w:gridCol w:w="941"/>
        <w:gridCol w:w="941"/>
        <w:gridCol w:w="941"/>
        <w:gridCol w:w="941"/>
        <w:gridCol w:w="941"/>
      </w:tblGrid>
      <w:tr>
        <w:tc>
          <w:tcPr>
            <w:tcW w:type="dxa" w:w="941"/>
            <w:shd w:fill="1E40AF" w:val="clear"/>
          </w:tcPr>
          <w:p>
            <w:pPr>
              <w:spacing w:before="40" w:after="40"/>
            </w:pPr>
            <w:r/>
            <w:r>
              <w:rPr>
                <w:rFonts w:ascii="Calibri" w:hAnsi="Calibri"/>
                <w:b/>
                <w:color w:val="FFFFFF"/>
                <w:sz w:val="15"/>
              </w:rPr>
              <w:t>Feature</w:t>
            </w:r>
          </w:p>
        </w:tc>
        <w:tc>
          <w:tcPr>
            <w:tcW w:type="dxa" w:w="941"/>
            <w:shd w:fill="1E40AF" w:val="clear"/>
          </w:tcPr>
          <w:p>
            <w:pPr>
              <w:spacing w:before="40" w:after="40"/>
            </w:pPr>
            <w:r/>
            <w:r>
              <w:rPr>
                <w:rFonts w:ascii="Calibri" w:hAnsi="Calibri"/>
                <w:b/>
                <w:color w:val="FFFFFF"/>
                <w:sz w:val="15"/>
              </w:rPr>
              <w:t>Kuja</w:t>
            </w:r>
          </w:p>
        </w:tc>
        <w:tc>
          <w:tcPr>
            <w:tcW w:type="dxa" w:w="941"/>
            <w:shd w:fill="1E40AF" w:val="clear"/>
          </w:tcPr>
          <w:p>
            <w:pPr>
              <w:spacing w:before="40" w:after="40"/>
            </w:pPr>
            <w:r/>
            <w:r>
              <w:rPr>
                <w:rFonts w:ascii="Calibri" w:hAnsi="Calibri"/>
                <w:b/>
                <w:color w:val="FFFFFF"/>
                <w:sz w:val="15"/>
              </w:rPr>
              <w:t>Fluxx</w:t>
            </w:r>
          </w:p>
        </w:tc>
        <w:tc>
          <w:tcPr>
            <w:tcW w:type="dxa" w:w="941"/>
            <w:shd w:fill="1E40AF" w:val="clear"/>
          </w:tcPr>
          <w:p>
            <w:pPr>
              <w:spacing w:before="40" w:after="40"/>
            </w:pPr>
            <w:r/>
            <w:r>
              <w:rPr>
                <w:rFonts w:ascii="Calibri" w:hAnsi="Calibri"/>
                <w:b/>
                <w:color w:val="FFFFFF"/>
                <w:sz w:val="15"/>
              </w:rPr>
              <w:t>Submittable</w:t>
            </w:r>
          </w:p>
        </w:tc>
        <w:tc>
          <w:tcPr>
            <w:tcW w:type="dxa" w:w="941"/>
            <w:shd w:fill="1E40AF" w:val="clear"/>
          </w:tcPr>
          <w:p>
            <w:pPr>
              <w:spacing w:before="40" w:after="40"/>
            </w:pPr>
            <w:r/>
            <w:r>
              <w:rPr>
                <w:rFonts w:ascii="Calibri" w:hAnsi="Calibri"/>
                <w:b/>
                <w:color w:val="FFFFFF"/>
                <w:sz w:val="15"/>
              </w:rPr>
              <w:t>SmartSimple</w:t>
            </w:r>
          </w:p>
        </w:tc>
        <w:tc>
          <w:tcPr>
            <w:tcW w:type="dxa" w:w="941"/>
            <w:shd w:fill="1E40AF" w:val="clear"/>
          </w:tcPr>
          <w:p>
            <w:pPr>
              <w:spacing w:before="40" w:after="40"/>
            </w:pPr>
            <w:r/>
            <w:r>
              <w:rPr>
                <w:rFonts w:ascii="Calibri" w:hAnsi="Calibri"/>
                <w:b/>
                <w:color w:val="FFFFFF"/>
                <w:sz w:val="15"/>
              </w:rPr>
              <w:t>UNPP</w:t>
            </w:r>
          </w:p>
        </w:tc>
        <w:tc>
          <w:tcPr>
            <w:tcW w:type="dxa" w:w="941"/>
            <w:shd w:fill="1E40AF" w:val="clear"/>
          </w:tcPr>
          <w:p>
            <w:pPr>
              <w:spacing w:before="40" w:after="40"/>
            </w:pPr>
            <w:r/>
            <w:r>
              <w:rPr>
                <w:rFonts w:ascii="Calibri" w:hAnsi="Calibri"/>
                <w:b/>
                <w:color w:val="FFFFFF"/>
                <w:sz w:val="15"/>
              </w:rPr>
              <w:t>STEP</w:t>
            </w:r>
          </w:p>
        </w:tc>
        <w:tc>
          <w:tcPr>
            <w:tcW w:type="dxa" w:w="941"/>
            <w:shd w:fill="1E40AF" w:val="clear"/>
          </w:tcPr>
          <w:p>
            <w:pPr>
              <w:spacing w:before="40" w:after="40"/>
            </w:pPr>
            <w:r/>
            <w:r>
              <w:rPr>
                <w:rFonts w:ascii="Calibri" w:hAnsi="Calibri"/>
                <w:b/>
                <w:color w:val="FFFFFF"/>
                <w:sz w:val="15"/>
              </w:rPr>
              <w:t>Xapien</w:t>
            </w:r>
          </w:p>
        </w:tc>
        <w:tc>
          <w:tcPr>
            <w:tcW w:type="dxa" w:w="941"/>
            <w:shd w:fill="1E40AF" w:val="clear"/>
          </w:tcPr>
          <w:p>
            <w:pPr>
              <w:spacing w:before="40" w:after="40"/>
            </w:pPr>
            <w:r/>
            <w:r>
              <w:rPr>
                <w:rFonts w:ascii="Calibri" w:hAnsi="Calibri"/>
                <w:b/>
                <w:color w:val="FFFFFF"/>
                <w:sz w:val="15"/>
              </w:rPr>
              <w:t>GlobalGiving</w:t>
            </w:r>
          </w:p>
        </w:tc>
        <w:tc>
          <w:tcPr>
            <w:tcW w:type="dxa" w:w="941"/>
            <w:shd w:fill="1E40AF" w:val="clear"/>
          </w:tcPr>
          <w:p>
            <w:pPr>
              <w:spacing w:before="40" w:after="40"/>
            </w:pPr>
            <w:r/>
            <w:r>
              <w:rPr>
                <w:rFonts w:ascii="Calibri" w:hAnsi="Calibri"/>
                <w:b/>
                <w:color w:val="FFFFFF"/>
                <w:sz w:val="15"/>
              </w:rPr>
              <w:t>Instrumentl</w:t>
            </w:r>
          </w:p>
        </w:tc>
      </w:tr>
      <w:tr>
        <w:tc>
          <w:tcPr>
            <w:tcW w:type="dxa" w:w="941"/>
          </w:tcPr>
          <w:p>
            <w:pPr>
              <w:spacing w:before="40" w:after="40"/>
            </w:pPr>
            <w:r/>
            <w:r>
              <w:rPr>
                <w:rFonts w:ascii="Calibri" w:hAnsi="Calibri"/>
                <w:b w:val="0"/>
                <w:color w:val="333333"/>
                <w:sz w:val="15"/>
              </w:rPr>
              <w:t>Self-Service Digital Platform</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r>
      <w:tr>
        <w:tc>
          <w:tcPr>
            <w:tcW w:type="dxa" w:w="941"/>
            <w:shd w:fill="F0F7FF" w:val="clear"/>
          </w:tcPr>
          <w:p>
            <w:pPr>
              <w:spacing w:before="40" w:after="40"/>
            </w:pPr>
            <w:r/>
            <w:r>
              <w:rPr>
                <w:rFonts w:ascii="Calibri" w:hAnsi="Calibri"/>
                <w:b w:val="0"/>
                <w:color w:val="333333"/>
                <w:sz w:val="15"/>
              </w:rPr>
              <w:t>AI-Powered Analysis</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P</w:t>
            </w:r>
          </w:p>
        </w:tc>
      </w:tr>
      <w:tr>
        <w:tc>
          <w:tcPr>
            <w:tcW w:type="dxa" w:w="941"/>
          </w:tcPr>
          <w:p>
            <w:pPr>
              <w:spacing w:before="40" w:after="40"/>
            </w:pPr>
            <w:r/>
            <w:r>
              <w:rPr>
                <w:rFonts w:ascii="Calibri" w:hAnsi="Calibri"/>
                <w:b w:val="0"/>
                <w:color w:val="333333"/>
                <w:sz w:val="15"/>
              </w:rPr>
              <w:t>Multi-Framework Assessment</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Passportable Results</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r>
      <w:tr>
        <w:tc>
          <w:tcPr>
            <w:tcW w:type="dxa" w:w="941"/>
          </w:tcPr>
          <w:p>
            <w:pPr>
              <w:spacing w:before="40" w:after="40"/>
            </w:pPr>
            <w:r/>
            <w:r>
              <w:rPr>
                <w:rFonts w:ascii="Calibri" w:hAnsi="Calibri"/>
                <w:b w:val="0"/>
                <w:color w:val="333333"/>
                <w:sz w:val="15"/>
              </w:rPr>
              <w:t>Two-Sided Marketplace</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Grant Matching Algorithm</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Y</w:t>
            </w:r>
          </w:p>
        </w:tc>
      </w:tr>
      <w:tr>
        <w:tc>
          <w:tcPr>
            <w:tcW w:type="dxa" w:w="941"/>
          </w:tcPr>
          <w:p>
            <w:pPr>
              <w:spacing w:before="40" w:after="40"/>
            </w:pPr>
            <w:r/>
            <w:r>
              <w:rPr>
                <w:rFonts w:ascii="Calibri" w:hAnsi="Calibri"/>
                <w:b w:val="0"/>
                <w:color w:val="333333"/>
                <w:sz w:val="15"/>
              </w:rPr>
              <w:t>Document Upload &amp; Scoring</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Donor Configuration</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r>
      <w:tr>
        <w:tc>
          <w:tcPr>
            <w:tcW w:type="dxa" w:w="941"/>
          </w:tcPr>
          <w:p>
            <w:pPr>
              <w:spacing w:before="40" w:after="40"/>
            </w:pPr>
            <w:r/>
            <w:r>
              <w:rPr>
                <w:rFonts w:ascii="Calibri" w:hAnsi="Calibri"/>
                <w:b w:val="0"/>
                <w:color w:val="333333"/>
                <w:sz w:val="15"/>
              </w:rPr>
              <w:t>Capacity Improvement Roadmap</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Multi-Language Support</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w:t>
            </w:r>
          </w:p>
        </w:tc>
      </w:tr>
      <w:tr>
        <w:tc>
          <w:tcPr>
            <w:tcW w:type="dxa" w:w="941"/>
          </w:tcPr>
          <w:p>
            <w:pPr>
              <w:spacing w:before="40" w:after="40"/>
            </w:pPr>
            <w:r/>
            <w:r>
              <w:rPr>
                <w:rFonts w:ascii="Calibri" w:hAnsi="Calibri"/>
                <w:b w:val="0"/>
                <w:color w:val="333333"/>
                <w:sz w:val="15"/>
              </w:rPr>
              <w:t>Gov. Registry Verification</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Live Sanctions Screening</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r>
      <w:tr>
        <w:tc>
          <w:tcPr>
            <w:tcW w:type="dxa" w:w="941"/>
          </w:tcPr>
          <w:p>
            <w:pPr>
              <w:spacing w:before="40" w:after="40"/>
            </w:pPr>
            <w:r/>
            <w:r>
              <w:rPr>
                <w:rFonts w:ascii="Calibri" w:hAnsi="Calibri"/>
                <w:b w:val="0"/>
                <w:color w:val="333333"/>
                <w:sz w:val="15"/>
              </w:rPr>
              <w:t>Grant Application Portal</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Review &amp; Award Workflow</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r>
      <w:tr>
        <w:tc>
          <w:tcPr>
            <w:tcW w:type="dxa" w:w="941"/>
          </w:tcPr>
          <w:p>
            <w:pPr>
              <w:spacing w:before="40" w:after="40"/>
            </w:pPr>
            <w:r/>
            <w:r>
              <w:rPr>
                <w:rFonts w:ascii="Calibri" w:hAnsi="Calibri"/>
                <w:b w:val="0"/>
                <w:color w:val="333333"/>
                <w:sz w:val="15"/>
              </w:rPr>
              <w:t>Reporting Module</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ERP Integration</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r>
      <w:tr>
        <w:tc>
          <w:tcPr>
            <w:tcW w:type="dxa" w:w="941"/>
          </w:tcPr>
          <w:p>
            <w:pPr>
              <w:spacing w:before="40" w:after="40"/>
            </w:pPr>
            <w:r/>
            <w:r>
              <w:rPr>
                <w:rFonts w:ascii="Calibri" w:hAnsi="Calibri"/>
                <w:b w:val="0"/>
                <w:color w:val="333333"/>
                <w:sz w:val="15"/>
              </w:rPr>
              <w:t>Multi-Tenancy</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Compliance Dashboard</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r>
      <w:tr>
        <w:tc>
          <w:tcPr>
            <w:tcW w:type="dxa" w:w="941"/>
          </w:tcPr>
          <w:p>
            <w:pPr>
              <w:spacing w:before="40" w:after="40"/>
            </w:pPr>
            <w:r/>
            <w:r>
              <w:rPr>
                <w:rFonts w:ascii="Calibri" w:hAnsi="Calibri"/>
                <w:b w:val="0"/>
                <w:color w:val="333333"/>
                <w:sz w:val="15"/>
              </w:rPr>
              <w:t>Audit Trail</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Mobile-Ready</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Y</w:t>
            </w:r>
          </w:p>
        </w:tc>
      </w:tr>
      <w:tr>
        <w:tc>
          <w:tcPr>
            <w:tcW w:type="dxa" w:w="941"/>
          </w:tcPr>
          <w:p>
            <w:pPr>
              <w:spacing w:before="40" w:after="40"/>
            </w:pPr>
            <w:r/>
            <w:r>
              <w:rPr>
                <w:rFonts w:ascii="Calibri" w:hAnsi="Calibri"/>
                <w:b w:val="0"/>
                <w:color w:val="333333"/>
                <w:sz w:val="15"/>
              </w:rPr>
              <w:t>Offline Capability</w:t>
            </w:r>
          </w:p>
        </w:tc>
        <w:tc>
          <w:tcPr>
            <w:tcW w:type="dxa" w:w="941"/>
          </w:tcPr>
          <w:p>
            <w:pPr>
              <w:spacing w:before="40" w:after="40"/>
              <w:jc w:val="center"/>
            </w:pPr>
            <w:r/>
            <w:r>
              <w:rPr>
                <w:rFonts w:ascii="Calibri" w:hAnsi="Calibri"/>
                <w:b/>
                <w:color w:val="D97706"/>
                <w:sz w:val="15"/>
              </w:rPr>
              <w:t>P</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Free Tier for CSOs</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r>
      <w:tr>
        <w:tc>
          <w:tcPr>
            <w:tcW w:type="dxa" w:w="941"/>
          </w:tcPr>
          <w:p>
            <w:pPr>
              <w:spacing w:before="40" w:after="40"/>
            </w:pPr>
            <w:r/>
            <w:r>
              <w:rPr>
                <w:rFonts w:ascii="Calibri" w:hAnsi="Calibri"/>
                <w:b w:val="0"/>
                <w:color w:val="333333"/>
                <w:sz w:val="15"/>
              </w:rPr>
              <w:t>Global South Design</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Chat Assistant</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r>
    </w:tbl>
    <w:p/>
    <w:p>
      <w:pPr>
        <w:spacing w:after="120" w:line="300" w:lineRule="exact"/>
      </w:pPr>
      <w:r>
        <w:rPr>
          <w:rFonts w:ascii="Calibri" w:hAnsi="Calibri"/>
          <w:b w:val="0"/>
          <w:i/>
          <w:color w:val="333333"/>
          <w:sz w:val="21"/>
        </w:rPr>
        <w:t>Kuja achieves full support (Y) for 23 of 24 features, with partial support (P) for Offline Capability (planned for future release). No competitor achieves more than 12 of 24 features. The closest competitors—Fluxx and SmartSimple—score 11 and 10 respectively, and neither offers marketplace, capacity assessment, government registry verification, or Global South-specific design.</w:t>
      </w:r>
    </w:p>
    <w:p/>
    <w:p/>
    <w:p>
      <w:pPr>
        <w:jc w:val="center"/>
      </w:pPr>
      <w:r>
        <w:rPr>
          <w:rFonts w:ascii="Calibri" w:hAnsi="Calibri"/>
          <w:i/>
          <w:color w:val="999999"/>
          <w:sz w:val="20"/>
        </w:rPr>
        <w:t>— End of Document —</w:t>
      </w:r>
    </w:p>
    <w:p>
      <w:pPr>
        <w:jc w:val="center"/>
      </w:pPr>
      <w:r>
        <w:rPr>
          <w:rFonts w:ascii="Calibri" w:hAnsi="Calibri"/>
          <w:color w:val="666666"/>
          <w:sz w:val="18"/>
        </w:rPr>
        <w:t>Kuja Grant Platform | Adeso — African Development Solutions |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