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C5810"/>
          <w:sz w:val="38"/>
          <w:szCs w:val="38"/>
        </w:rPr>
        <w:t xml:space="preserve">Saxansaxo on Kuja — Automation Design</w:t>
      </w:r>
    </w:p>
    <w:p>
      <w:pPr>
        <w:spacing w:after="220"/>
      </w:pPr>
      <w:r>
        <w:rPr>
          <w:b w:val="false"/>
          <w:bCs w:val="false"/>
          <w:i w:val="false"/>
          <w:iCs w:val="false"/>
          <w:color w:val="666666"/>
          <w:sz w:val="21"/>
          <w:szCs w:val="21"/>
        </w:rPr>
        <w:t xml:space="preserve">Draft for discussion · 20 July 2026 · to be reviewed with the Saxansaxo team after the Proximate UAT completes</w:t>
      </w:r>
    </w:p>
    <w:p>
      <w:pPr>
        <w:spacing w:after="200"/>
      </w:pPr>
      <w:r>
        <w:rPr>
          <w:b w:val="false"/>
          <w:bCs w:val="false"/>
          <w:i w:val="false"/>
          <w:iCs w:val="false"/>
          <w:color w:val="222222"/>
          <w:sz w:val="22"/>
          <w:szCs w:val="22"/>
        </w:rPr>
        <w:t xml:space="preserve">One principle governs this design: automate the paperwork, never the relationship. Permission meetings, inquiry conversations, vetting judgment, and learning conversations stay exactly as they are — human. The system records what happened, keeps the 10-day promise honest, and turns the work the team already does into the documentation, dashboard, and stories they asked for. It records decisions; it does not police spending — that is the SCLR model, and the platform respects it.</w:t>
      </w:r>
    </w:p>
    <w:p>
      <w:pPr>
        <w:pStyle w:val="Heading1"/>
      </w:pPr>
      <w:r>
        <w:t xml:space="preserve">Every step, automated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4760"/>
      </w:tblGrid>
      <w:tr>
        <w:tc>
          <w:tcPr>
            <w:tcW w:type="dxa" w:w="1900"/>
            <w:tcBorders>
              <w:top w:val="single" w:color="CCCCCC" w:sz="1"/>
              <w:left w:val="single" w:color="CCCCCC" w:sz="1"/>
              <w:bottom w:val="single" w:color="CCCCCC" w:sz="1"/>
              <w:right w:val="single" w:color="CCCCCC" w:sz="1"/>
            </w:tcBorders>
            <w:shd w:fill="F4E3D7" w:val="clear"/>
            <w:tcMar>
              <w:top w:type="dxa" w:w="80"/>
              <w:left w:type="dxa" w:w="120"/>
              <w:bottom w:type="dxa" w:w="80"/>
              <w:right w:type="dxa" w:w="120"/>
            </w:tcMar>
          </w:tcPr>
          <w:p>
            <w:r>
              <w:rPr>
                <w:b/>
                <w:bCs/>
                <w:sz w:val="21"/>
                <w:szCs w:val="21"/>
              </w:rPr>
              <w:t xml:space="preserve">Step</w:t>
            </w:r>
          </w:p>
        </w:tc>
        <w:tc>
          <w:tcPr>
            <w:tcW w:type="dxa" w:w="3100"/>
            <w:tcBorders>
              <w:top w:val="single" w:color="CCCCCC" w:sz="1"/>
              <w:left w:val="single" w:color="CCCCCC" w:sz="1"/>
              <w:bottom w:val="single" w:color="CCCCCC" w:sz="1"/>
              <w:right w:val="single" w:color="CCCCCC" w:sz="1"/>
            </w:tcBorders>
            <w:shd w:fill="F4E3D7" w:val="clear"/>
            <w:tcMar>
              <w:top w:type="dxa" w:w="80"/>
              <w:left w:type="dxa" w:w="120"/>
              <w:bottom w:type="dxa" w:w="80"/>
              <w:right w:type="dxa" w:w="120"/>
            </w:tcMar>
          </w:tcPr>
          <w:p>
            <w:r>
              <w:rPr>
                <w:b/>
                <w:bCs/>
                <w:sz w:val="21"/>
                <w:szCs w:val="21"/>
              </w:rPr>
              <w:t xml:space="preserve">Today</w:t>
            </w:r>
          </w:p>
        </w:tc>
        <w:tc>
          <w:tcPr>
            <w:tcW w:type="dxa" w:w="4760"/>
            <w:tcBorders>
              <w:top w:val="single" w:color="CCCCCC" w:sz="1"/>
              <w:left w:val="single" w:color="CCCCCC" w:sz="1"/>
              <w:bottom w:val="single" w:color="CCCCCC" w:sz="1"/>
              <w:right w:val="single" w:color="CCCCCC" w:sz="1"/>
            </w:tcBorders>
            <w:shd w:fill="F4E3D7" w:val="clear"/>
            <w:tcMar>
              <w:top w:type="dxa" w:w="80"/>
              <w:left w:type="dxa" w:w="120"/>
              <w:bottom w:type="dxa" w:w="80"/>
              <w:right w:type="dxa" w:w="120"/>
            </w:tcMar>
          </w:tcPr>
          <w:p>
            <w:r>
              <w:rPr>
                <w:b/>
                <w:bCs/>
                <w:sz w:val="21"/>
                <w:szCs w:val="21"/>
              </w:rPr>
              <w:t xml:space="preserve">With the system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1 · Permission before access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Team secures agreement from the community leader, area chief, or elders before any engagement.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team records the permission on their phone in under a minute: who gave it, when, for which locality — with an optional photo or voice note of the moment. This becomes the first entry in the group’s record; nothing else can start without it.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2 · Community inquiry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On-the-ground inquiry using the standard inquiry template, on paper or in a notebook.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inquiry template becomes a phone-friendly form in Somali (or English/Arabic). Works offline and syncs later. One added question scores the group’s pre-existing activity — what they have done in the last 90 days with their own resources — which filters out low-commitment groups before they reach vetting.</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3 · Proposal development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community writes its proposal on the standard template. Ownership stays with the group.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group (or the facilitator alongside them) fills the proposal on a simple link — no account, no login, works on any phone. They can speak their answers as voice notes; the system transcribes and drafts the text for them to approve. Ownership stays with the community; the system just removes the paperwork barrier.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4 · Virtual review and vetting</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 virtual call reviews the proposal against the SCLR selection criteria.</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Before the call, everyone sees the same screen: inquiry, proposal, and the criteria checklist side by side. During the call, each criterion is marked and the decision is captured with one tap. The result is a permanent, dated decision record — which also becomes the shield when a politician asks why a group was not selected.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5 · Selection and grant issuance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A group is selected; a microgrant of ~USD 5,000 is issued (ceiling 6,000–7,000).</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Selection automatically creates the grant record, checks it against the Resilio funding envelope so the budget can never be overspent, and quietly runs the required sanctions screening on the receiving signatory in the background — invisible to the community, no delay added.</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6 · Rapid disbursement (10 days)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Funds reach the group within a maximum of 10 days of selection.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moment a group is selected, a visible countdown starts. The dashboard shows every grant’s days-to-disbursement, and anything approaching day 8 is flagged to the team. The 10-day promise stops being an intention and becomes a measured number — per grant and as a programme average.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7 · Community-led implementation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group implements its own initiative; co-contribution of transport and labor is growing informally.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group receives a link (shareable by WhatsApp) to report in their own words and time: a few simple questions, photos, voice notes — no login ever. One question asks what the community contributed itself, so the co-contribution trend the team is proud of finally gets counted instead of just noticed. Deliberately NOT receipts policing — this stays true to SCLR.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1"/>
                <w:szCs w:val="21"/>
              </w:rPr>
              <w:t xml:space="preserve">8 · Experience learning and documentation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The team documents outcomes after implementation; losses are treated as learning, not compliance failures.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1"/>
                <w:szCs w:val="21"/>
              </w:rPr>
              <w:t xml:space="preserve">Each grant closes with a one-tap outcome tag — delivered / partially delivered / learning loss — plus the lesson in a sentence or a voice note. The AI then turns the whole journey (inquiry, photos, voice notes, outcome) into a readable story in Somali and English: the storytelling the team asked for, generated from work already done, reviewed by a person before anything is shared.</w:t>
            </w:r>
          </w:p>
        </w:tc>
      </w:tr>
    </w:tbl>
    <w:p>
      <w:pPr>
        <w:spacing w:after="100"/>
      </w:pPr>
      <w:r>
        <w:rPr>
          <w:b w:val="false"/>
          <w:bCs w:val="false"/>
          <w:i w:val="false"/>
          <w:iCs w:val="false"/>
          <w:color w:val="222222"/>
          <w:sz w:val="22"/>
          <w:szCs w:val="22"/>
        </w:rPr>
        <w:t xml:space="preserve"/>
      </w:r>
    </w:p>
    <w:p>
      <w:pPr>
        <w:pStyle w:val="Heading1"/>
      </w:pPr>
      <w:r>
        <w:t xml:space="preserve">What the team gets on top</w:t>
      </w:r>
    </w:p>
    <w:p>
      <w:pPr>
        <w:pStyle w:val="ListParagraph"/>
        <w:numPr>
          <w:ilvl w:val="0"/>
          <w:numId w:val="2"/>
        </w:numPr>
        <w:spacing w:after="80"/>
      </w:pPr>
      <w:r>
        <w:rPr>
          <w:b/>
          <w:bCs/>
          <w:sz w:val="22"/>
          <w:szCs w:val="22"/>
        </w:rPr>
        <w:t xml:space="preserve">One dashboard — </w:t>
      </w:r>
      <w:r>
        <w:rPr>
          <w:sz w:val="22"/>
          <w:szCs w:val="22"/>
        </w:rPr>
        <w:t xml:space="preserve">Everything in one place, live: groups, grants, the 10-day clock, outcomes, and the Resilio envelope — the central reporting dashboard from the support-needs list.</w:t>
      </w:r>
    </w:p>
    <w:p>
      <w:pPr>
        <w:pStyle w:val="ListParagraph"/>
        <w:numPr>
          <w:ilvl w:val="0"/>
          <w:numId w:val="2"/>
        </w:numPr>
        <w:spacing w:after="80"/>
      </w:pPr>
      <w:r>
        <w:rPr>
          <w:b/>
          <w:bCs/>
          <w:sz w:val="22"/>
          <w:szCs w:val="22"/>
        </w:rPr>
        <w:t xml:space="preserve">Donor view — </w:t>
      </w:r>
      <w:r>
        <w:rPr>
          <w:sz w:val="22"/>
          <w:szCs w:val="22"/>
        </w:rPr>
        <w:t xml:space="preserve">Resilio sees a clean live view of their funding — committed, disbursed, stories of change — without the team assembling reports by hand.</w:t>
      </w:r>
    </w:p>
    <w:p>
      <w:pPr>
        <w:pStyle w:val="ListParagraph"/>
        <w:numPr>
          <w:ilvl w:val="0"/>
          <w:numId w:val="2"/>
        </w:numPr>
        <w:spacing w:after="80"/>
      </w:pPr>
      <w:r>
        <w:rPr>
          <w:b/>
          <w:bCs/>
          <w:sz w:val="22"/>
          <w:szCs w:val="22"/>
        </w:rPr>
        <w:t xml:space="preserve">Language &amp; phones — </w:t>
      </w:r>
      <w:r>
        <w:rPr>
          <w:sz w:val="22"/>
          <w:szCs w:val="22"/>
        </w:rPr>
        <w:t xml:space="preserve">Somali first, with English and Arabic (plus French, Spanish, Swahili) already built. Everything community-facing works on a basic smartphone with no account.</w:t>
      </w:r>
    </w:p>
    <w:p>
      <w:pPr>
        <w:pStyle w:val="ListParagraph"/>
        <w:numPr>
          <w:ilvl w:val="0"/>
          <w:numId w:val="2"/>
        </w:numPr>
        <w:spacing w:after="80"/>
      </w:pPr>
      <w:r>
        <w:rPr>
          <w:b/>
          <w:bCs/>
          <w:sz w:val="22"/>
          <w:szCs w:val="22"/>
        </w:rPr>
        <w:t xml:space="preserve">Political interference log — </w:t>
      </w:r>
      <w:r>
        <w:rPr>
          <w:sz w:val="22"/>
          <w:szCs w:val="22"/>
        </w:rPr>
        <w:t xml:space="preserve">If a mayor or senator blocks work in an area, the team marks that locality paused with the reason. The record shows the programme withdrew on principle — useful history when the office-holder changes.</w:t>
      </w:r>
    </w:p>
    <w:p>
      <w:pPr>
        <w:pStyle w:val="ListParagraph"/>
        <w:numPr>
          <w:ilvl w:val="0"/>
          <w:numId w:val="2"/>
        </w:numPr>
        <w:spacing w:after="80"/>
      </w:pPr>
      <w:r>
        <w:rPr>
          <w:b/>
          <w:bCs/>
          <w:sz w:val="22"/>
          <w:szCs w:val="22"/>
        </w:rPr>
        <w:t xml:space="preserve">Nomadic groups — </w:t>
      </w:r>
      <w:r>
        <w:rPr>
          <w:sz w:val="22"/>
          <w:szCs w:val="22"/>
        </w:rPr>
        <w:t xml:space="preserve">Because reports arrive by shareable link, groups that move between towns stay reachable — the same link works wherever they are.</w:t>
      </w:r>
    </w:p>
    <w:p>
      <w:pPr>
        <w:pStyle w:val="ListParagraph"/>
        <w:numPr>
          <w:ilvl w:val="0"/>
          <w:numId w:val="2"/>
        </w:numPr>
        <w:spacing w:after="80"/>
      </w:pPr>
      <w:r>
        <w:rPr>
          <w:b/>
          <w:bCs/>
          <w:sz w:val="22"/>
          <w:szCs w:val="22"/>
        </w:rPr>
        <w:t xml:space="preserve">An honest number — </w:t>
      </w:r>
      <w:r>
        <w:rPr>
          <w:sz w:val="22"/>
          <w:szCs w:val="22"/>
        </w:rPr>
        <w:t xml:space="preserve">The loss rate becomes a known number. Non-punitive stays non-punitive — but "we absorb losses as learning" is only defensible to donors when you can say how much you absorbed and what was learned.</w:t>
      </w:r>
    </w:p>
    <w:p>
      <w:pPr>
        <w:pStyle w:val="Heading1"/>
      </w:pPr>
      <w:r>
        <w:t xml:space="preserve">What stays human — on purpose</w:t>
      </w:r>
    </w:p>
    <w:p>
      <w:pPr>
        <w:spacing w:after="160"/>
      </w:pPr>
      <w:r>
        <w:rPr>
          <w:b w:val="false"/>
          <w:bCs w:val="false"/>
          <w:i w:val="false"/>
          <w:iCs w:val="false"/>
          <w:color w:val="222222"/>
          <w:sz w:val="22"/>
          <w:szCs w:val="22"/>
        </w:rPr>
        <w:t xml:space="preserve">Securing permission, sitting with communities in inquiry, the judgment in vetting, and the learning conversations after implementation. The system never contacts a community on its own and never gates a decision the team wants to make. It is a record-keeper and a time-saver, not a compliance engine.</w:t>
      </w:r>
    </w:p>
    <w:p>
      <w:pPr>
        <w:pStyle w:val="Heading1"/>
      </w:pPr>
      <w:r>
        <w:t xml:space="preserve">Before we build</w:t>
      </w:r>
    </w:p>
    <w:p>
      <w:pPr>
        <w:pStyle w:val="ListParagraph"/>
        <w:numPr>
          <w:ilvl w:val="0"/>
          <w:numId w:val="2"/>
        </w:numPr>
        <w:spacing w:after="80"/>
      </w:pPr>
      <w:r>
        <w:rPr>
          <w:sz w:val="22"/>
          <w:szCs w:val="22"/>
        </w:rPr>
        <w:t xml:space="preserve">The real inquiry template, proposal template, and SCLR selection criteria list — these become the forms, so the actual documents matter.</w:t>
      </w:r>
    </w:p>
    <w:p>
      <w:pPr>
        <w:pStyle w:val="ListParagraph"/>
        <w:numPr>
          <w:ilvl w:val="0"/>
          <w:numId w:val="2"/>
        </w:numPr>
        <w:spacing w:after="80"/>
      </w:pPr>
      <w:r>
        <w:rPr>
          <w:sz w:val="22"/>
          <w:szCs w:val="22"/>
        </w:rPr>
        <w:t xml:space="preserve">Confirmation of what the Resilio agreement says about financial oversight, so the platform encodes the agreed posture, not an assumed one.</w:t>
      </w:r>
    </w:p>
    <w:p>
      <w:pPr>
        <w:spacing w:after="40"/>
      </w:pPr>
      <w:r>
        <w:rPr>
          <w:b w:val="false"/>
          <w:bCs w:val="false"/>
          <w:i w:val="false"/>
          <w:iCs w:val="false"/>
          <w:color w:val="222222"/>
          <w:sz w:val="22"/>
          <w:szCs w:val="22"/>
        </w:rPr>
        <w:t xml:space="preserve"/>
      </w:r>
    </w:p>
    <w:p>
      <w:pPr>
        <w:spacing w:after="120"/>
      </w:pPr>
      <w:r>
        <w:rPr>
          <w:b w:val="false"/>
          <w:bCs w:val="false"/>
          <w:i w:val="false"/>
          <w:iCs w:val="false"/>
          <w:color w:val="666666"/>
          <w:sz w:val="21"/>
          <w:szCs w:val="21"/>
        </w:rPr>
        <w:t xml:space="preserve">Estimated build: most of this already exists in the Proximate tenant (intake forms, no-login phone reporting, funding envelopes, dashboards, six languages). A working first version is a short build, not a project.</w:t>
      </w:r>
    </w:p>
    <w:sectPr>
      <w:pgSz w:w="12240" w:h="15840" w:orient="portrait"/>
      <w:pgMar w:top="1240" w:right="1240" w:bottom="12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FC58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2026-07-20T17:26:20.965Z</dcterms:created>
  <dcterms:modified xsi:type="dcterms:W3CDTF">2026-07-20T17:26:20.968Z</dcterms:modified>
</cp:coreProperties>
</file>

<file path=docProps/custom.xml><?xml version="1.0" encoding="utf-8"?>
<Properties xmlns="http://schemas.openxmlformats.org/officeDocument/2006/custom-properties" xmlns:vt="http://schemas.openxmlformats.org/officeDocument/2006/docPropsVTypes"/>
</file>