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Georgia" w:hAnsi="Georgia"/>
          <w:b/>
          <w:i w:val="0"/>
          <w:color w:val="C2410C"/>
          <w:sz w:val="60"/>
        </w:rPr>
        <w:t>KUJA</w:t>
      </w:r>
    </w:p>
    <w:p>
      <w:pPr>
        <w:spacing w:after="40"/>
      </w:pPr>
      <w:r>
        <w:rPr>
          <w:rFonts w:ascii="Georgia" w:hAnsi="Georgia"/>
          <w:b/>
          <w:i w:val="0"/>
          <w:color w:val="1F3864"/>
          <w:sz w:val="34"/>
        </w:rPr>
        <w:t>Business Strategy 2026–2028</w:t>
      </w:r>
    </w:p>
    <w:p>
      <w:pPr>
        <w:spacing w:after="20"/>
      </w:pPr>
      <w:r>
        <w:rPr>
          <w:rFonts w:ascii="Georgia" w:hAnsi="Georgia"/>
          <w:b w:val="0"/>
          <w:i/>
          <w:color w:val="1A1410"/>
          <w:sz w:val="24"/>
        </w:rPr>
        <w:t>One platform. Four products. Trust as the product.</w:t>
      </w:r>
    </w:p>
    <w:p>
      <w:pPr>
        <w:spacing w:after="200"/>
      </w:pPr>
      <w:r>
        <w:rPr>
          <w:rFonts w:ascii="Georgia" w:hAnsi="Georgia"/>
          <w:b w:val="0"/>
          <w:i w:val="0"/>
          <w:color w:val="57534E"/>
          <w:sz w:val="21"/>
        </w:rPr>
        <w:t>AI-native · Global South / Global Majority-built · production-deployed</w:t>
      </w:r>
    </w:p>
    <w:p>
      <w:pPr>
        <w:spacing w:after="40"/>
        <w:pBdr>
          <w:bottom w:val="single" w:sz="6" w:space="1" w:color="C2410C"/>
        </w:pBdr>
      </w:pPr>
    </w:p>
    <w:p>
      <w:pPr>
        <w:spacing w:after="60"/>
      </w:pPr>
      <w:r>
        <w:rPr>
          <w:rFonts w:ascii="Georgia" w:hAnsi="Georgia"/>
          <w:b w:val="0"/>
          <w:i w:val="0"/>
          <w:color w:val="57534E"/>
          <w:sz w:val="19"/>
        </w:rPr>
        <w:t>Version 4.0 · August 2026 · supersedes V3.9 (August 6). Restructured on team review: four products named consistently, the Trust Passport elevated to its own product, the operating system (Kuja Build) clarified, and go-to-market, pricing and pilots moved to the companion Kuja Go-To-Market Strategy V2.0.</w:t>
      </w:r>
    </w:p>
    <w:p>
      <w:pPr>
        <w:spacing w:after="40"/>
      </w:pPr>
      <w:r>
        <w:rPr>
          <w:rFonts w:ascii="Georgia" w:hAnsi="Georgia"/>
          <w:b w:val="0"/>
          <w:i w:val="0"/>
          <w:color w:val="57534E"/>
          <w:sz w:val="19"/>
        </w:rPr>
        <w:t>Adeso · Nairobi, Kenya · kuja@adeso.org · Confidential — for partner foundations, donors, and network secretariats.</w:t>
      </w:r>
    </w:p>
    <w:p>
      <w:pPr>
        <w:pStyle w:val="Heading1"/>
      </w:pPr>
      <w:r>
        <w:t>1. Executive Summary</w:t>
      </w:r>
    </w:p>
    <w:p>
      <w:pPr>
        <w:spacing w:after="140"/>
      </w:pPr>
      <w:r>
        <w:rPr>
          <w:rFonts w:ascii="Georgia" w:hAnsi="Georgia"/>
          <w:b w:val="0"/>
          <w:i w:val="0"/>
          <w:color w:val="1A1410"/>
          <w:sz w:val="21"/>
        </w:rPr>
        <w:t>Kuja is the operating system for locally-led funding. Adeso — a Somali-founded, Nairobi-based social enterprise — has spent eighteen months building, in production, the end-to-end infrastructure the sector has argued about for a decade. The platform is deployed and running today across four live tenants. The market need has never been more acute.</w:t>
      </w:r>
    </w:p>
    <w:p>
      <w:pPr>
        <w:spacing w:after="140"/>
      </w:pPr>
      <w:r>
        <w:rPr>
          <w:rFonts w:ascii="Georgia" w:hAnsi="Georgia"/>
          <w:b w:val="0"/>
          <w:i/>
          <w:color w:val="1F3864"/>
          <w:sz w:val="21"/>
        </w:rPr>
        <w:t>The one-sentence strategy: one AI-native platform, sold as four products that sell each other, gives Global South organizations and the donors who fund them the infrastructure to do locally-led funding at network speed — and trust is the product that ties it together.</w:t>
      </w:r>
    </w:p>
    <w:p>
      <w:pPr>
        <w:spacing w:after="60"/>
      </w:pPr>
      <w:r>
        <w:rPr>
          <w:rFonts w:ascii="Georgia" w:hAnsi="Georgia"/>
          <w:b/>
          <w:i w:val="0"/>
          <w:color w:val="1A1410"/>
          <w:sz w:val="21"/>
        </w:rPr>
        <w:t>Why now — four converging facts:</w:t>
      </w:r>
    </w:p>
    <w:p>
      <w:pPr>
        <w:pStyle w:val="ListBullet"/>
        <w:spacing w:after="60"/>
      </w:pPr>
      <w:r>
        <w:rPr>
          <w:rFonts w:ascii="Georgia" w:hAnsi="Georgia"/>
          <w:b/>
          <w:color w:val="1A1410"/>
          <w:sz w:val="21"/>
        </w:rPr>
        <w:t xml:space="preserve">Development funding is in historic retreat. </w:t>
      </w:r>
      <w:r>
        <w:rPr>
          <w:rFonts w:ascii="Georgia" w:hAnsi="Georgia"/>
          <w:color w:val="1A1410"/>
          <w:sz w:val="21"/>
        </w:rPr>
        <w:t>OECD ODA fell 23.1% in real terms in 2025 — the largest annual decline ever recorded — and USAID was closed on 1 July 2025, terminating $75.9B in program value (OECD 2026; Reuters/Donor Tracker 2025).</w:t>
      </w:r>
    </w:p>
    <w:p>
      <w:pPr>
        <w:pStyle w:val="ListBullet"/>
        <w:spacing w:after="60"/>
      </w:pPr>
      <w:r>
        <w:rPr>
          <w:rFonts w:ascii="Georgia" w:hAnsi="Georgia"/>
          <w:b/>
          <w:color w:val="1A1410"/>
          <w:sz w:val="21"/>
        </w:rPr>
        <w:t xml:space="preserve">Localization is failing operationally, not politically. </w:t>
      </w:r>
      <w:r>
        <w:rPr>
          <w:rFonts w:ascii="Georgia" w:hAnsi="Georgia"/>
          <w:color w:val="1A1410"/>
          <w:sz w:val="21"/>
        </w:rPr>
        <w:t>Total funding reaching local and national actors fell to 7.5% in 2024 against a 25% Grand Bargain target (ALNAP GHA 2025). The gap is now about infrastructure local actors can use and donors will trust — exactly what Kuja builds.</w:t>
      </w:r>
    </w:p>
    <w:p>
      <w:pPr>
        <w:pStyle w:val="ListBullet"/>
        <w:spacing w:after="60"/>
      </w:pPr>
      <w:r>
        <w:rPr>
          <w:rFonts w:ascii="Georgia" w:hAnsi="Georgia"/>
          <w:b/>
          <w:color w:val="1A1410"/>
          <w:sz w:val="21"/>
        </w:rPr>
        <w:t xml:space="preserve">AI is a one-time architectural opening. </w:t>
      </w:r>
      <w:r>
        <w:rPr>
          <w:rFonts w:ascii="Georgia" w:hAnsi="Georgia"/>
          <w:color w:val="1A1410"/>
          <w:sz w:val="21"/>
        </w:rPr>
        <w:t>Foundation-side use is near zero — 97% of foundations do not yet use AI to screen applications, and only 1 in 10 funders would accept AI-generated proposal content (Candid 2024; Fundraising.AI 2026). Legacy vendors are bolting AI onto rigid data models; Kuja is AI-native, grounding every output in the customer’s own data with per-claim provenance.</w:t>
      </w:r>
    </w:p>
    <w:p>
      <w:pPr>
        <w:pStyle w:val="ListBullet"/>
        <w:spacing w:after="60"/>
      </w:pPr>
      <w:r>
        <w:rPr>
          <w:rFonts w:ascii="Georgia" w:hAnsi="Georgia"/>
          <w:b/>
          <w:color w:val="1A1410"/>
          <w:sz w:val="21"/>
        </w:rPr>
        <w:t xml:space="preserve">Trust-based philanthropy needs a delivery vehicle. </w:t>
      </w:r>
      <w:r>
        <w:rPr>
          <w:rFonts w:ascii="Georgia" w:hAnsi="Georgia"/>
          <w:color w:val="1A1410"/>
          <w:sz w:val="21"/>
        </w:rPr>
        <w:t>MacKenzie Scott ($7.1B in 2025), Ford BUILD ($1.6B) and IKEA Foundation (€349M in 2024) are funding unrestricted organizational strengthening. Kuja is where that capital lands and compounds into verifiable capacity.</w:t>
      </w:r>
    </w:p>
    <w:p>
      <w:pPr>
        <w:spacing w:after="60" w:before="40"/>
      </w:pPr>
      <w:r>
        <w:rPr>
          <w:rFonts w:ascii="Georgia" w:hAnsi="Georgia"/>
          <w:b/>
          <w:i w:val="0"/>
          <w:color w:val="1A1410"/>
          <w:sz w:val="21"/>
        </w:rPr>
        <w:t>What this document covers, and what it does not:</w:t>
      </w:r>
    </w:p>
    <w:p>
      <w:pPr>
        <w:spacing w:after="140"/>
      </w:pPr>
      <w:r>
        <w:rPr>
          <w:rFonts w:ascii="Georgia" w:hAnsi="Georgia"/>
          <w:b w:val="0"/>
          <w:i w:val="0"/>
          <w:color w:val="1A1410"/>
          <w:sz w:val="21"/>
        </w:rPr>
        <w:t>This is the strategy: the market moment, the vision, the four products and how they form one trust loop, the AI architecture, competitive positioning, why Adeso, the risks, and the capital plan. The detailed go-to-market — customer segments, the seven sales motions, pricing, and the 2026 pilot / 2027 conversion plan — lives in the companion Kuja Go-To-Market Strategy V2.0, so each document stays focused and professional.</w:t>
      </w:r>
    </w:p>
    <w:p>
      <w:pPr>
        <w:pStyle w:val="Heading1"/>
      </w:pPr>
      <w:r>
        <w:t>2. The Moment</w:t>
      </w:r>
    </w:p>
    <w:p>
      <w:pPr>
        <w:spacing w:after="140"/>
      </w:pPr>
      <w:r>
        <w:rPr>
          <w:rFonts w:ascii="Georgia" w:hAnsi="Georgia"/>
          <w:b w:val="0"/>
          <w:i w:val="0"/>
          <w:color w:val="1A1410"/>
          <w:sz w:val="21"/>
        </w:rPr>
        <w:t>The aid system has been dismantled and rebuilt in real time over twenty-four months. Five forces are converging, each verified against the most authoritative public source available. Full citations are in Section 12.</w:t>
      </w:r>
    </w:p>
    <w:p>
      <w:pPr>
        <w:pStyle w:val="Heading2"/>
      </w:pPr>
      <w:r>
        <w:t>2.1 A historic funding shock</w:t>
      </w:r>
    </w:p>
    <w:p>
      <w:pPr>
        <w:spacing w:after="140"/>
      </w:pPr>
      <w:r>
        <w:rPr>
          <w:rFonts w:ascii="Georgia" w:hAnsi="Georgia"/>
          <w:b w:val="0"/>
          <w:i w:val="0"/>
          <w:color w:val="1A1410"/>
          <w:sz w:val="21"/>
        </w:rPr>
        <w:t>USAID was officially closed on 1 July 2025; 86% of its programs — $75.9B in value — were terminated. Total 2025 ODA from DAC donors was $174.3B, down 23.1% in real terms, the largest annual decline on record. Cuts are systemic, not limited to the US: the UK is moving ODA from 0.5% to 0.3% of GNI (Africa bilateral −56% by FY28/29), Sweden’s Sida is down 18% operationally, and Canada is cutting 38% over four years. Germany is now the largest DAC donor at $29.1B. Less money is chasing the same need.</w:t>
      </w:r>
    </w:p>
    <w:p>
      <w:pPr>
        <w:pStyle w:val="Heading2"/>
      </w:pPr>
      <w:r>
        <w:t>2.2 Localization is stuck — the gap is operational</w:t>
      </w:r>
    </w:p>
    <w:p>
      <w:pPr>
        <w:spacing w:after="140"/>
      </w:pPr>
      <w:r>
        <w:rPr>
          <w:rFonts w:ascii="Georgia" w:hAnsi="Georgia"/>
          <w:b w:val="0"/>
          <w:i w:val="0"/>
          <w:color w:val="1A1410"/>
          <w:sz w:val="21"/>
        </w:rPr>
        <w:t>Funding reaching local and national actors fell to 7.5% in 2024 (direct-only figures sit at 3.1% across all donors and 0.6% from Grand Bargain signatories) — far below the 25% target signed in 2016. The one bright spot proves the point: in OCHA Country-Based Pooled Funds, the local-NGO share rose from 22.8% (2016) to 34% (2021). Where the infrastructure exists, the money flows. The diagnosis is no longer "more political will" — it is "infrastructure local actors can use, that donors will trust."</w:t>
      </w:r>
    </w:p>
    <w:p>
      <w:pPr>
        <w:pStyle w:val="Heading2"/>
      </w:pPr>
      <w:r>
        <w:t>2.3 Foundations are pivoting to direct, unrestricted funding</w:t>
      </w:r>
    </w:p>
    <w:p>
      <w:pPr>
        <w:spacing w:after="140"/>
      </w:pPr>
      <w:r>
        <w:rPr>
          <w:rFonts w:ascii="Georgia" w:hAnsi="Georgia"/>
          <w:b w:val="0"/>
          <w:i w:val="0"/>
          <w:color w:val="1A1410"/>
          <w:sz w:val="21"/>
        </w:rPr>
        <w:t>Private philanthropy to developing countries averaged ~$17B/year over 2020–2023, but only 11% reached local entities directly (OECD, Dec 2025). The trust-based funders leading the shift — MacKenzie Scott ($19B+ cumulative to 2,000+ nonprofits), Ford BUILD, IKEA Foundation, Co-Impact — are funding operational strengthening, not just projects. They need a way to see that the capital produced stronger, verifiable organizations. That is the Trust Profile.</w:t>
      </w:r>
    </w:p>
    <w:p>
      <w:pPr>
        <w:pStyle w:val="Heading2"/>
      </w:pPr>
      <w:r>
        <w:t>2.4 AI is a one-time architectural opportunity</w:t>
      </w:r>
    </w:p>
    <w:p>
      <w:pPr>
        <w:spacing w:after="140"/>
      </w:pPr>
      <w:r>
        <w:rPr>
          <w:rFonts w:ascii="Georgia" w:hAnsi="Georgia"/>
          <w:b w:val="0"/>
          <w:i w:val="0"/>
          <w:color w:val="1A1410"/>
          <w:sz w:val="21"/>
        </w:rPr>
        <w:t>Foundation-side AI use is near zero: 97% of foundations do not use AI to screen applications, and only 1 in 10 funders would accept AI-generated proposal content (Candid 2024; Fundraising.AI 2026). Legacy vendors — Submittable, Salesforce Einstein, Bonterra — are layering AI over rigid data models; none ships a per-claim provenance layer. The category is greenfield for an AI-native challenger that grounds every output in the customer’s own data and cites its sources. Governance tailwinds reinforce this: the $500M Humanity AI initiative (Ford, MacArthur + 8 funders) and the Gates Foundation’s $200M Anthropic partnership.</w:t>
      </w:r>
    </w:p>
    <w:p>
      <w:pPr>
        <w:pStyle w:val="Heading2"/>
      </w:pPr>
      <w:r>
        <w:t>2.5 Mainstream AI does not serve Global Majority languages</w:t>
      </w:r>
    </w:p>
    <w:p>
      <w:pPr>
        <w:spacing w:after="140"/>
      </w:pPr>
      <w:r>
        <w:rPr>
          <w:rFonts w:ascii="Georgia" w:hAnsi="Georgia"/>
          <w:b w:val="0"/>
          <w:i w:val="0"/>
          <w:color w:val="1A1410"/>
          <w:sz w:val="21"/>
        </w:rPr>
        <w:t>More than 98% of African languages are unsupported by mainstream LLMs, and speech models trained on tiny data volumes for languages like Somali and Swahili show sharply higher error rates; auditing studies show LLMs systematically score non-Western entities lower. Kuja’s six-language platform parity (EN, FR, AR, SW, SO, ES), Whisper fallback for Somali/Swahili/Arabic, and grounded-with-citation architecture were designed for exactly this gap.</w:t>
      </w:r>
    </w:p>
    <w:tbl>
      <w:tblPr>
        <w:tblStyle w:val="TableGrid"/>
        <w:tblW w:type="auto" w:w="0"/>
        <w:tblLook w:firstColumn="1" w:firstRow="1" w:lastColumn="0" w:lastRow="0" w:noHBand="0" w:noVBand="1" w:val="04A0"/>
      </w:tblPr>
      <w:tblGrid>
        <w:gridCol w:w="9648"/>
      </w:tblGrid>
      <w:tr>
        <w:tc>
          <w:tcPr>
            <w:tcW w:type="dxa" w:w="9648"/>
            <w:shd w:val="clear" w:fill="FBEDE6"/>
          </w:tcPr>
          <w:p>
            <w:r/>
            <w:r>
              <w:rPr>
                <w:rFonts w:ascii="Georgia" w:hAnsi="Georgia"/>
                <w:b/>
                <w:color w:val="C2410C"/>
                <w:sz w:val="20"/>
              </w:rPr>
              <w:t xml:space="preserve">Net:  </w:t>
            </w:r>
            <w:r>
              <w:rPr>
                <w:rFonts w:ascii="Georgia" w:hAnsi="Georgia"/>
                <w:color w:val="1A1410"/>
                <w:sz w:val="20"/>
              </w:rPr>
              <w:t>the sector is moving toward locally-led, network-governed, AI-augmented, trust-based funding under the largest funding shock in modern history — and the technology gap is widest precisely where Kuja has already shipped.</w:t>
            </w:r>
          </w:p>
        </w:tc>
      </w:tr>
    </w:tbl>
    <w:p>
      <w:pPr>
        <w:spacing w:after="20"/>
      </w:pPr>
    </w:p>
    <w:p>
      <w:pPr>
        <w:pStyle w:val="Heading1"/>
      </w:pPr>
      <w:r>
        <w:t>3. Vision, Mission, and Values</w:t>
      </w:r>
    </w:p>
    <w:p>
      <w:pPr>
        <w:pStyle w:val="Heading3"/>
      </w:pPr>
      <w:r>
        <w:t>Vision</w:t>
      </w:r>
    </w:p>
    <w:p>
      <w:pPr>
        <w:spacing w:after="140"/>
      </w:pPr>
      <w:r>
        <w:rPr>
          <w:rFonts w:ascii="Georgia" w:hAnsi="Georgia"/>
          <w:b w:val="0"/>
          <w:i w:val="0"/>
          <w:color w:val="1A1410"/>
          <w:sz w:val="21"/>
        </w:rPr>
        <w:t>A world in which local organizations across the Global Majority are findable, trusted, and fully resourced to lead sustainable change in their communities.</w:t>
      </w:r>
    </w:p>
    <w:p>
      <w:pPr>
        <w:pStyle w:val="Heading3"/>
      </w:pPr>
      <w:r>
        <w:t>Mission</w:t>
      </w:r>
    </w:p>
    <w:p>
      <w:pPr>
        <w:spacing w:after="140"/>
      </w:pPr>
      <w:r>
        <w:rPr>
          <w:rFonts w:ascii="Georgia" w:hAnsi="Georgia"/>
          <w:b w:val="0"/>
          <w:i w:val="0"/>
          <w:color w:val="1A1410"/>
          <w:sz w:val="21"/>
        </w:rPr>
        <w:t>Kuja equips and connects changemakers in the Global Majority — and the donors who fund them — with the infrastructure to do locally-led funding at network speed.</w:t>
      </w:r>
    </w:p>
    <w:p>
      <w:pPr>
        <w:pStyle w:val="Heading3"/>
      </w:pPr>
      <w:r>
        <w:t>Operating principles</w:t>
      </w:r>
    </w:p>
    <w:p>
      <w:pPr>
        <w:pStyle w:val="ListBullet"/>
        <w:spacing w:after="60"/>
      </w:pPr>
      <w:r>
        <w:rPr>
          <w:rFonts w:ascii="Georgia" w:hAnsi="Georgia"/>
          <w:b/>
          <w:color w:val="1A1410"/>
          <w:sz w:val="21"/>
        </w:rPr>
        <w:t xml:space="preserve">Built by the Global Majority, for the Global Majority. </w:t>
      </w:r>
      <w:r>
        <w:rPr>
          <w:rFonts w:ascii="Georgia" w:hAnsi="Georgia"/>
          <w:color w:val="1A1410"/>
          <w:sz w:val="21"/>
        </w:rPr>
        <w:t>Six languages at platform parity. Mobile-first, low-bandwidth. Voice and photo as primary evidence for languages mainstream AI does not fully support.</w:t>
      </w:r>
    </w:p>
    <w:p>
      <w:pPr>
        <w:pStyle w:val="ListBullet"/>
        <w:spacing w:after="60"/>
      </w:pPr>
      <w:r>
        <w:rPr>
          <w:rFonts w:ascii="Georgia" w:hAnsi="Georgia"/>
          <w:b/>
          <w:color w:val="1A1410"/>
          <w:sz w:val="21"/>
        </w:rPr>
        <w:t xml:space="preserve">Trust is the product. </w:t>
      </w:r>
      <w:r>
        <w:rPr>
          <w:rFonts w:ascii="Georgia" w:hAnsi="Georgia"/>
          <w:color w:val="1A1410"/>
          <w:sz w:val="21"/>
        </w:rPr>
        <w:t>One Trust Profile per organization — identity, registration, sanctions, adverse media, bank verification, conflict-of-interest, capacity — travels with the NGO across every donor, every grant, every audit, and stays current because the platform keeps it current.</w:t>
      </w:r>
    </w:p>
    <w:p>
      <w:pPr>
        <w:pStyle w:val="ListBullet"/>
        <w:spacing w:after="60"/>
      </w:pPr>
      <w:r>
        <w:rPr>
          <w:rFonts w:ascii="Georgia" w:hAnsi="Georgia"/>
          <w:b/>
          <w:color w:val="1A1410"/>
          <w:sz w:val="21"/>
        </w:rPr>
        <w:t xml:space="preserve">AI is the architecture, not a chatbot. </w:t>
      </w:r>
      <w:r>
        <w:rPr>
          <w:rFonts w:ascii="Georgia" w:hAnsi="Georgia"/>
          <w:color w:val="1A1410"/>
          <w:sz w:val="21"/>
        </w:rPr>
        <w:t>Grounded, tenant-specific, action-oriented, fallback-aware, telemetered. Every output cites its source; every workflow has a manual path.</w:t>
      </w:r>
    </w:p>
    <w:p>
      <w:pPr>
        <w:pStyle w:val="ListBullet"/>
        <w:spacing w:after="60"/>
      </w:pPr>
      <w:r>
        <w:rPr>
          <w:rFonts w:ascii="Georgia" w:hAnsi="Georgia"/>
          <w:b/>
          <w:color w:val="1A1410"/>
          <w:sz w:val="21"/>
        </w:rPr>
        <w:t xml:space="preserve">Hash-anchored audit. </w:t>
      </w:r>
      <w:r>
        <w:rPr>
          <w:rFonts w:ascii="Georgia" w:hAnsi="Georgia"/>
          <w:color w:val="1A1410"/>
          <w:sz w:val="21"/>
        </w:rPr>
        <w:t>Every governance action is anchored to a tamper-evident chain. The answer to "how do you know?" is a URL.</w:t>
      </w:r>
    </w:p>
    <w:p>
      <w:pPr>
        <w:pStyle w:val="ListBullet"/>
        <w:spacing w:after="60"/>
      </w:pPr>
      <w:r>
        <w:rPr>
          <w:rFonts w:ascii="Georgia" w:hAnsi="Georgia"/>
          <w:b/>
          <w:color w:val="1A1410"/>
          <w:sz w:val="21"/>
        </w:rPr>
        <w:t xml:space="preserve">Compounding data. </w:t>
      </w:r>
      <w:r>
        <w:rPr>
          <w:rFonts w:ascii="Georgia" w:hAnsi="Georgia"/>
          <w:color w:val="1A1410"/>
          <w:sz w:val="21"/>
        </w:rPr>
        <w:t>Every grant, report and interaction strengthens the shared corpus — a position legacy vendors cannot replicate without rebuilding their data model.</w:t>
      </w:r>
    </w:p>
    <w:p>
      <w:pPr>
        <w:pStyle w:val="Heading1"/>
      </w:pPr>
      <w:r>
        <w:t>4. The Kuja Platform — Four Products, One Trust Loop</w:t>
      </w:r>
    </w:p>
    <w:p>
      <w:pPr>
        <w:spacing w:after="140"/>
      </w:pPr>
      <w:r>
        <w:rPr>
          <w:rFonts w:ascii="Georgia" w:hAnsi="Georgia"/>
          <w:b w:val="0"/>
          <w:i w:val="0"/>
          <w:color w:val="1A1410"/>
          <w:sz w:val="21"/>
        </w:rPr>
        <w:t>Kuja is one platform sold as four products that sell each other. They share one customer record, one Trust Profile, one AI memory, and one audit chain — so a feature shipped for one customer reaches every customer on the next deploy. The end-to-end integration is the unique value proposition: no competitor owns the full loop from discovery through verification through funding through operations, and each step makes the next more valuable. Trust is the product; the integration is how it is earned and kept.</w:t>
      </w:r>
    </w:p>
    <w:tbl>
      <w:tblPr>
        <w:tblStyle w:val="TableGrid"/>
        <w:tblW w:type="auto" w:w="0"/>
        <w:tblLook w:firstColumn="1" w:firstRow="1" w:lastColumn="0" w:lastRow="0" w:noHBand="0" w:noVBand="1" w:val="04A0"/>
      </w:tblPr>
      <w:tblGrid>
        <w:gridCol w:w="3216"/>
        <w:gridCol w:w="3216"/>
        <w:gridCol w:w="3216"/>
      </w:tblGrid>
      <w:tr>
        <w:tc>
          <w:tcPr>
            <w:tcW w:type="dxa" w:w="1872"/>
            <w:shd w:val="clear" w:fill="1F3864"/>
          </w:tcPr>
          <w:p>
            <w:pPr>
              <w:spacing w:after="20" w:before="20"/>
            </w:pPr>
            <w:r/>
            <w:r>
              <w:rPr>
                <w:rFonts w:ascii="Georgia" w:hAnsi="Georgia"/>
                <w:b/>
                <w:color w:val="FFFFFF"/>
                <w:sz w:val="18"/>
              </w:rPr>
              <w:t>Product</w:t>
            </w:r>
          </w:p>
        </w:tc>
        <w:tc>
          <w:tcPr>
            <w:tcW w:type="dxa" w:w="5760"/>
            <w:shd w:val="clear" w:fill="1F3864"/>
          </w:tcPr>
          <w:p>
            <w:pPr>
              <w:spacing w:after="20" w:before="20"/>
            </w:pPr>
            <w:r/>
            <w:r>
              <w:rPr>
                <w:rFonts w:ascii="Georgia" w:hAnsi="Georgia"/>
                <w:b/>
                <w:color w:val="FFFFFF"/>
                <w:sz w:val="18"/>
              </w:rPr>
              <w:t>What it is</w:t>
            </w:r>
          </w:p>
        </w:tc>
        <w:tc>
          <w:tcPr>
            <w:tcW w:type="dxa" w:w="2736"/>
            <w:shd w:val="clear" w:fill="1F3864"/>
          </w:tcPr>
          <w:p>
            <w:pPr>
              <w:spacing w:after="20" w:before="20"/>
            </w:pPr>
            <w:r/>
            <w:r>
              <w:rPr>
                <w:rFonts w:ascii="Georgia" w:hAnsi="Georgia"/>
                <w:b/>
                <w:color w:val="FFFFFF"/>
                <w:sz w:val="18"/>
              </w:rPr>
              <w:t>Who pays</w:t>
            </w:r>
          </w:p>
        </w:tc>
      </w:tr>
      <w:tr>
        <w:tc>
          <w:tcPr>
            <w:tcW w:type="dxa" w:w="1872"/>
          </w:tcPr>
          <w:p>
            <w:pPr>
              <w:spacing w:after="20" w:before="20"/>
            </w:pPr>
            <w:r/>
            <w:r>
              <w:rPr>
                <w:rFonts w:ascii="Georgia" w:hAnsi="Georgia"/>
                <w:b w:val="0"/>
                <w:color w:val="1A1410"/>
                <w:sz w:val="18"/>
              </w:rPr>
              <w:t>Kuja Link</w:t>
            </w:r>
          </w:p>
        </w:tc>
        <w:tc>
          <w:tcPr>
            <w:tcW w:type="dxa" w:w="5760"/>
          </w:tcPr>
          <w:p>
            <w:pPr>
              <w:spacing w:after="20" w:before="20"/>
            </w:pPr>
            <w:r/>
            <w:r>
              <w:rPr>
                <w:rFonts w:ascii="Georgia" w:hAnsi="Georgia"/>
                <w:b w:val="0"/>
                <w:color w:val="1A1410"/>
                <w:sz w:val="18"/>
              </w:rPr>
              <w:t>The networking and discovery front door — profiles, messaging, forums, resources, free grant listings. Free to all.</w:t>
            </w:r>
          </w:p>
        </w:tc>
        <w:tc>
          <w:tcPr>
            <w:tcW w:type="dxa" w:w="2736"/>
          </w:tcPr>
          <w:p>
            <w:pPr>
              <w:spacing w:after="20" w:before="20"/>
            </w:pPr>
            <w:r/>
            <w:r>
              <w:rPr>
                <w:rFonts w:ascii="Georgia" w:hAnsi="Georgia"/>
                <w:b w:val="0"/>
                <w:color w:val="1A1410"/>
                <w:sz w:val="18"/>
              </w:rPr>
              <w:t>Free (supply + demand meet here)</w:t>
            </w:r>
          </w:p>
        </w:tc>
      </w:tr>
      <w:tr>
        <w:tc>
          <w:tcPr>
            <w:tcW w:type="dxa" w:w="1872"/>
            <w:shd w:val="clear" w:fill="EEF2F8"/>
          </w:tcPr>
          <w:p>
            <w:pPr>
              <w:spacing w:after="20" w:before="20"/>
            </w:pPr>
            <w:r/>
            <w:r>
              <w:rPr>
                <w:rFonts w:ascii="Georgia" w:hAnsi="Georgia"/>
                <w:b w:val="0"/>
                <w:color w:val="1A1410"/>
                <w:sz w:val="18"/>
              </w:rPr>
              <w:t>Kuja Trust</w:t>
            </w:r>
          </w:p>
        </w:tc>
        <w:tc>
          <w:tcPr>
            <w:tcW w:type="dxa" w:w="5760"/>
            <w:shd w:val="clear" w:fill="EEF2F8"/>
          </w:tcPr>
          <w:p>
            <w:pPr>
              <w:spacing w:after="20" w:before="20"/>
            </w:pPr>
            <w:r/>
            <w:r>
              <w:rPr>
                <w:rFonts w:ascii="Georgia" w:hAnsi="Georgia"/>
                <w:b w:val="0"/>
                <w:color w:val="1A1410"/>
                <w:sz w:val="18"/>
              </w:rPr>
              <w:t>The portable Trust Passport — verified due diligence and capacity that travels with the NGO to any donor. The paid, portable core of a Link profile, and a product Kuja can license.</w:t>
            </w:r>
          </w:p>
        </w:tc>
        <w:tc>
          <w:tcPr>
            <w:tcW w:type="dxa" w:w="2736"/>
            <w:shd w:val="clear" w:fill="EEF2F8"/>
          </w:tcPr>
          <w:p>
            <w:pPr>
              <w:spacing w:after="20" w:before="20"/>
            </w:pPr>
            <w:r/>
            <w:r>
              <w:rPr>
                <w:rFonts w:ascii="Georgia" w:hAnsi="Georgia"/>
                <w:b w:val="0"/>
                <w:color w:val="1A1410"/>
                <w:sz w:val="18"/>
              </w:rPr>
              <w:t>Org (modest) or sponsor; DD providers license it</w:t>
            </w:r>
          </w:p>
        </w:tc>
      </w:tr>
      <w:tr>
        <w:tc>
          <w:tcPr>
            <w:tcW w:type="dxa" w:w="1872"/>
          </w:tcPr>
          <w:p>
            <w:pPr>
              <w:spacing w:after="20" w:before="20"/>
            </w:pPr>
            <w:r/>
            <w:r>
              <w:rPr>
                <w:rFonts w:ascii="Georgia" w:hAnsi="Georgia"/>
                <w:b w:val="0"/>
                <w:color w:val="1A1410"/>
                <w:sz w:val="18"/>
              </w:rPr>
              <w:t>Kuja Fund</w:t>
            </w:r>
          </w:p>
        </w:tc>
        <w:tc>
          <w:tcPr>
            <w:tcW w:type="dxa" w:w="5760"/>
          </w:tcPr>
          <w:p>
            <w:pPr>
              <w:spacing w:after="20" w:before="20"/>
            </w:pPr>
            <w:r/>
            <w:r>
              <w:rPr>
                <w:rFonts w:ascii="Georgia" w:hAnsi="Georgia"/>
                <w:b w:val="0"/>
                <w:color w:val="1A1410"/>
                <w:sz w:val="18"/>
              </w:rPr>
              <w:t>The grant app — end-to-end lifecycle: design, apply, review, award, monitor, report, compliance. AI-graded, evidence-cited, six languages.</w:t>
            </w:r>
          </w:p>
        </w:tc>
        <w:tc>
          <w:tcPr>
            <w:tcW w:type="dxa" w:w="2736"/>
          </w:tcPr>
          <w:p>
            <w:pPr>
              <w:spacing w:after="20" w:before="20"/>
            </w:pPr>
            <w:r/>
            <w:r>
              <w:rPr>
                <w:rFonts w:ascii="Georgia" w:hAnsi="Georgia"/>
                <w:b w:val="0"/>
                <w:color w:val="1A1410"/>
                <w:sz w:val="18"/>
              </w:rPr>
              <w:t>The funder posting the grant. NGOs never pay to apply or report.</w:t>
            </w:r>
          </w:p>
        </w:tc>
      </w:tr>
      <w:tr>
        <w:tc>
          <w:tcPr>
            <w:tcW w:type="dxa" w:w="1872"/>
            <w:shd w:val="clear" w:fill="EEF2F8"/>
          </w:tcPr>
          <w:p>
            <w:pPr>
              <w:spacing w:after="20" w:before="20"/>
            </w:pPr>
            <w:r/>
            <w:r>
              <w:rPr>
                <w:rFonts w:ascii="Georgia" w:hAnsi="Georgia"/>
                <w:b w:val="0"/>
                <w:color w:val="1A1410"/>
                <w:sz w:val="18"/>
              </w:rPr>
              <w:t>Kuja Build</w:t>
            </w:r>
          </w:p>
        </w:tc>
        <w:tc>
          <w:tcPr>
            <w:tcW w:type="dxa" w:w="5760"/>
            <w:shd w:val="clear" w:fill="EEF2F8"/>
          </w:tcPr>
          <w:p>
            <w:pPr>
              <w:spacing w:after="20" w:before="20"/>
            </w:pPr>
            <w:r/>
            <w:r>
              <w:rPr>
                <w:rFonts w:ascii="Georgia" w:hAnsi="Georgia"/>
                <w:b w:val="0"/>
                <w:color w:val="1A1410"/>
                <w:sz w:val="18"/>
              </w:rPr>
              <w:t>The nonprofit operating system — Odoo-based finance, accounting, procurement, HR, plus governance, grants-compliance and M&amp;E modules. Sold in modules.</w:t>
            </w:r>
          </w:p>
        </w:tc>
        <w:tc>
          <w:tcPr>
            <w:tcW w:type="dxa" w:w="2736"/>
            <w:shd w:val="clear" w:fill="EEF2F8"/>
          </w:tcPr>
          <w:p>
            <w:pPr>
              <w:spacing w:after="20" w:before="20"/>
            </w:pPr>
            <w:r/>
            <w:r>
              <w:rPr>
                <w:rFonts w:ascii="Georgia" w:hAnsi="Georgia"/>
                <w:b w:val="0"/>
                <w:color w:val="1A1410"/>
                <w:sz w:val="18"/>
              </w:rPr>
              <w:t>The NGO directly, or a donor sponsoring it for grantees</w:t>
            </w:r>
          </w:p>
        </w:tc>
      </w:tr>
    </w:tbl>
    <w:p>
      <w:pPr>
        <w:spacing w:after="20"/>
      </w:pPr>
    </w:p>
    <w:p>
      <w:pPr>
        <w:pStyle w:val="Heading2"/>
      </w:pPr>
      <w:r>
        <w:t>4.1 Kuja Link — discovery, networking, and the front door</w:t>
      </w:r>
    </w:p>
    <w:p>
      <w:pPr>
        <w:spacing w:after="140"/>
      </w:pPr>
      <w:r>
        <w:rPr>
          <w:rFonts w:ascii="Georgia" w:hAnsi="Georgia"/>
          <w:b w:val="0"/>
          <w:i w:val="0"/>
          <w:color w:val="1A1410"/>
          <w:sz w:val="21"/>
        </w:rPr>
        <w:t>Link is the supply-and-demand side of the loop and the least-commercial, most-viral layer. The networking tier is free for any organization: a public profile, discussion spaces, a resource library, and free grant listings. Donors and intermediaries browse organizations matched to their criteria with AI-grounded recommendations that cite actual evidence. Link builds the pool of trusted organizations that makes everything else valuable. (Companion: Kuja Link product spec.)</w:t>
      </w:r>
    </w:p>
    <w:p>
      <w:pPr>
        <w:pStyle w:val="Heading2"/>
      </w:pPr>
      <w:r>
        <w:t>4.2 Kuja Trust — the portable Trust Passport</w:t>
      </w:r>
    </w:p>
    <w:p>
      <w:pPr>
        <w:spacing w:after="140"/>
      </w:pPr>
      <w:r>
        <w:rPr>
          <w:rFonts w:ascii="Georgia" w:hAnsi="Georgia"/>
          <w:b w:val="0"/>
          <w:i w:val="0"/>
          <w:color w:val="1A1410"/>
          <w:sz w:val="21"/>
        </w:rPr>
        <w:t>Trust is the paid, portable core that sits inside a Link profile and is Kuja’s central asset. It verifies an organization across identity and registration, live sanctions and PEP screening, AI adverse-media review, bank verification, conflict-of-interest capture, and a five-framework capacity assessment (Kuja, STEP, UN-HACT, CHS, NUPAS). It issues a verification mark, guided improvement recommendations, and active surfacing to good-fit donors. Crucially, the passport is portable and reusable: verified due diligence travels with the organization to every donor and every grant, so the same work is never repeated. An NGO completes it once and carries it. Because it is a discrete, sellable asset, Trust can also be licensed to third-party due-diligence providers as an API or white-label product. (Companion: Kuja Trust Passport product spec and market analysis.)</w:t>
      </w:r>
    </w:p>
    <w:p>
      <w:pPr>
        <w:pStyle w:val="Heading2"/>
      </w:pPr>
      <w:r>
        <w:t>4.3 Kuja Fund — the end-to-end grant lifecycle</w:t>
      </w:r>
    </w:p>
    <w:p>
      <w:pPr>
        <w:spacing w:after="140"/>
      </w:pPr>
      <w:r>
        <w:rPr>
          <w:rFonts w:ascii="Georgia" w:hAnsi="Georgia"/>
          <w:b w:val="0"/>
          <w:i w:val="0"/>
          <w:color w:val="1A1410"/>
          <w:sz w:val="21"/>
        </w:rPr>
        <w:t>Fund runs the full grant lifecycle from design to compliance close-out. Donors create grants in a wizard; AI grounds every recommendation in the donor’s own program documents. NGOs apply with AI assistance, in six languages, by voice and photo where typing is a barrier. Reviewer panels are auto-assigned, calibrated, anonymous to the applicant, and surfaced with per-criterion evidence citations — with the organization’s Trust Rating carried into the ranking. Reports are AI-evaluated against the specific grant agreement, per requirement, with structured compliance signals and plain-language flags. Every application, report and compliance score writes back into the Trust Profile. NGOs never pay to apply or report — the funder posting the grant is the customer. (Companion: Kuja Fund / Grant product spec and market analysis.)</w:t>
      </w:r>
    </w:p>
    <w:p>
      <w:pPr>
        <w:pStyle w:val="Heading2"/>
      </w:pPr>
      <w:r>
        <w:t>4.4 Kuja Build — the nonprofit operating system</w:t>
      </w:r>
    </w:p>
    <w:p>
      <w:pPr>
        <w:spacing w:after="140"/>
      </w:pPr>
      <w:r>
        <w:rPr>
          <w:rFonts w:ascii="Georgia" w:hAnsi="Georgia"/>
          <w:b w:val="0"/>
          <w:i w:val="0"/>
          <w:color w:val="1A1410"/>
          <w:sz w:val="21"/>
        </w:rPr>
        <w:t>Build is the operating system that makes a funded organization verifiably stronger. It combines an Odoo-based financial core — finance, accounting, grant budgeting, procurement, HR, payroll, assets, inventory — with the governance and delivery modules an NGO runs on: admin and internal comms, SOPs and policies, contracts, board and governance, KPIs, initiatives and projects, grants-and-compliance, CRM/business development, and M&amp;E. It is sold in modules, with a priority release order (initiatives, contracts, grants-compliance, CRM, M&amp;E first). Financial management and procurement are central — an operating system without them is not market-disrupting, which is why Build integrates them rather than shipping operations tooling and accounting as separate products.</w:t>
      </w:r>
    </w:p>
    <w:p>
      <w:pPr>
        <w:spacing w:after="140"/>
      </w:pPr>
      <w:r>
        <w:rPr>
          <w:rFonts w:ascii="Georgia" w:hAnsi="Georgia"/>
          <w:b w:val="0"/>
          <w:i w:val="0"/>
          <w:color w:val="1A1410"/>
          <w:sz w:val="21"/>
        </w:rPr>
        <w:t>Build feeds the loop without forcing donors to adopt it. An organization runs Build for its own back office; its live operational and financial data flows — by API, at the organization’s consent — into its Trust Rating on Link and into grant-scoped compliance reporting on Fund. The donor sees the benefit through the Fund layer and never has to adopt Build themselves. Reporting does not require multi-tenancy inside Build; it is API sharing from the org’s Build system to its Link profile to the grant it was awarded. This lets Kuja sell Link, Fund and Build separately or as one integrated solution — and upsell Build as the full end-to-end system for grantees — without the confusion of donors adopting an ERP. (Companion: Kuja Build product spec.)</w:t>
      </w:r>
    </w:p>
    <w:tbl>
      <w:tblPr>
        <w:tblStyle w:val="TableGrid"/>
        <w:tblW w:type="auto" w:w="0"/>
        <w:tblLook w:firstColumn="1" w:firstRow="1" w:lastColumn="0" w:lastRow="0" w:noHBand="0" w:noVBand="1" w:val="04A0"/>
      </w:tblPr>
      <w:tblGrid>
        <w:gridCol w:w="9648"/>
      </w:tblGrid>
      <w:tr>
        <w:tc>
          <w:tcPr>
            <w:tcW w:type="dxa" w:w="9648"/>
            <w:shd w:val="clear" w:fill="FBEDE6"/>
          </w:tcPr>
          <w:p>
            <w:r/>
            <w:r>
              <w:rPr>
                <w:rFonts w:ascii="Georgia" w:hAnsi="Georgia"/>
                <w:b/>
                <w:color w:val="C2410C"/>
                <w:sz w:val="20"/>
              </w:rPr>
              <w:t xml:space="preserve">Why the integration is the moat:  </w:t>
            </w:r>
            <w:r>
              <w:rPr>
                <w:rFonts w:ascii="Georgia" w:hAnsi="Georgia"/>
                <w:color w:val="1A1410"/>
                <w:sz w:val="20"/>
              </w:rPr>
              <w:t>no competitor offers all four on one platform with one Trust Profile, one AI memory and one audit chain. Fluxx + Sage Intacct + Candid + a due-diligence consultancy is the legacy stack for a serious foundation. Kuja is the integrated alternative, and a competitor would have to rebuild all four layers plus the data flows between them to match it.</w:t>
            </w:r>
          </w:p>
        </w:tc>
      </w:tr>
    </w:tbl>
    <w:p>
      <w:pPr>
        <w:spacing w:after="20"/>
      </w:pPr>
    </w:p>
    <w:p>
      <w:pPr>
        <w:pStyle w:val="Heading2"/>
      </w:pPr>
      <w:r>
        <w:t>4.5 The trust loop</w:t>
      </w:r>
    </w:p>
    <w:p>
      <w:pPr>
        <w:spacing w:after="140"/>
      </w:pPr>
      <w:r>
        <w:rPr>
          <w:rFonts w:ascii="Georgia" w:hAnsi="Georgia"/>
          <w:b w:val="0"/>
          <w:i w:val="0"/>
          <w:color w:val="1A1410"/>
          <w:sz w:val="21"/>
        </w:rPr>
        <w:t>An organization joins Link and builds its Trust Passport → applies for and wins funding on Fund → every application, report and compliance score writes back into the passport → Build adds live operational and financial data → the profile a donor sees is earned and current, not self-declared → the next due-diligence cycle is faster and cheaper for both sides → more funding flows → more data strengthens the passport. Over a 24-month engagement the result is a Trust Profile backed by a live compliance record and current financials — the strongest available answer to "how do I know I can trust this organization?", and the outcome that justifies a donor sponsoring grantee infrastructure.</w:t>
      </w:r>
    </w:p>
    <w:p>
      <w:pPr>
        <w:pStyle w:val="Heading2"/>
      </w:pPr>
      <w:r>
        <w:t>4.6 Delivery is partner-led</w:t>
      </w:r>
    </w:p>
    <w:p>
      <w:pPr>
        <w:spacing w:after="140"/>
      </w:pPr>
      <w:r>
        <w:rPr>
          <w:rFonts w:ascii="Georgia" w:hAnsi="Georgia"/>
          <w:b w:val="0"/>
          <w:i w:val="0"/>
          <w:color w:val="1A1410"/>
          <w:sz w:val="21"/>
        </w:rPr>
        <w:t>Kuja does not build an in-house advisory arm. Implementation, training and operational-strengthening services are delivered through established regional BPO and advisory firms already serving NGOs across East and West Africa, MENA, Asia-Pacific and LatAm, under a non-compete on the software layer: partners use Kuja software with every client and keep the services revenue, Kuja refers work to certified partners and earns software revenue plus a referral share, and the same firms can run their own white-label tenants. This gives regional delivery capacity without scaling Kuja’s headcount. (Commercial terms are in the GTM Strategy.)</w:t>
      </w:r>
    </w:p>
    <w:p>
      <w:pPr>
        <w:pStyle w:val="Heading1"/>
      </w:pPr>
      <w:r>
        <w:t>5. AI as the Operating System</w:t>
      </w:r>
    </w:p>
    <w:p>
      <w:pPr>
        <w:spacing w:after="140"/>
      </w:pPr>
      <w:r>
        <w:rPr>
          <w:rFonts w:ascii="Georgia" w:hAnsi="Georgia"/>
          <w:b w:val="0"/>
          <w:i w:val="0"/>
          <w:color w:val="1A1410"/>
          <w:sz w:val="21"/>
        </w:rPr>
        <w:t>Kuja AI is the operating system, not a chat widget — more than 50 distinct AI surfaces run across the platform today, built on seven principles: grounded (every output cites the customer’s own data), action-oriented (it does work, it does not chat), tenant-specific (it knows your rubrics and thresholds), fallback-aware (every surface has a deterministic manual path), multilingual (six languages, Whisper fallback), auditable (every call telemetered), and cost-aware (heavy work runs in the background; per-org budget gates).</w:t>
      </w:r>
    </w:p>
    <w:p>
      <w:pPr>
        <w:spacing w:after="140"/>
      </w:pPr>
      <w:r>
        <w:rPr>
          <w:rFonts w:ascii="Georgia" w:hAnsi="Georgia"/>
          <w:b w:val="0"/>
          <w:i w:val="0"/>
          <w:color w:val="1A1410"/>
          <w:sz w:val="21"/>
        </w:rPr>
        <w:t>Three structural advantages no incumbent matches: (1) mainstream vendors bolt AI on rather than rebuild — Submittable, Salesforce Einstein and Bonterra layer AI over rigid data models, and none ships per-requirement evaluation of reports against grant agreements with citations; (2) foundation AI adoption is essentially zero (97% not screening with AI), so the category is greenfield; and (3) six-language Global Majority coverage with Whisper fallback is a moat in markets mainstream LLMs do not serve.</w:t>
      </w:r>
    </w:p>
    <w:p>
      <w:pPr>
        <w:pStyle w:val="Heading1"/>
      </w:pPr>
      <w:r>
        <w:t>6. Competitive Positioning</w:t>
      </w:r>
    </w:p>
    <w:p>
      <w:pPr>
        <w:spacing w:after="140"/>
      </w:pPr>
      <w:r>
        <w:rPr>
          <w:rFonts w:ascii="Georgia" w:hAnsi="Georgia"/>
          <w:b w:val="0"/>
          <w:i w:val="0"/>
          <w:color w:val="1A1410"/>
          <w:sz w:val="21"/>
        </w:rPr>
        <w:t>Kuja competes against different vendors in each product; the integrated loop is the proposition no single vendor matches. A summary follows; the full landscapes are in the companion market analyses.</w:t>
      </w:r>
    </w:p>
    <w:tbl>
      <w:tblPr>
        <w:tblStyle w:val="TableGrid"/>
        <w:tblW w:type="auto" w:w="0"/>
        <w:tblLook w:firstColumn="1" w:firstRow="1" w:lastColumn="0" w:lastRow="0" w:noHBand="0" w:noVBand="1" w:val="04A0"/>
      </w:tblPr>
      <w:tblGrid>
        <w:gridCol w:w="3216"/>
        <w:gridCol w:w="3216"/>
        <w:gridCol w:w="3216"/>
      </w:tblGrid>
      <w:tr>
        <w:tc>
          <w:tcPr>
            <w:tcW w:type="dxa" w:w="1872"/>
            <w:shd w:val="clear" w:fill="1F3864"/>
          </w:tcPr>
          <w:p>
            <w:pPr>
              <w:spacing w:after="20" w:before="20"/>
            </w:pPr>
            <w:r/>
            <w:r>
              <w:rPr>
                <w:rFonts w:ascii="Georgia" w:hAnsi="Georgia"/>
                <w:b/>
                <w:color w:val="FFFFFF"/>
                <w:sz w:val="17"/>
              </w:rPr>
              <w:t>Product</w:t>
            </w:r>
          </w:p>
        </w:tc>
        <w:tc>
          <w:tcPr>
            <w:tcW w:type="dxa" w:w="3600"/>
            <w:shd w:val="clear" w:fill="1F3864"/>
          </w:tcPr>
          <w:p>
            <w:pPr>
              <w:spacing w:after="20" w:before="20"/>
            </w:pPr>
            <w:r/>
            <w:r>
              <w:rPr>
                <w:rFonts w:ascii="Georgia" w:hAnsi="Georgia"/>
                <w:b/>
                <w:color w:val="FFFFFF"/>
                <w:sz w:val="17"/>
              </w:rPr>
              <w:t>Competes with</w:t>
            </w:r>
          </w:p>
        </w:tc>
        <w:tc>
          <w:tcPr>
            <w:tcW w:type="dxa" w:w="4896"/>
            <w:shd w:val="clear" w:fill="1F3864"/>
          </w:tcPr>
          <w:p>
            <w:pPr>
              <w:spacing w:after="20" w:before="20"/>
            </w:pPr>
            <w:r/>
            <w:r>
              <w:rPr>
                <w:rFonts w:ascii="Georgia" w:hAnsi="Georgia"/>
                <w:b/>
                <w:color w:val="FFFFFF"/>
                <w:sz w:val="17"/>
              </w:rPr>
              <w:t>Where Kuja wins</w:t>
            </w:r>
          </w:p>
        </w:tc>
      </w:tr>
      <w:tr>
        <w:tc>
          <w:tcPr>
            <w:tcW w:type="dxa" w:w="1872"/>
          </w:tcPr>
          <w:p>
            <w:pPr>
              <w:spacing w:after="20" w:before="20"/>
            </w:pPr>
            <w:r/>
            <w:r>
              <w:rPr>
                <w:rFonts w:ascii="Georgia" w:hAnsi="Georgia"/>
                <w:b w:val="0"/>
                <w:color w:val="1A1410"/>
                <w:sz w:val="17"/>
              </w:rPr>
              <w:t>Kuja Fund</w:t>
            </w:r>
          </w:p>
        </w:tc>
        <w:tc>
          <w:tcPr>
            <w:tcW w:type="dxa" w:w="3600"/>
          </w:tcPr>
          <w:p>
            <w:pPr>
              <w:spacing w:after="20" w:before="20"/>
            </w:pPr>
            <w:r/>
            <w:r>
              <w:rPr>
                <w:rFonts w:ascii="Georgia" w:hAnsi="Georgia"/>
                <w:b w:val="0"/>
                <w:color w:val="1A1410"/>
                <w:sz w:val="17"/>
              </w:rPr>
              <w:t>Submittable, Foundant+SmartSimple, Fluxx, Salesforce Grantmaking, Blackbaud, GivingData</w:t>
            </w:r>
          </w:p>
        </w:tc>
        <w:tc>
          <w:tcPr>
            <w:tcW w:type="dxa" w:w="4896"/>
          </w:tcPr>
          <w:p>
            <w:pPr>
              <w:spacing w:after="20" w:before="20"/>
            </w:pPr>
            <w:r/>
            <w:r>
              <w:rPr>
                <w:rFonts w:ascii="Georgia" w:hAnsi="Georgia"/>
                <w:b w:val="0"/>
                <w:color w:val="1A1410"/>
                <w:sz w:val="17"/>
              </w:rPr>
              <w:t>Six-language workflow parity; AI grounded in the donor’s documents with citations; per-requirement report evaluation; native sanctions + African registry checks; mobile/voice/photo field access — verified absent in all incumbents.</w:t>
            </w:r>
          </w:p>
        </w:tc>
      </w:tr>
      <w:tr>
        <w:tc>
          <w:tcPr>
            <w:tcW w:type="dxa" w:w="1872"/>
            <w:shd w:val="clear" w:fill="EEF2F8"/>
          </w:tcPr>
          <w:p>
            <w:pPr>
              <w:spacing w:after="20" w:before="20"/>
            </w:pPr>
            <w:r/>
            <w:r>
              <w:rPr>
                <w:rFonts w:ascii="Georgia" w:hAnsi="Georgia"/>
                <w:b w:val="0"/>
                <w:color w:val="1A1410"/>
                <w:sz w:val="17"/>
              </w:rPr>
              <w:t>Kuja Build</w:t>
            </w:r>
          </w:p>
        </w:tc>
        <w:tc>
          <w:tcPr>
            <w:tcW w:type="dxa" w:w="3600"/>
            <w:shd w:val="clear" w:fill="EEF2F8"/>
          </w:tcPr>
          <w:p>
            <w:pPr>
              <w:spacing w:after="20" w:before="20"/>
            </w:pPr>
            <w:r/>
            <w:r>
              <w:rPr>
                <w:rFonts w:ascii="Georgia" w:hAnsi="Georgia"/>
                <w:b w:val="0"/>
                <w:color w:val="1A1410"/>
                <w:sz w:val="17"/>
              </w:rPr>
              <w:t>Sage Intacct, NetSuite Social Impact, QuickBooks, Odoo-for-NGOs</w:t>
            </w:r>
          </w:p>
        </w:tc>
        <w:tc>
          <w:tcPr>
            <w:tcW w:type="dxa" w:w="4896"/>
            <w:shd w:val="clear" w:fill="EEF2F8"/>
          </w:tcPr>
          <w:p>
            <w:pPr>
              <w:spacing w:after="20" w:before="20"/>
            </w:pPr>
            <w:r/>
            <w:r>
              <w:rPr>
                <w:rFonts w:ascii="Georgia" w:hAnsi="Georgia"/>
                <w:b w:val="0"/>
                <w:color w:val="1A1410"/>
                <w:sz w:val="17"/>
              </w:rPr>
              <w:t>The only operating system whose ledger auto-feeds grant compliance and keeps the Trust Profile current; donors get the benefit without adopting it; six-language parity; a fraction of Sage/NetSuite cost.</w:t>
            </w:r>
          </w:p>
        </w:tc>
      </w:tr>
      <w:tr>
        <w:tc>
          <w:tcPr>
            <w:tcW w:type="dxa" w:w="1872"/>
          </w:tcPr>
          <w:p>
            <w:pPr>
              <w:spacing w:after="20" w:before="20"/>
            </w:pPr>
            <w:r/>
            <w:r>
              <w:rPr>
                <w:rFonts w:ascii="Georgia" w:hAnsi="Georgia"/>
                <w:b w:val="0"/>
                <w:color w:val="1A1410"/>
                <w:sz w:val="17"/>
              </w:rPr>
              <w:t>Kuja Link / Trust</w:t>
            </w:r>
          </w:p>
        </w:tc>
        <w:tc>
          <w:tcPr>
            <w:tcW w:type="dxa" w:w="3600"/>
          </w:tcPr>
          <w:p>
            <w:pPr>
              <w:spacing w:after="20" w:before="20"/>
            </w:pPr>
            <w:r/>
            <w:r>
              <w:rPr>
                <w:rFonts w:ascii="Georgia" w:hAnsi="Georgia"/>
                <w:b w:val="0"/>
                <w:color w:val="1A1410"/>
                <w:sz w:val="17"/>
              </w:rPr>
              <w:t>GlobalGiving, Candid, Instrumentl; NGOsource/TechSoup for verification</w:t>
            </w:r>
          </w:p>
        </w:tc>
        <w:tc>
          <w:tcPr>
            <w:tcW w:type="dxa" w:w="4896"/>
          </w:tcPr>
          <w:p>
            <w:pPr>
              <w:spacing w:after="20" w:before="20"/>
            </w:pPr>
            <w:r/>
            <w:r>
              <w:rPr>
                <w:rFonts w:ascii="Georgia" w:hAnsi="Georgia"/>
                <w:b w:val="0"/>
                <w:color w:val="1A1410"/>
                <w:sz w:val="17"/>
              </w:rPr>
              <w:t>A two-sided institutional trust marketplace with a portable, reusable passport — distinct from crowdfunding, foundation databases and one-funder legal determinations.</w:t>
            </w:r>
          </w:p>
        </w:tc>
      </w:tr>
      <w:tr>
        <w:tc>
          <w:tcPr>
            <w:tcW w:type="dxa" w:w="1872"/>
            <w:shd w:val="clear" w:fill="EEF2F8"/>
          </w:tcPr>
          <w:p>
            <w:pPr>
              <w:spacing w:after="20" w:before="20"/>
            </w:pPr>
            <w:r/>
            <w:r>
              <w:rPr>
                <w:rFonts w:ascii="Georgia" w:hAnsi="Georgia"/>
                <w:b w:val="0"/>
                <w:color w:val="1A1410"/>
                <w:sz w:val="17"/>
              </w:rPr>
              <w:t>Closed network funds</w:t>
            </w:r>
          </w:p>
        </w:tc>
        <w:tc>
          <w:tcPr>
            <w:tcW w:type="dxa" w:w="3600"/>
            <w:shd w:val="clear" w:fill="EEF2F8"/>
          </w:tcPr>
          <w:p>
            <w:pPr>
              <w:spacing w:after="20" w:before="20"/>
            </w:pPr>
            <w:r/>
            <w:r>
              <w:rPr>
                <w:rFonts w:ascii="Georgia" w:hAnsi="Georgia"/>
                <w:b w:val="0"/>
                <w:color w:val="1A1410"/>
                <w:sz w:val="17"/>
              </w:rPr>
              <w:t>No commercial peer-governed pooled-fund SaaS exists</w:t>
            </w:r>
          </w:p>
        </w:tc>
        <w:tc>
          <w:tcPr>
            <w:tcW w:type="dxa" w:w="4896"/>
            <w:shd w:val="clear" w:fill="EEF2F8"/>
          </w:tcPr>
          <w:p>
            <w:pPr>
              <w:spacing w:after="20" w:before="20"/>
            </w:pPr>
            <w:r/>
            <w:r>
              <w:rPr>
                <w:rFonts w:ascii="Georgia" w:hAnsi="Georgia"/>
                <w:b w:val="0"/>
                <w:color w:val="1A1410"/>
                <w:sz w:val="17"/>
              </w:rPr>
              <w:t>First mover; proven live at both extremes — Proximate (Sudan) and Saxansaxo (Somalia) — on one engine.</w:t>
            </w:r>
          </w:p>
        </w:tc>
      </w:tr>
    </w:tbl>
    <w:p>
      <w:pPr>
        <w:spacing w:after="20"/>
      </w:pPr>
    </w:p>
    <w:p>
      <w:pPr>
        <w:pStyle w:val="Heading1"/>
      </w:pPr>
      <w:r>
        <w:t>7. Why Adeso / Kuja</w:t>
      </w:r>
    </w:p>
    <w:p>
      <w:pPr>
        <w:pStyle w:val="ListBullet"/>
        <w:spacing w:after="60"/>
      </w:pPr>
      <w:r>
        <w:rPr>
          <w:rFonts w:ascii="Georgia" w:hAnsi="Georgia"/>
          <w:b/>
          <w:color w:val="1A1410"/>
          <w:sz w:val="21"/>
        </w:rPr>
        <w:t xml:space="preserve">The platform is production-deployed. </w:t>
      </w:r>
      <w:r>
        <w:rPr>
          <w:rFonts w:ascii="Georgia" w:hAnsi="Georgia"/>
          <w:color w:val="1A1410"/>
          <w:sz w:val="21"/>
        </w:rPr>
        <w:t>Four live tenants; 50+ AI surfaces; 130+ numbered phases shipped in ~six months; production deploys daily. Verified test coverage across E2E regression, UAT, logic invariants and health probes.</w:t>
      </w:r>
    </w:p>
    <w:p>
      <w:pPr>
        <w:pStyle w:val="ListBullet"/>
        <w:spacing w:after="60"/>
      </w:pPr>
      <w:r>
        <w:rPr>
          <w:rFonts w:ascii="Georgia" w:hAnsi="Georgia"/>
          <w:b/>
          <w:color w:val="1A1410"/>
          <w:sz w:val="21"/>
        </w:rPr>
        <w:t xml:space="preserve">Adeso’s own transformation is the methodology. </w:t>
      </w:r>
      <w:r>
        <w:rPr>
          <w:rFonts w:ascii="Georgia" w:hAnsi="Georgia"/>
          <w:color w:val="1A1410"/>
          <w:sz w:val="21"/>
        </w:rPr>
        <w:t>Adeso ran a structured nine-month operational transformation on itself in 2024 — diagnose, improve, automate — and that methodology now shapes Kuja’s onboarding playbooks. We are selling something we did to ourselves.</w:t>
      </w:r>
    </w:p>
    <w:p>
      <w:pPr>
        <w:pStyle w:val="ListBullet"/>
        <w:spacing w:after="60"/>
      </w:pPr>
      <w:r>
        <w:rPr>
          <w:rFonts w:ascii="Georgia" w:hAnsi="Georgia"/>
          <w:b/>
          <w:color w:val="1A1410"/>
          <w:sz w:val="21"/>
        </w:rPr>
        <w:t xml:space="preserve">Global Majority by origin and design. </w:t>
      </w:r>
      <w:r>
        <w:rPr>
          <w:rFonts w:ascii="Georgia" w:hAnsi="Georgia"/>
          <w:color w:val="1A1410"/>
          <w:sz w:val="21"/>
        </w:rPr>
        <w:t>Somali-founded, Nairobi-based, 30+ years across Africa. Six languages at parity; seven country registries pre-mapped; mobile-first because that is how the market works.</w:t>
      </w:r>
    </w:p>
    <w:p>
      <w:pPr>
        <w:pStyle w:val="ListBullet"/>
        <w:spacing w:after="60"/>
      </w:pPr>
      <w:r>
        <w:rPr>
          <w:rFonts w:ascii="Georgia" w:hAnsi="Georgia"/>
          <w:b/>
          <w:color w:val="1A1410"/>
          <w:sz w:val="21"/>
        </w:rPr>
        <w:t xml:space="preserve">NEAR is the reference architecture. </w:t>
      </w:r>
      <w:r>
        <w:rPr>
          <w:rFonts w:ascii="Georgia" w:hAnsi="Georgia"/>
          <w:color w:val="1A1410"/>
          <w:sz w:val="21"/>
        </w:rPr>
        <w:t>Adeso co-founded the Network for Empowered Aid Response in 2016; the NEAR tenant is the reference deployment for closed networks.</w:t>
      </w:r>
    </w:p>
    <w:p>
      <w:pPr>
        <w:pStyle w:val="ListBullet"/>
        <w:spacing w:after="60"/>
      </w:pPr>
      <w:r>
        <w:rPr>
          <w:rFonts w:ascii="Georgia" w:hAnsi="Georgia"/>
          <w:b/>
          <w:color w:val="1A1410"/>
          <w:sz w:val="21"/>
        </w:rPr>
        <w:t xml:space="preserve">Audit chain is integral, not retrofitted. </w:t>
      </w:r>
      <w:r>
        <w:rPr>
          <w:rFonts w:ascii="Georgia" w:hAnsi="Georgia"/>
          <w:color w:val="1A1410"/>
          <w:sz w:val="21"/>
        </w:rPr>
        <w:t>The data model writes a hash-linked entry for every governance action. Competitors would have to rewrite their data layer to match.</w:t>
      </w:r>
    </w:p>
    <w:p>
      <w:pPr>
        <w:pStyle w:val="ListBullet"/>
        <w:spacing w:after="60"/>
      </w:pPr>
      <w:r>
        <w:rPr>
          <w:rFonts w:ascii="Georgia" w:hAnsi="Georgia"/>
          <w:b/>
          <w:color w:val="1A1410"/>
          <w:sz w:val="21"/>
        </w:rPr>
        <w:t xml:space="preserve">We tell the truth about risks. </w:t>
      </w:r>
      <w:r>
        <w:rPr>
          <w:rFonts w:ascii="Georgia" w:hAnsi="Georgia"/>
          <w:color w:val="1A1410"/>
          <w:sz w:val="21"/>
        </w:rPr>
        <w:t>The backlog is public to customers under NDA; we deploy with documented gates; every customer sees the operational picture we see.</w:t>
      </w:r>
    </w:p>
    <w:p>
      <w:pPr>
        <w:pStyle w:val="Heading1"/>
      </w:pPr>
      <w:r>
        <w:t>8. Risks and Mitigations</w:t>
      </w:r>
    </w:p>
    <w:tbl>
      <w:tblPr>
        <w:tblStyle w:val="TableGrid"/>
        <w:tblW w:type="auto" w:w="0"/>
        <w:tblLook w:firstColumn="1" w:firstRow="1" w:lastColumn="0" w:lastRow="0" w:noHBand="0" w:noVBand="1" w:val="04A0"/>
      </w:tblPr>
      <w:tblGrid>
        <w:gridCol w:w="4824"/>
        <w:gridCol w:w="4824"/>
      </w:tblGrid>
      <w:tr>
        <w:tc>
          <w:tcPr>
            <w:tcW w:type="dxa" w:w="4464"/>
            <w:shd w:val="clear" w:fill="1F3864"/>
          </w:tcPr>
          <w:p>
            <w:pPr>
              <w:spacing w:after="20" w:before="20"/>
            </w:pPr>
            <w:r/>
            <w:r>
              <w:rPr>
                <w:rFonts w:ascii="Georgia" w:hAnsi="Georgia"/>
                <w:b/>
                <w:color w:val="FFFFFF"/>
                <w:sz w:val="18"/>
              </w:rPr>
              <w:t>Risk</w:t>
            </w:r>
          </w:p>
        </w:tc>
        <w:tc>
          <w:tcPr>
            <w:tcW w:type="dxa" w:w="5184"/>
            <w:shd w:val="clear" w:fill="1F3864"/>
          </w:tcPr>
          <w:p>
            <w:pPr>
              <w:spacing w:after="20" w:before="20"/>
            </w:pPr>
            <w:r/>
            <w:r>
              <w:rPr>
                <w:rFonts w:ascii="Georgia" w:hAnsi="Georgia"/>
                <w:b/>
                <w:color w:val="FFFFFF"/>
                <w:sz w:val="18"/>
              </w:rPr>
              <w:t>Mitigation</w:t>
            </w:r>
          </w:p>
        </w:tc>
      </w:tr>
      <w:tr>
        <w:tc>
          <w:tcPr>
            <w:tcW w:type="dxa" w:w="4464"/>
          </w:tcPr>
          <w:p>
            <w:pPr>
              <w:spacing w:after="20" w:before="20"/>
            </w:pPr>
            <w:r/>
            <w:r>
              <w:rPr>
                <w:rFonts w:ascii="Georgia" w:hAnsi="Georgia"/>
                <w:b w:val="0"/>
                <w:color w:val="1A1410"/>
                <w:sz w:val="18"/>
              </w:rPr>
              <w:t>Partner-led implementation quality — a weak partner engagement damages the brand.</w:t>
            </w:r>
          </w:p>
        </w:tc>
        <w:tc>
          <w:tcPr>
            <w:tcW w:type="dxa" w:w="5184"/>
          </w:tcPr>
          <w:p>
            <w:pPr>
              <w:spacing w:after="20" w:before="20"/>
            </w:pPr>
            <w:r/>
            <w:r>
              <w:rPr>
                <w:rFonts w:ascii="Georgia" w:hAnsi="Georgia"/>
                <w:b w:val="0"/>
                <w:color w:val="1A1410"/>
                <w:sz w:val="18"/>
              </w:rPr>
              <w:t>Certification program with structured playbooks; software-layer non-compete; joint delivery on first engagements; phased pilots.</w:t>
            </w:r>
          </w:p>
        </w:tc>
      </w:tr>
      <w:tr>
        <w:tc>
          <w:tcPr>
            <w:tcW w:type="dxa" w:w="4464"/>
            <w:shd w:val="clear" w:fill="EEF2F8"/>
          </w:tcPr>
          <w:p>
            <w:pPr>
              <w:spacing w:after="20" w:before="20"/>
            </w:pPr>
            <w:r/>
            <w:r>
              <w:rPr>
                <w:rFonts w:ascii="Georgia" w:hAnsi="Georgia"/>
                <w:b w:val="0"/>
                <w:color w:val="1A1410"/>
                <w:sz w:val="18"/>
              </w:rPr>
              <w:t>Customer concentration in Years 1–2.</w:t>
            </w:r>
          </w:p>
        </w:tc>
        <w:tc>
          <w:tcPr>
            <w:tcW w:type="dxa" w:w="5184"/>
            <w:shd w:val="clear" w:fill="EEF2F8"/>
          </w:tcPr>
          <w:p>
            <w:pPr>
              <w:spacing w:after="20" w:before="20"/>
            </w:pPr>
            <w:r/>
            <w:r>
              <w:rPr>
                <w:rFonts w:ascii="Georgia" w:hAnsi="Georgia"/>
                <w:b w:val="0"/>
                <w:color w:val="1A1410"/>
                <w:sz w:val="18"/>
              </w:rPr>
              <w:t>Diversify the pilot pipeline across motions in parallel; land-and-expand within each account; annual contracts with quarterly value reviews.</w:t>
            </w:r>
          </w:p>
        </w:tc>
      </w:tr>
      <w:tr>
        <w:tc>
          <w:tcPr>
            <w:tcW w:type="dxa" w:w="4464"/>
          </w:tcPr>
          <w:p>
            <w:pPr>
              <w:spacing w:after="20" w:before="20"/>
            </w:pPr>
            <w:r/>
            <w:r>
              <w:rPr>
                <w:rFonts w:ascii="Georgia" w:hAnsi="Georgia"/>
                <w:b w:val="0"/>
                <w:color w:val="1A1410"/>
                <w:sz w:val="18"/>
              </w:rPr>
              <w:t>Adoption / behavior change — grantees and program officers resist new tools.</w:t>
            </w:r>
          </w:p>
        </w:tc>
        <w:tc>
          <w:tcPr>
            <w:tcW w:type="dxa" w:w="5184"/>
          </w:tcPr>
          <w:p>
            <w:pPr>
              <w:spacing w:after="20" w:before="20"/>
            </w:pPr>
            <w:r/>
            <w:r>
              <w:rPr>
                <w:rFonts w:ascii="Georgia" w:hAnsi="Georgia"/>
                <w:b w:val="0"/>
                <w:color w:val="1A1410"/>
                <w:sz w:val="18"/>
              </w:rPr>
              <w:t>Six months of support in every implementation; voice/photo reduce typing burden; six-language parity; mobile-first.</w:t>
            </w:r>
          </w:p>
        </w:tc>
      </w:tr>
      <w:tr>
        <w:tc>
          <w:tcPr>
            <w:tcW w:type="dxa" w:w="4464"/>
            <w:shd w:val="clear" w:fill="EEF2F8"/>
          </w:tcPr>
          <w:p>
            <w:pPr>
              <w:spacing w:after="20" w:before="20"/>
            </w:pPr>
            <w:r/>
            <w:r>
              <w:rPr>
                <w:rFonts w:ascii="Georgia" w:hAnsi="Georgia"/>
                <w:b w:val="0"/>
                <w:color w:val="1A1410"/>
                <w:sz w:val="18"/>
              </w:rPr>
              <w:t>AI cost spike or hallucination.</w:t>
            </w:r>
          </w:p>
        </w:tc>
        <w:tc>
          <w:tcPr>
            <w:tcW w:type="dxa" w:w="5184"/>
            <w:shd w:val="clear" w:fill="EEF2F8"/>
          </w:tcPr>
          <w:p>
            <w:pPr>
              <w:spacing w:after="20" w:before="20"/>
            </w:pPr>
            <w:r/>
            <w:r>
              <w:rPr>
                <w:rFonts w:ascii="Georgia" w:hAnsi="Georgia"/>
                <w:b w:val="0"/>
                <w:color w:val="1A1410"/>
                <w:sz w:val="18"/>
              </w:rPr>
              <w:t>Prompt caching; cheaper models for transformation, reasoning models only where needed; per-org budget gates; every output grounded and cited; deterministic fallbacks; telemetry.</w:t>
            </w:r>
          </w:p>
        </w:tc>
      </w:tr>
      <w:tr>
        <w:tc>
          <w:tcPr>
            <w:tcW w:type="dxa" w:w="4464"/>
          </w:tcPr>
          <w:p>
            <w:pPr>
              <w:spacing w:after="20" w:before="20"/>
            </w:pPr>
            <w:r/>
            <w:r>
              <w:rPr>
                <w:rFonts w:ascii="Georgia" w:hAnsi="Georgia"/>
                <w:b w:val="0"/>
                <w:color w:val="1A1410"/>
                <w:sz w:val="18"/>
              </w:rPr>
              <w:t>Trust-passport market is unproven commercially.</w:t>
            </w:r>
          </w:p>
        </w:tc>
        <w:tc>
          <w:tcPr>
            <w:tcW w:type="dxa" w:w="5184"/>
          </w:tcPr>
          <w:p>
            <w:pPr>
              <w:spacing w:after="20" w:before="20"/>
            </w:pPr>
            <w:r/>
            <w:r>
              <w:rPr>
                <w:rFonts w:ascii="Georgia" w:hAnsi="Georgia"/>
                <w:b w:val="0"/>
                <w:color w:val="1A1410"/>
                <w:sz w:val="18"/>
              </w:rPr>
              <w:t>Monetize Trust primarily through the bundle and sponsor-funding, not a standalone donor-paid pass; watch the NGOsource sustainability lesson; validate in pilots (see GTM).</w:t>
            </w:r>
          </w:p>
        </w:tc>
      </w:tr>
      <w:tr>
        <w:tc>
          <w:tcPr>
            <w:tcW w:type="dxa" w:w="4464"/>
            <w:shd w:val="clear" w:fill="EEF2F8"/>
          </w:tcPr>
          <w:p>
            <w:pPr>
              <w:spacing w:after="20" w:before="20"/>
            </w:pPr>
            <w:r/>
            <w:r>
              <w:rPr>
                <w:rFonts w:ascii="Georgia" w:hAnsi="Georgia"/>
                <w:b w:val="0"/>
                <w:color w:val="1A1410"/>
                <w:sz w:val="18"/>
              </w:rPr>
              <w:t>Cross-tenant security not yet independently tested.</w:t>
            </w:r>
          </w:p>
        </w:tc>
        <w:tc>
          <w:tcPr>
            <w:tcW w:type="dxa" w:w="5184"/>
            <w:shd w:val="clear" w:fill="EEF2F8"/>
          </w:tcPr>
          <w:p>
            <w:pPr>
              <w:spacing w:after="20" w:before="20"/>
            </w:pPr>
            <w:r/>
            <w:r>
              <w:rPr>
                <w:rFonts w:ascii="Georgia" w:hAnsi="Georgia"/>
                <w:b w:val="0"/>
                <w:color w:val="1A1410"/>
                <w:sz w:val="18"/>
              </w:rPr>
              <w:t>External penetration test scheduled before the second paid network tenant; audit-chain integrity monitored; results shared with customers under NDA.</w:t>
            </w:r>
          </w:p>
        </w:tc>
      </w:tr>
    </w:tbl>
    <w:p>
      <w:pPr>
        <w:spacing w:after="20"/>
      </w:pPr>
    </w:p>
    <w:p>
      <w:pPr>
        <w:pStyle w:val="Heading1"/>
      </w:pPr>
      <w:r>
        <w:t>9. Business Model &amp; Financial Outlook</w:t>
      </w:r>
    </w:p>
    <w:p>
      <w:pPr>
        <w:spacing w:after="140"/>
      </w:pPr>
      <w:r>
        <w:rPr>
          <w:rFonts w:ascii="Georgia" w:hAnsi="Georgia"/>
          <w:b w:val="0"/>
          <w:i w:val="0"/>
          <w:color w:val="1A1410"/>
          <w:sz w:val="21"/>
        </w:rPr>
        <w:t>The commercial model, pricing and pilot plan are detailed in the companion GTM Strategy; the shape of the business is summarized here so this document stands alone.</w:t>
      </w:r>
    </w:p>
    <w:p>
      <w:pPr>
        <w:pStyle w:val="ListBullet"/>
        <w:spacing w:after="60"/>
      </w:pPr>
      <w:r>
        <w:rPr>
          <w:rFonts w:ascii="Georgia" w:hAnsi="Georgia"/>
          <w:b/>
          <w:color w:val="1A1410"/>
          <w:sz w:val="21"/>
        </w:rPr>
        <w:t xml:space="preserve">Follow the budget. </w:t>
      </w:r>
      <w:r>
        <w:rPr>
          <w:rFonts w:ascii="Georgia" w:hAnsi="Georgia"/>
          <w:color w:val="1A1410"/>
          <w:sz w:val="21"/>
        </w:rPr>
        <w:t>Funders, networks and fund operators hold the software budget and capture the measurable savings — so they pay. NGOs never pay to apply, report, or hold a core passport; Build is priced as a deal an NGO can afford (a small fraction of a budget, well below the multi-system alternative) or sponsored by a donor.</w:t>
      </w:r>
    </w:p>
    <w:p>
      <w:pPr>
        <w:pStyle w:val="ListBullet"/>
        <w:spacing w:after="60"/>
      </w:pPr>
      <w:r>
        <w:rPr>
          <w:rFonts w:ascii="Georgia" w:hAnsi="Georgia"/>
          <w:b/>
          <w:color w:val="1A1410"/>
          <w:sz w:val="21"/>
        </w:rPr>
        <w:t xml:space="preserve">Value-based, not per-seat. </w:t>
      </w:r>
      <w:r>
        <w:rPr>
          <w:rFonts w:ascii="Georgia" w:hAnsi="Georgia"/>
          <w:color w:val="1A1410"/>
          <w:sz w:val="21"/>
        </w:rPr>
        <w:t>Fund is priced on grant volume; Trust on the organizations a funder relies on; Build on organization size and modules. Users are unlimited.</w:t>
      </w:r>
    </w:p>
    <w:p>
      <w:pPr>
        <w:pStyle w:val="ListBullet"/>
        <w:spacing w:after="60"/>
      </w:pPr>
      <w:r>
        <w:rPr>
          <w:rFonts w:ascii="Georgia" w:hAnsi="Georgia"/>
          <w:b/>
          <w:color w:val="1A1410"/>
          <w:sz w:val="21"/>
        </w:rPr>
        <w:t xml:space="preserve">Software-heavy margins. </w:t>
      </w:r>
      <w:r>
        <w:rPr>
          <w:rFonts w:ascii="Georgia" w:hAnsi="Georgia"/>
          <w:color w:val="1A1410"/>
          <w:sz w:val="21"/>
        </w:rPr>
        <w:t>No in-house services arm — implementation is partner-delivered — so gross margins are structurally high (target 75%+ blended).</w:t>
      </w:r>
    </w:p>
    <w:p>
      <w:pPr>
        <w:spacing w:after="140" w:before="40"/>
      </w:pPr>
      <w:r>
        <w:rPr>
          <w:rFonts w:ascii="Georgia" w:hAnsi="Georgia"/>
          <w:b w:val="0"/>
          <w:i w:val="0"/>
          <w:color w:val="1A1410"/>
          <w:sz w:val="21"/>
        </w:rPr>
        <w:t>Trajectory. 2026 is a pilot year: paid pilots across the motions, with the first real revenue from a small number of donors sponsoring Build for their grantees. 2027 converts those pilots to annual contracts and opens the donor-discovery motion once the Link organization pool is deep enough. 2028 scales regionally. The company is grant-funded today, targets first commercial revenue in 2026, sustainable revenue through 2028, and break-even by 2029 on the conservative case — with the detailed, re-based projections in the GTM Strategy.</w:t>
      </w:r>
    </w:p>
    <w:p>
      <w:pPr>
        <w:pStyle w:val="Heading1"/>
      </w:pPr>
      <w:r>
        <w:t>10. Capital Strategy</w:t>
      </w:r>
    </w:p>
    <w:p>
      <w:pPr>
        <w:spacing w:after="140"/>
      </w:pPr>
      <w:r>
        <w:rPr>
          <w:rFonts w:ascii="Georgia" w:hAnsi="Georgia"/>
          <w:b w:val="0"/>
          <w:i w:val="0"/>
          <w:color w:val="1A1410"/>
          <w:sz w:val="21"/>
        </w:rPr>
        <w:t>Kuja is 100% grant-funded under Adeso today. Phase 1 (2025–2026) uses foundation grants to fund the engineering build and first pilots. Phase 2 (H2 2026–2027) is a bridge blending grants and first commercial pilots, with a growth-capital ask of $1.5M–$2.5M over 18 months, deployable in milestone tranches (GTM + customer success; regional delivery and partner activation; security certification and bilateral-procurement preparation). Phase 3 (2028+) is the path to self-sustaining on a software-heavy margin base. Priority hires: Head of GTM, partner-enablement lead, ERP implementation leads, regional customer-success managers, and a compliance/security lead for SOC 2 and penetration testing.</w:t>
      </w:r>
    </w:p>
    <w:p>
      <w:pPr>
        <w:pStyle w:val="Heading1"/>
      </w:pPr>
      <w:r>
        <w:t>11. Production Status (Snapshot)</w:t>
      </w:r>
    </w:p>
    <w:p>
      <w:pPr>
        <w:pStyle w:val="ListBullet"/>
        <w:spacing w:after="60"/>
      </w:pPr>
      <w:r>
        <w:rPr>
          <w:rFonts w:ascii="Georgia" w:hAnsi="Georgia"/>
          <w:b/>
          <w:color w:val="1A1410"/>
          <w:sz w:val="21"/>
        </w:rPr>
        <w:t xml:space="preserve">Live and verified. </w:t>
      </w:r>
      <w:r>
        <w:rPr>
          <w:rFonts w:ascii="Georgia" w:hAnsi="Georgia"/>
          <w:color w:val="1A1410"/>
          <w:sz w:val="21"/>
        </w:rPr>
        <w:t>Four tenants in production — the open Kuja Link marketplace, the NEAR closed peer-governed network, the Proximate crisis fund (Sudan), and the Saxansaxo community-led fund (Somalia). Fund operational; Trust portable across donors; 50+ AI surfaces telemetered; hash-anchored audit chain validated end-to-end.</w:t>
      </w:r>
    </w:p>
    <w:p>
      <w:pPr>
        <w:pStyle w:val="ListBullet"/>
        <w:spacing w:after="60"/>
      </w:pPr>
      <w:r>
        <w:rPr>
          <w:rFonts w:ascii="Georgia" w:hAnsi="Georgia"/>
          <w:b/>
          <w:color w:val="1A1410"/>
          <w:sz w:val="21"/>
        </w:rPr>
        <w:t xml:space="preserve">In UAT. </w:t>
      </w:r>
      <w:r>
        <w:rPr>
          <w:rFonts w:ascii="Georgia" w:hAnsi="Georgia"/>
          <w:color w:val="1A1410"/>
          <w:sz w:val="21"/>
        </w:rPr>
        <w:t>Kuja Build — finance, accounting and grant-budgeting modules live; procurement and HR next.</w:t>
      </w:r>
    </w:p>
    <w:p>
      <w:pPr>
        <w:pStyle w:val="ListBullet"/>
        <w:spacing w:after="60"/>
      </w:pPr>
      <w:r>
        <w:rPr>
          <w:rFonts w:ascii="Georgia" w:hAnsi="Georgia"/>
          <w:b/>
          <w:color w:val="1A1410"/>
          <w:sz w:val="21"/>
        </w:rPr>
        <w:t xml:space="preserve">Honest gaps (tracked, open to customers under NDA). </w:t>
      </w:r>
      <w:r>
        <w:rPr>
          <w:rFonts w:ascii="Georgia" w:hAnsi="Georgia"/>
          <w:color w:val="1A1410"/>
          <w:sz w:val="21"/>
        </w:rPr>
        <w:t>Production email transport and the Whisper API key not yet wired; cross-tenant penetration test scheduled; native-language device testing pending; demo-data cleanup queued before the next major foundation demo.</w:t>
      </w:r>
    </w:p>
    <w:tbl>
      <w:tblPr>
        <w:tblStyle w:val="TableGrid"/>
        <w:tblW w:type="auto" w:w="0"/>
        <w:tblLook w:firstColumn="1" w:firstRow="1" w:lastColumn="0" w:lastRow="0" w:noHBand="0" w:noVBand="1" w:val="04A0"/>
      </w:tblPr>
      <w:tblGrid>
        <w:gridCol w:w="9648"/>
      </w:tblGrid>
      <w:tr>
        <w:tc>
          <w:tcPr>
            <w:tcW w:type="dxa" w:w="9648"/>
            <w:shd w:val="clear" w:fill="FBEDE6"/>
          </w:tcPr>
          <w:p>
            <w:r/>
            <w:r>
              <w:rPr>
                <w:rFonts w:ascii="Georgia" w:hAnsi="Georgia"/>
                <w:b/>
                <w:color w:val="C2410C"/>
                <w:sz w:val="20"/>
              </w:rPr>
              <w:t xml:space="preserve">The claim is proven at both extremes.  </w:t>
            </w:r>
            <w:r>
              <w:rPr>
                <w:rFonts w:ascii="Georgia" w:hAnsi="Georgia"/>
                <w:color w:val="1A1410"/>
                <w:sz w:val="20"/>
              </w:rPr>
              <w:t>Proximate (Sudan) runs relational validation, multi-signature co-sign ladders, hawala rails and zero-login Arabic voice flows — more control than any incumbent offers. Saxansaxo (Somalia) runs a deliberately light community-led model with a 10-day disbursement clock and no spend policing. The same engine, configured not rebuilt, in two of the hardest environments on earth.</w:t>
            </w:r>
          </w:p>
        </w:tc>
      </w:tr>
    </w:tbl>
    <w:p>
      <w:pPr>
        <w:spacing w:after="20"/>
      </w:pPr>
    </w:p>
    <w:p>
      <w:pPr>
        <w:pStyle w:val="Heading1"/>
      </w:pPr>
      <w:r>
        <w:t>12. The Ask &amp; Sources</w:t>
      </w:r>
    </w:p>
    <w:p>
      <w:pPr>
        <w:spacing w:after="140"/>
      </w:pPr>
      <w:r>
        <w:rPr>
          <w:rFonts w:ascii="Georgia" w:hAnsi="Georgia"/>
          <w:b w:val="0"/>
          <w:i w:val="0"/>
          <w:color w:val="1A1410"/>
          <w:sz w:val="21"/>
        </w:rPr>
        <w:t>The ask depends on who you are — network, funder, foundation/DAF, or investor — and is detailed with the pilot offers in the GTM Strategy. Reach us at kuja@adeso.org; live demo on request.</w:t>
      </w:r>
    </w:p>
    <w:p>
      <w:pPr>
        <w:spacing w:after="140"/>
      </w:pPr>
      <w:r>
        <w:rPr>
          <w:rFonts w:ascii="Georgia" w:hAnsi="Georgia"/>
          <w:b w:val="0"/>
          <w:i w:val="0"/>
          <w:color w:val="57534E"/>
          <w:sz w:val="19"/>
        </w:rPr>
        <w:t>Every statistical claim above is traceable to a published source. Key sources: OECD (2026 ODA decline; 2025 Private Philanthropy for Development); ALNAP Global Humanitarian Assistance Report 2025; Development Initiatives (localization); Donor Tracker and House of Commons Library (bilateral budgets); Virtuous/Fundraising.AI and Candid (nonprofit and funder AI adoption); Ford Foundation, IKEA Foundation, CBS News (trust-based giving); Gates Foundation and Ford (AI governance); arXiv 2502.19582 and AIES 2025 (multilingual AI gap and bias). The full bibliography is retained in the companion market analyses and the Strategy Cohesion Brief.</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Georgia" w:hAnsi="Georgia"/>
      <w:color w:val="1A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C2410C"/>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41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