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</w:pPr>
      <w:r>
        <w:rPr>
          <w:rFonts w:ascii="Georgia" w:hAnsi="Georgia"/>
          <w:b/>
          <w:color w:val="C2410C"/>
          <w:sz w:val="28"/>
        </w:rPr>
        <w:t>Kuja Pricing — One-Page Summary</w:t>
      </w:r>
    </w:p>
    <w:p>
      <w:pPr>
        <w:spacing w:after="60" w:line="240" w:lineRule="auto"/>
      </w:pPr>
      <w:r>
        <w:rPr>
          <w:rFonts w:ascii="Georgia" w:hAnsi="Georgia"/>
          <w:b w:val="0"/>
          <w:i w:val="0"/>
          <w:color w:val="57534E"/>
          <w:sz w:val="15"/>
        </w:rPr>
        <w:t>For the leadership decision meeting · 9 August 2026 · a recommendation to validate in paid pilots, not a public rate card. All USD, annual, unlimited users. Detail in Kuja GTM Strategy V2.0.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val="clear" w:fill="FBEDE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C2410C"/>
                <w:sz w:val="16"/>
              </w:rPr>
              <w:t xml:space="preserve">The model in one line:  </w:t>
            </w:r>
            <w:r>
              <w:rPr>
                <w:rFonts w:ascii="Georgia" w:hAnsi="Georgia"/>
                <w:color w:val="1A1410"/>
                <w:sz w:val="16"/>
              </w:rPr>
              <w:t>Keep NGOs free. Charge a FLAT annual fee per tier — the value a customer manages (grant volume, orgs relied on, org size) only selects the tier; it is never a live percentage. Sell to whoever holds the budget. Bundle the four so each sale seeds the next. No % of disbursements. Trust is the product.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The four products — who pays, entry price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115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Product</w:t>
            </w:r>
          </w:p>
        </w:tc>
        <w:tc>
          <w:tcPr>
            <w:tcW w:type="dxa" w:w="295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What it is</w:t>
            </w:r>
          </w:p>
        </w:tc>
        <w:tc>
          <w:tcPr>
            <w:tcW w:type="dxa" w:w="2448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Who pays</w:t>
            </w:r>
          </w:p>
        </w:tc>
        <w:tc>
          <w:tcPr>
            <w:tcW w:type="dxa" w:w="151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Priced on</w:t>
            </w:r>
          </w:p>
        </w:tc>
        <w:tc>
          <w:tcPr>
            <w:tcW w:type="dxa" w:w="720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Entry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Link</w:t>
            </w:r>
          </w:p>
        </w:tc>
        <w:tc>
          <w:tcPr>
            <w:tcW w:type="dxa" w:w="29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Networking marketplace + discovery</w:t>
            </w:r>
          </w:p>
        </w:tc>
        <w:tc>
          <w:tcPr>
            <w:tcW w:type="dxa" w:w="244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Free (Trust Rating paid)</w:t>
            </w:r>
          </w:p>
        </w:tc>
        <w:tc>
          <w:tcPr>
            <w:tcW w:type="dxa" w:w="151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Free tier</w:t>
            </w:r>
          </w:p>
        </w:tc>
        <w:tc>
          <w:tcPr>
            <w:tcW w:type="dxa" w:w="72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$0</w:t>
            </w:r>
          </w:p>
        </w:tc>
      </w:tr>
      <w:tr>
        <w:tc>
          <w:tcPr>
            <w:tcW w:type="dxa" w:w="11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Trust</w:t>
            </w:r>
          </w:p>
        </w:tc>
        <w:tc>
          <w:tcPr>
            <w:tcW w:type="dxa" w:w="29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Portable Trust Passport</w:t>
            </w:r>
          </w:p>
        </w:tc>
        <w:tc>
          <w:tcPr>
            <w:tcW w:type="dxa" w:w="244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Funder / sponsor (NGO free)</w:t>
            </w:r>
          </w:p>
        </w:tc>
        <w:tc>
          <w:tcPr>
            <w:tcW w:type="dxa" w:w="151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Orgs relied on</w:t>
            </w:r>
          </w:p>
        </w:tc>
        <w:tc>
          <w:tcPr>
            <w:tcW w:type="dxa" w:w="72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$3,000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Fund</w:t>
            </w:r>
          </w:p>
        </w:tc>
        <w:tc>
          <w:tcPr>
            <w:tcW w:type="dxa" w:w="29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End-to-end grant lifecycle</w:t>
            </w:r>
          </w:p>
        </w:tc>
        <w:tc>
          <w:tcPr>
            <w:tcW w:type="dxa" w:w="244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Funder posting the grant</w:t>
            </w:r>
          </w:p>
        </w:tc>
        <w:tc>
          <w:tcPr>
            <w:tcW w:type="dxa" w:w="151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Grant volume</w:t>
            </w:r>
          </w:p>
        </w:tc>
        <w:tc>
          <w:tcPr>
            <w:tcW w:type="dxa" w:w="72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</w:t>
            </w:r>
          </w:p>
        </w:tc>
      </w:tr>
      <w:tr>
        <w:tc>
          <w:tcPr>
            <w:tcW w:type="dxa" w:w="11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Build</w:t>
            </w:r>
          </w:p>
        </w:tc>
        <w:tc>
          <w:tcPr>
            <w:tcW w:type="dxa" w:w="29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Nonprofit operating system (ERP)</w:t>
            </w:r>
          </w:p>
        </w:tc>
        <w:tc>
          <w:tcPr>
            <w:tcW w:type="dxa" w:w="244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NGO or donor-sponsored</w:t>
            </w:r>
          </w:p>
        </w:tc>
        <w:tc>
          <w:tcPr>
            <w:tcW w:type="dxa" w:w="151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Size + modules</w:t>
            </w:r>
          </w:p>
        </w:tc>
        <w:tc>
          <w:tcPr>
            <w:tcW w:type="dxa" w:w="72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Kuja Fund — flat annual fee, by grant-volume band (not a % of grants)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58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Plan</w:t>
            </w:r>
          </w:p>
        </w:tc>
        <w:tc>
          <w:tcPr>
            <w:tcW w:type="dxa" w:w="158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Annual</w:t>
            </w:r>
          </w:p>
        </w:tc>
        <w:tc>
          <w:tcPr>
            <w:tcW w:type="dxa" w:w="4608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Fits</w:t>
            </w:r>
          </w:p>
        </w:tc>
      </w:tr>
      <w:tr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Community</w:t>
            </w:r>
          </w:p>
        </w:tc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</w:t>
            </w:r>
          </w:p>
        </w:tc>
        <w:tc>
          <w:tcPr>
            <w:tcW w:type="dxa" w:w="460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$250k · 25 partners</w:t>
            </w:r>
          </w:p>
        </w:tc>
      </w:tr>
      <w:tr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Core</w:t>
            </w:r>
          </w:p>
        </w:tc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$8,000</w:t>
            </w:r>
          </w:p>
        </w:tc>
        <w:tc>
          <w:tcPr>
            <w:tcW w:type="dxa" w:w="460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$1M · 100 partners</w:t>
            </w:r>
          </w:p>
        </w:tc>
      </w:tr>
      <w:tr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</w:t>
            </w:r>
          </w:p>
        </w:tc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$16,000</w:t>
            </w:r>
          </w:p>
        </w:tc>
        <w:tc>
          <w:tcPr>
            <w:tcW w:type="dxa" w:w="460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$5M · 300 partners</w:t>
            </w:r>
          </w:p>
        </w:tc>
      </w:tr>
      <w:tr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Portfolio</w:t>
            </w:r>
          </w:p>
        </w:tc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$32,000</w:t>
            </w:r>
          </w:p>
        </w:tc>
        <w:tc>
          <w:tcPr>
            <w:tcW w:type="dxa" w:w="460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$15M · 1,000 partners</w:t>
            </w:r>
          </w:p>
        </w:tc>
      </w:tr>
      <w:tr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Network</w:t>
            </w:r>
          </w:p>
        </w:tc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$60,000</w:t>
            </w:r>
          </w:p>
        </w:tc>
        <w:tc>
          <w:tcPr>
            <w:tcW w:type="dxa" w:w="460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$50M · multi-entity</w:t>
            </w:r>
          </w:p>
        </w:tc>
      </w:tr>
      <w:tr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Enterprise</w:t>
            </w:r>
          </w:p>
        </w:tc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From $100,000</w:t>
            </w:r>
          </w:p>
        </w:tc>
        <w:tc>
          <w:tcPr>
            <w:tcW w:type="dxa" w:w="460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Above; residency / SLA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Kuja Trust Passport — NGO free; funder pays to rely at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2160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Plan</w:t>
            </w:r>
          </w:p>
        </w:tc>
        <w:tc>
          <w:tcPr>
            <w:tcW w:type="dxa" w:w="187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Annual</w:t>
            </w:r>
          </w:p>
        </w:tc>
        <w:tc>
          <w:tcPr>
            <w:tcW w:type="dxa" w:w="374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Portfolio</w:t>
            </w:r>
          </w:p>
        </w:tc>
      </w:tr>
      <w:tr>
        <w:tc>
          <w:tcPr>
            <w:tcW w:type="dxa" w:w="216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NGO Core</w:t>
            </w:r>
          </w:p>
        </w:tc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$0</w:t>
            </w:r>
          </w:p>
        </w:tc>
        <w:tc>
          <w:tcPr>
            <w:tcW w:type="dxa" w:w="37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Unlimited create + share</w:t>
            </w:r>
          </w:p>
        </w:tc>
      </w:tr>
      <w:tr>
        <w:tc>
          <w:tcPr>
            <w:tcW w:type="dxa" w:w="216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Org Trust Rating</w:t>
            </w:r>
          </w:p>
        </w:tc>
        <w:tc>
          <w:tcPr>
            <w:tcW w:type="dxa" w:w="187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$250–$1,500</w:t>
            </w:r>
          </w:p>
        </w:tc>
        <w:tc>
          <w:tcPr>
            <w:tcW w:type="dxa" w:w="374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Verified standing (often sponsor-funded)</w:t>
            </w:r>
          </w:p>
        </w:tc>
      </w:tr>
      <w:tr>
        <w:tc>
          <w:tcPr>
            <w:tcW w:type="dxa" w:w="216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Essentials (funder)</w:t>
            </w:r>
          </w:p>
        </w:tc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$3,000</w:t>
            </w:r>
          </w:p>
        </w:tc>
        <w:tc>
          <w:tcPr>
            <w:tcW w:type="dxa" w:w="37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100 organizations</w:t>
            </w:r>
          </w:p>
        </w:tc>
      </w:tr>
      <w:tr>
        <w:tc>
          <w:tcPr>
            <w:tcW w:type="dxa" w:w="216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 (funder)</w:t>
            </w:r>
          </w:p>
        </w:tc>
        <w:tc>
          <w:tcPr>
            <w:tcW w:type="dxa" w:w="187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$9,000</w:t>
            </w:r>
          </w:p>
        </w:tc>
        <w:tc>
          <w:tcPr>
            <w:tcW w:type="dxa" w:w="374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500 organizations</w:t>
            </w:r>
          </w:p>
        </w:tc>
      </w:tr>
      <w:tr>
        <w:tc>
          <w:tcPr>
            <w:tcW w:type="dxa" w:w="216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Portfolio / Network</w:t>
            </w:r>
          </w:p>
        </w:tc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$20,000 / $40,000</w:t>
            </w:r>
          </w:p>
        </w:tc>
        <w:tc>
          <w:tcPr>
            <w:tcW w:type="dxa" w:w="37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2,000 / 5,000 organizations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Kuja Build — in modules; under 2% of budget; a deal vs Sage/NetSuite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115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Plan</w:t>
            </w:r>
          </w:p>
        </w:tc>
        <w:tc>
          <w:tcPr>
            <w:tcW w:type="dxa" w:w="1656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Direct (F)</w:t>
            </w:r>
          </w:p>
        </w:tc>
        <w:tc>
          <w:tcPr>
            <w:tcW w:type="dxa" w:w="194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Donor-sponsored (G)</w:t>
            </w:r>
          </w:p>
        </w:tc>
        <w:tc>
          <w:tcPr>
            <w:tcW w:type="dxa" w:w="302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Modules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Starter</w:t>
            </w:r>
          </w:p>
        </w:tc>
        <w:tc>
          <w:tcPr>
            <w:tcW w:type="dxa" w:w="165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$4,000–6,000</w:t>
            </w:r>
          </w:p>
        </w:tc>
        <w:tc>
          <w:tcPr>
            <w:tcW w:type="dxa" w:w="19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From $8,000 Y1</w:t>
            </w:r>
          </w:p>
        </w:tc>
        <w:tc>
          <w:tcPr>
            <w:tcW w:type="dxa" w:w="302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Admin, governance, grants, CRM, M&amp;E</w:t>
            </w:r>
          </w:p>
        </w:tc>
      </w:tr>
      <w:tr>
        <w:tc>
          <w:tcPr>
            <w:tcW w:type="dxa" w:w="11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</w:t>
            </w:r>
          </w:p>
        </w:tc>
        <w:tc>
          <w:tcPr>
            <w:tcW w:type="dxa" w:w="1656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$10,000–16,000</w:t>
            </w:r>
          </w:p>
        </w:tc>
        <w:tc>
          <w:tcPr>
            <w:tcW w:type="dxa" w:w="194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From $16,000 Y1</w:t>
            </w:r>
          </w:p>
        </w:tc>
        <w:tc>
          <w:tcPr>
            <w:tcW w:type="dxa" w:w="302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+ finance, procurement, HR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Enterprise</w:t>
            </w:r>
          </w:p>
        </w:tc>
        <w:tc>
          <w:tcPr>
            <w:tcW w:type="dxa" w:w="165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$24,000–40,000</w:t>
            </w:r>
          </w:p>
        </w:tc>
        <w:tc>
          <w:tcPr>
            <w:tcW w:type="dxa" w:w="19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Scoped</w:t>
            </w:r>
          </w:p>
        </w:tc>
        <w:tc>
          <w:tcPr>
            <w:tcW w:type="dxa" w:w="302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Full stack, multi-entity, payroll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The bundles — flat prices, discount applied once (never a running 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87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Bundle</w:t>
            </w:r>
          </w:p>
        </w:tc>
        <w:tc>
          <w:tcPr>
            <w:tcW w:type="dxa" w:w="3456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Combines</w:t>
            </w:r>
          </w:p>
        </w:tc>
        <w:tc>
          <w:tcPr>
            <w:tcW w:type="dxa" w:w="2880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Price (vs standalone)</w:t>
            </w:r>
          </w:p>
        </w:tc>
      </w:tr>
      <w:tr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Community Suite</w:t>
            </w:r>
          </w:p>
        </w:tc>
        <w:tc>
          <w:tcPr>
            <w:tcW w:type="dxa" w:w="345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Fund Community + Trust Essentials</w:t>
            </w:r>
          </w:p>
        </w:tc>
        <w:tc>
          <w:tcPr>
            <w:tcW w:type="dxa" w:w="288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$6,500 (vs $7,000)</w:t>
            </w:r>
          </w:p>
        </w:tc>
      </w:tr>
      <w:tr>
        <w:tc>
          <w:tcPr>
            <w:tcW w:type="dxa" w:w="187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Core Suite</w:t>
            </w:r>
          </w:p>
        </w:tc>
        <w:tc>
          <w:tcPr>
            <w:tcW w:type="dxa" w:w="3456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Fund Core + Trust Growth</w:t>
            </w:r>
          </w:p>
        </w:tc>
        <w:tc>
          <w:tcPr>
            <w:tcW w:type="dxa" w:w="288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$15,000 (vs $17,000)</w:t>
            </w:r>
          </w:p>
        </w:tc>
      </w:tr>
      <w:tr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 Suite</w:t>
            </w:r>
          </w:p>
        </w:tc>
        <w:tc>
          <w:tcPr>
            <w:tcW w:type="dxa" w:w="345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Fund Growth + Trust Portfolio</w:t>
            </w:r>
          </w:p>
        </w:tc>
        <w:tc>
          <w:tcPr>
            <w:tcW w:type="dxa" w:w="288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$31,000 (vs $36,000)</w:t>
            </w:r>
          </w:p>
        </w:tc>
      </w:tr>
      <w:tr>
        <w:tc>
          <w:tcPr>
            <w:tcW w:type="dxa" w:w="187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Network Suite</w:t>
            </w:r>
          </w:p>
        </w:tc>
        <w:tc>
          <w:tcPr>
            <w:tcW w:type="dxa" w:w="3456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Fund Network + Trust Network</w:t>
            </w:r>
          </w:p>
        </w:tc>
        <w:tc>
          <w:tcPr>
            <w:tcW w:type="dxa" w:w="288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$85,000 (vs $100,000)</w:t>
            </w:r>
          </w:p>
        </w:tc>
      </w:tr>
      <w:tr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Operate &amp; Prove</w:t>
            </w:r>
          </w:p>
        </w:tc>
        <w:tc>
          <w:tcPr>
            <w:tcW w:type="dxa" w:w="345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Build (any tier) + live Trust Rating</w:t>
            </w:r>
          </w:p>
        </w:tc>
        <w:tc>
          <w:tcPr>
            <w:tcW w:type="dxa" w:w="288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Build price; Trust Rating $0 extra</w:t>
            </w:r>
          </w:p>
        </w:tc>
      </w:tr>
      <w:tr>
        <w:tc>
          <w:tcPr>
            <w:tcW w:type="dxa" w:w="187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Full Platform</w:t>
            </w:r>
          </w:p>
        </w:tc>
        <w:tc>
          <w:tcPr>
            <w:tcW w:type="dxa" w:w="3456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Fund + Trust + Build (own org)</w:t>
            </w:r>
          </w:p>
        </w:tc>
        <w:tc>
          <w:tcPr>
            <w:tcW w:type="dxa" w:w="288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15–20% off the three tiers</w:t>
            </w:r>
          </w:p>
        </w:tc>
      </w:tr>
    </w:tbl>
    <w:p>
      <w:pPr>
        <w:spacing w:after="40" w:line="240" w:lineRule="auto"/>
      </w:pPr>
      <w:r>
        <w:rPr>
          <w:rFonts w:ascii="Georgia" w:hAnsi="Georgia"/>
          <w:b w:val="0"/>
          <w:i w:val="0"/>
          <w:color w:val="57534E"/>
          <w:sz w:val="14"/>
        </w:rPr>
        <w:t>Build feeds Trust and Fund, so any org on Build carries a self-updating passport — the Trust Rating rides along free. Donor-sponsored variants (Motion G) sit above the direct price.</w:t>
      </w:r>
    </w:p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The rules (non-negotiable)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NGOs never pay to apply, report, or hold a core passport — the funder pays. No % of disbursements.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Donor-paid price is always higher than the same org buying directly.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No org pays &gt;~2% of budget for software; Build reads as a deal vs buying multiple systems.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Discounts governed: bundle 7–15%, term 7–12%, localization 25% (≤$5M, donor-underwritten), 30% cap.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No free live-production pilots — paid pilots only, fully credited to Year 1 on timely conversion.</w:t>
      </w:r>
    </w:p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Decisions for leadership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Approve NGO core access as permanently free, and the tiers above as pilot recommendations (not public).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Confirm 2026 = pilot every motion / 2027 = convert; 2026 revenue = Motion G only (2–3 donors × ~5 grantees).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Reconcile Kuja Build pricing against James’s NEAR RFP costing before any external Build quote.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Hold public rate-card publication until 8–12 buyer interviews and 3 paid pilots across 2 segments close.</w:t>
      </w:r>
    </w:p>
    <w:p>
      <w:pPr>
        <w:spacing w:after="40" w:before="40" w:line="240" w:lineRule="auto"/>
      </w:pPr>
      <w:r>
        <w:rPr>
          <w:rFonts w:ascii="Georgia" w:hAnsi="Georgia"/>
          <w:b w:val="0"/>
          <w:i w:val="0"/>
          <w:color w:val="57534E"/>
          <w:sz w:val="14"/>
        </w:rPr>
        <w:t>Anchored to Plinth (£2.5k/£7.5k/£15k), Foundant GLM ($6.5k/$9.9k/$13.9k), NGOsource (donor-paid reuse), OpenSanctions (~€0.10/query). Figures are recommendations to test, not proof of willingness to pay.</w:t>
      </w:r>
    </w:p>
    <w:sectPr w:rsidR="00FC693F" w:rsidRPr="0006063C" w:rsidSect="00034616">
      <w:pgSz w:w="12240" w:h="15840"/>
      <w:pgMar w:top="605" w:right="792" w:bottom="547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Georgia" w:hAnsi="Georgia"/>
      <w:color w:val="1A141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