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E5E4E"/>
          <w:sz w:val="64"/>
          <w:szCs w:val="64"/>
        </w:rPr>
        <w:t xml:space="preserve">KUJA</w:t>
      </w:r>
    </w:p>
    <w:p>
      <w:pPr>
        <w:spacing w:after="40"/>
      </w:pPr>
      <w:r>
        <w:rPr>
          <w:color w:val="1A1A1A"/>
          <w:sz w:val="40"/>
          <w:szCs w:val="40"/>
        </w:rPr>
        <w:t xml:space="preserve">Grant Management System</w:t>
      </w:r>
    </w:p>
    <w:p>
      <w:pPr>
        <w:pBdr>
          <w:top w:val="single" w:color="C2410C" w:sz="12" w:space="6"/>
        </w:pBdr>
        <w:spacing w:after="0" w:before="260"/>
      </w:pPr>
      <w:r>
        <w:rPr>
          <w:b/>
          <w:bCs/>
          <w:color w:val="1A1A1A"/>
          <w:sz w:val="34"/>
          <w:szCs w:val="34"/>
        </w:rPr>
        <w:t xml:space="preserve">Technical Specification</w:t>
      </w:r>
    </w:p>
    <w:p>
      <w:pPr>
        <w:spacing w:after="0" w:before="40"/>
      </w:pPr>
      <w:r>
        <w:rPr>
          <w:color w:val="6B7280"/>
          <w:sz w:val="22"/>
          <w:szCs w:val="22"/>
        </w:rPr>
        <w:t xml:space="preserve">Architecture · Data · AI Design · Tooling · Security · Operations</w:t>
      </w:r>
    </w:p>
    <w:p>
      <w:pPr>
        <w:spacing w:before="1600"/>
      </w:pPr>
      <w:r>
        <w:rPr>
          <w:b/>
          <w:bCs/>
          <w:color w:val="1A1A1A"/>
          <w:sz w:val="24"/>
          <w:szCs w:val="24"/>
        </w:rPr>
        <w:t>Version 8.1</w:t>
      </w:r>
    </w:p>
    <w:p>
      <w:pPr>
        <w:spacing w:after="0"/>
      </w:pPr>
      <w:r>
        <w:rPr>
          <w:color w:val="6B7280"/>
          <w:sz w:val="22"/>
          <w:szCs w:val="22"/>
        </w:rPr>
        <w:t xml:space="preserve">July 2026</w:t>
      </w:r>
    </w:p>
    <w:p>
      <w:pPr>
        <w:spacing w:after="0"/>
      </w:pPr>
      <w:r>
        <w:rPr>
          <w:color w:val="6B7280"/>
          <w:sz w:val="20"/>
          <w:szCs w:val="20"/>
        </w:rPr>
        <w:t>Production reference build: c1974324cae4</w:t>
      </w:r>
    </w:p>
    <w:p>
      <w:pPr>
        <w:spacing w:after="0"/>
      </w:pPr>
      <w:r>
        <w:rPr>
          <w:color w:val="6B7280"/>
          <w:sz w:val="20"/>
          <w:szCs w:val="20"/>
        </w:rPr>
        <w:t xml:space="preserve">https://web-production-6f8a.up.railway.app</w:t>
      </w:r>
    </w:p>
    <w:p>
      <w:pPr>
        <w:spacing w:before="2000"/>
      </w:pPr>
      <w:r>
        <w:rPr>
          <w:i/>
          <w:iCs/>
          <w:color w:val="6B7280"/>
          <w:sz w:val="18"/>
          <w:szCs w:val="18"/>
        </w:rPr>
        <w:t xml:space="preserve">Confidential — internal engineering &amp; partner due-diligence use.</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600"/>
        <w:gridCol w:w="6760"/>
      </w:tblGrid>
      <w:tr>
        <w:trPr>
          <w:tblHeader/>
        </w:trPr>
        <w:tc>
          <w:tcPr>
            <w:tcW w:type="dxa" w:w="2600"/>
            <w:shd w:fill="1F3A34" w:color="auto" w:val="clear"/>
            <w:tcMar>
              <w:top w:type="dxa" w:w="60"/>
              <w:left w:type="dxa" w:w="110"/>
              <w:bottom w:type="dxa" w:w="60"/>
              <w:right w:type="dxa" w:w="110"/>
            </w:tcMar>
            <w:vAlign w:val="center"/>
          </w:tcPr>
          <w:p>
            <w:r>
              <w:rPr>
                <w:b/>
                <w:bCs/>
                <w:color w:val="FFFFFF"/>
                <w:sz w:val="19"/>
                <w:szCs w:val="19"/>
              </w:rPr>
              <w:t xml:space="preserve">Field</w:t>
            </w:r>
          </w:p>
        </w:tc>
        <w:tc>
          <w:tcPr>
            <w:tcW w:type="dxa" w:w="6760"/>
            <w:shd w:fill="1F3A34" w:color="auto" w:val="clear"/>
            <w:tcMar>
              <w:top w:type="dxa" w:w="60"/>
              <w:left w:type="dxa" w:w="110"/>
              <w:bottom w:type="dxa" w:w="60"/>
              <w:right w:type="dxa" w:w="110"/>
            </w:tcMar>
            <w:vAlign w:val="center"/>
          </w:tcPr>
          <w:p>
            <w:r>
              <w:rPr>
                <w:b/>
                <w:bCs/>
                <w:color w:val="FFFFFF"/>
                <w:sz w:val="19"/>
                <w:szCs w:val="19"/>
              </w:rPr>
              <w:t xml:space="preserve">Value</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Document</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Kuja Grant Management System — Technical Specification</w:t>
            </w:r>
          </w:p>
        </w:tc>
      </w:tr>
      <w:tr>
        <w:tc>
          <w:tcPr>
            <w:tcW w:type="dxa" w:w="2600"/>
            <w:shd w:fill="F3F5F4" w:color="auto" w:val="clear"/>
            <w:tcMar>
              <w:top w:type="dxa" w:w="50"/>
              <w:left w:type="dxa" w:w="110"/>
              <w:bottom w:type="dxa" w:w="50"/>
              <w:right w:type="dxa" w:w="110"/>
            </w:tcMar>
            <w:vAlign w:val="center"/>
          </w:tcPr>
          <w:p>
            <w:pPr>
              <w:spacing w:line="252"/>
            </w:pPr>
            <w:r>
              <w:rPr>
                <w:sz w:val="19"/>
                <w:szCs w:val="19"/>
              </w:rPr>
              <w:t xml:space="preserve">Version</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8.0 (supersedes v6.0 Technical Design Specification)</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Status</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Current — reflects the deployed production build</w:t>
            </w:r>
          </w:p>
        </w:tc>
      </w:tr>
      <w:tr>
        <w:tc>
          <w:tcPr>
            <w:tcW w:type="dxa" w:w="2600"/>
            <w:shd w:fill="F3F5F4" w:color="auto" w:val="clear"/>
            <w:tcMar>
              <w:top w:type="dxa" w:w="50"/>
              <w:left w:type="dxa" w:w="110"/>
              <w:bottom w:type="dxa" w:w="50"/>
              <w:right w:type="dxa" w:w="110"/>
            </w:tcMar>
            <w:vAlign w:val="center"/>
          </w:tcPr>
          <w:p>
            <w:pPr>
              <w:spacing w:line="252"/>
            </w:pPr>
            <w:r>
              <w:rPr>
                <w:sz w:val="19"/>
                <w:szCs w:val="19"/>
              </w:rPr>
              <w:t xml:space="preserve">Date</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July 2026</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Reference build</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1a6e661d9fa2 (backend SHA) / frontend build Em_3be9E5hm861DcKAKj3</w:t>
            </w:r>
          </w:p>
        </w:tc>
      </w:tr>
      <w:tr>
        <w:tc>
          <w:tcPr>
            <w:tcW w:type="dxa" w:w="2600"/>
            <w:shd w:fill="F3F5F4" w:color="auto" w:val="clear"/>
            <w:tcMar>
              <w:top w:type="dxa" w:w="50"/>
              <w:left w:type="dxa" w:w="110"/>
              <w:bottom w:type="dxa" w:w="50"/>
              <w:right w:type="dxa" w:w="110"/>
            </w:tcMar>
            <w:vAlign w:val="center"/>
          </w:tcPr>
          <w:p>
            <w:pPr>
              <w:spacing w:line="252"/>
            </w:pPr>
            <w:r>
              <w:rPr>
                <w:sz w:val="19"/>
                <w:szCs w:val="19"/>
              </w:rPr>
              <w:t xml:space="preserve">Environment</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Production — Railway (single service, PostgreSQL)</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Audience</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Engineering, technical leadership, funder / partner technical due diligence</w:t>
            </w:r>
          </w:p>
        </w:tc>
      </w:tr>
      <w:tr>
        <w:tc>
          <w:tcPr>
            <w:tcW w:type="dxa" w:w="2600"/>
            <w:shd w:fill="F3F5F4" w:color="auto" w:val="clear"/>
            <w:tcMar>
              <w:top w:type="dxa" w:w="50"/>
              <w:left w:type="dxa" w:w="110"/>
              <w:bottom w:type="dxa" w:w="50"/>
              <w:right w:type="dxa" w:w="110"/>
            </w:tcMar>
            <w:vAlign w:val="center"/>
          </w:tcPr>
          <w:p>
            <w:pPr>
              <w:spacing w:line="252"/>
            </w:pPr>
            <w:r>
              <w:rPr>
                <w:sz w:val="19"/>
                <w:szCs w:val="19"/>
              </w:rPr>
              <w:t xml:space="preserve">Basis</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Derived directly from source at time of writing; where code and prior docs disagreed, code is authoritative</w:t>
            </w:r>
          </w:p>
        </w:tc>
      </w:tr>
    </w:tbl>
    <w:p>
      <w:pPr>
        <w:spacing w:after="120"/>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Scope</w:t>
      </w:r>
    </w:p>
    <w:p>
      <w:pPr>
        <w:spacing w:after="120" w:line="276"/>
      </w:pPr>
      <w:r>
        <w:t xml:space="preserve">The Kuja Grant Management System is a multi-tenant web platform that runs the full grant lifecycle — discovery, application, review, award, disbursement, reporting, and compliance — for humanitarian and development funding, with a deliberate focus on Global-South operating conditions (low bandwidth, mobile-first, multilingual, low-trust environments).</w:t>
      </w:r>
    </w:p>
    <w:p>
      <w:pPr>
        <w:spacing w:after="120" w:line="276"/>
      </w:pPr>
      <w:r>
        <w:t xml:space="preserve">This specification documents the system as it is actually built and deployed: the technology stack, runtime architecture, data model, AI design and usage, third-party tooling, security posture, and operational model. It is written for engineers extending the system, technical leadership, and funders or partners conducting technical due diligence.</w:t>
      </w:r>
    </w:p>
    <w:p>
      <w:pPr>
        <w:spacing w:after="120" w:line="276"/>
      </w:pPr>
      <w:r>
        <w:rPr>
          <w:b/>
          <w:bCs/>
        </w:rPr>
        <w:t xml:space="preserve">Out of scope: </w:t>
      </w:r>
      <w:r>
        <w:t xml:space="preserve">product strategy, market analysis, and business requirements, which are maintained as separate portfolio artifacts (Business Strategy, Grant Market Analysis, and the v7.0 Business Requirements Document).</w:t>
      </w:r>
    </w:p>
    <w:p>
      <w:pPr>
        <w:pStyle w:val="Heading1"/>
      </w:pPr>
      <w:r>
        <w:t xml:space="preserve">2. System Overview</w:t>
      </w:r>
    </w:p>
    <w:p>
      <w:pPr>
        <w:spacing w:after="120" w:line="276"/>
      </w:pPr>
      <w:r>
        <w:t xml:space="preserve">The platform is a single deployable application: a Python/Flask backend that exposes a JSON API under /api and also serves a pre-built Next.js single-page front end as static assets. One codebase serves three distinct tenant "flavors" from the same deployment, differentiated by brand, workflow, and governance model.</w:t>
      </w:r>
    </w:p>
    <w:p>
      <w:pPr>
        <w:pStyle w:val="Heading2"/>
      </w:pPr>
      <w:r>
        <w:t xml:space="preserve">2.1 Tenant flavors</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1900"/>
        <w:gridCol w:w="2400"/>
        <w:gridCol w:w="5060"/>
      </w:tblGrid>
      <w:tr>
        <w:trPr>
          <w:tblHeader/>
        </w:trPr>
        <w:tc>
          <w:tcPr>
            <w:tcW w:type="dxa" w:w="1900"/>
            <w:shd w:fill="1F3A34" w:color="auto" w:val="clear"/>
            <w:tcMar>
              <w:top w:type="dxa" w:w="60"/>
              <w:left w:type="dxa" w:w="110"/>
              <w:bottom w:type="dxa" w:w="60"/>
              <w:right w:type="dxa" w:w="110"/>
            </w:tcMar>
            <w:vAlign w:val="center"/>
          </w:tcPr>
          <w:p>
            <w:r>
              <w:rPr>
                <w:b/>
                <w:bCs/>
                <w:color w:val="FFFFFF"/>
                <w:sz w:val="19"/>
                <w:szCs w:val="19"/>
              </w:rPr>
              <w:t xml:space="preserve">Tenant</w:t>
            </w:r>
          </w:p>
        </w:tc>
        <w:tc>
          <w:tcPr>
            <w:tcW w:type="dxa" w:w="2400"/>
            <w:shd w:fill="1F3A34" w:color="auto" w:val="clear"/>
            <w:tcMar>
              <w:top w:type="dxa" w:w="60"/>
              <w:left w:type="dxa" w:w="110"/>
              <w:bottom w:type="dxa" w:w="60"/>
              <w:right w:type="dxa" w:w="110"/>
            </w:tcMar>
            <w:vAlign w:val="center"/>
          </w:tcPr>
          <w:p>
            <w:r>
              <w:rPr>
                <w:b/>
                <w:bCs/>
                <w:color w:val="FFFFFF"/>
                <w:sz w:val="19"/>
                <w:szCs w:val="19"/>
              </w:rPr>
              <w:t xml:space="preserve">Model</w:t>
            </w:r>
          </w:p>
        </w:tc>
        <w:tc>
          <w:tcPr>
            <w:tcW w:type="dxa" w:w="5060"/>
            <w:shd w:fill="1F3A34" w:color="auto" w:val="clear"/>
            <w:tcMar>
              <w:top w:type="dxa" w:w="60"/>
              <w:left w:type="dxa" w:w="110"/>
              <w:bottom w:type="dxa" w:w="60"/>
              <w:right w:type="dxa" w:w="110"/>
            </w:tcMar>
            <w:vAlign w:val="center"/>
          </w:tcPr>
          <w:p>
            <w:r>
              <w:rPr>
                <w:b/>
                <w:bCs/>
                <w:color w:val="FFFFFF"/>
                <w:sz w:val="19"/>
                <w:szCs w:val="19"/>
              </w:rPr>
              <w:t xml:space="preserve">Character</w:t>
            </w:r>
          </w:p>
        </w:tc>
      </w:tr>
      <w:tr>
        <w:tc>
          <w:tcPr>
            <w:tcW w:type="dxa" w:w="1900"/>
            <w:shd w:fill="FFFFFF" w:color="auto" w:val="clear"/>
            <w:tcMar>
              <w:top w:type="dxa" w:w="50"/>
              <w:left w:type="dxa" w:w="110"/>
              <w:bottom w:type="dxa" w:w="50"/>
              <w:right w:type="dxa" w:w="110"/>
            </w:tcMar>
            <w:vAlign w:val="center"/>
          </w:tcPr>
          <w:p>
            <w:pPr>
              <w:spacing w:line="252"/>
            </w:pPr>
            <w:r>
              <w:rPr>
                <w:b/>
                <w:bCs/>
              </w:rPr>
              <w:t xml:space="preserve">Kuja Marketplace</w:t>
            </w:r>
          </w:p>
        </w:tc>
        <w:tc>
          <w:tcPr>
            <w:tcW w:type="dxa" w:w="2400"/>
            <w:shd w:fill="FFFFFF" w:color="auto" w:val="clear"/>
            <w:tcMar>
              <w:top w:type="dxa" w:w="50"/>
              <w:left w:type="dxa" w:w="110"/>
              <w:bottom w:type="dxa" w:w="50"/>
              <w:right w:type="dxa" w:w="110"/>
            </w:tcMar>
            <w:vAlign w:val="center"/>
          </w:tcPr>
          <w:p>
            <w:pPr>
              <w:spacing w:line="252"/>
            </w:pPr>
            <w:r>
              <w:rPr>
                <w:sz w:val="19"/>
                <w:szCs w:val="19"/>
              </w:rPr>
              <w:t xml:space="preserve">Open marketplace</w:t>
            </w:r>
          </w:p>
        </w:tc>
        <w:tc>
          <w:tcPr>
            <w:tcW w:type="dxa" w:w="5060"/>
            <w:shd w:fill="FFFFFF" w:color="auto" w:val="clear"/>
            <w:tcMar>
              <w:top w:type="dxa" w:w="50"/>
              <w:left w:type="dxa" w:w="110"/>
              <w:bottom w:type="dxa" w:w="50"/>
              <w:right w:type="dxa" w:w="110"/>
            </w:tcMar>
            <w:vAlign w:val="center"/>
          </w:tcPr>
          <w:p>
            <w:pPr>
              <w:spacing w:line="252"/>
            </w:pPr>
            <w:r>
              <w:rPr>
                <w:sz w:val="19"/>
                <w:szCs w:val="19"/>
              </w:rPr>
              <w:t xml:space="preserve">The default, public tenant. NGOs, Donors, and independent Reviewers transact around openly published grants. Roles: NGO / Donor / Reviewer.</w:t>
            </w:r>
          </w:p>
        </w:tc>
      </w:tr>
      <w:tr>
        <w:tc>
          <w:tcPr>
            <w:tcW w:type="dxa" w:w="1900"/>
            <w:shd w:fill="F3F5F4" w:color="auto" w:val="clear"/>
            <w:tcMar>
              <w:top w:type="dxa" w:w="50"/>
              <w:left w:type="dxa" w:w="110"/>
              <w:bottom w:type="dxa" w:w="50"/>
              <w:right w:type="dxa" w:w="110"/>
            </w:tcMar>
            <w:vAlign w:val="center"/>
          </w:tcPr>
          <w:p>
            <w:pPr>
              <w:spacing w:line="252"/>
            </w:pPr>
            <w:r>
              <w:rPr>
                <w:b/>
                <w:bCs/>
              </w:rPr>
              <w:t xml:space="preserve">NEAR</w:t>
            </w:r>
          </w:p>
        </w:tc>
        <w:tc>
          <w:tcPr>
            <w:tcW w:type="dxa" w:w="2400"/>
            <w:shd w:fill="F3F5F4" w:color="auto" w:val="clear"/>
            <w:tcMar>
              <w:top w:type="dxa" w:w="50"/>
              <w:left w:type="dxa" w:w="110"/>
              <w:bottom w:type="dxa" w:w="50"/>
              <w:right w:type="dxa" w:w="110"/>
            </w:tcMar>
            <w:vAlign w:val="center"/>
          </w:tcPr>
          <w:p>
            <w:pPr>
              <w:spacing w:line="252"/>
            </w:pPr>
            <w:r>
              <w:rPr>
                <w:sz w:val="19"/>
                <w:szCs w:val="19"/>
              </w:rPr>
              <w:t xml:space="preserve">Closed network fund</w:t>
            </w:r>
          </w:p>
        </w:tc>
        <w:tc>
          <w:tcPr>
            <w:tcW w:type="dxa" w:w="5060"/>
            <w:shd w:fill="F3F5F4" w:color="auto" w:val="clear"/>
            <w:tcMar>
              <w:top w:type="dxa" w:w="50"/>
              <w:left w:type="dxa" w:w="110"/>
              <w:bottom w:type="dxa" w:w="50"/>
              <w:right w:type="dxa" w:w="110"/>
            </w:tcMar>
            <w:vAlign w:val="center"/>
          </w:tcPr>
          <w:p>
            <w:pPr>
              <w:spacing w:line="252"/>
            </w:pPr>
            <w:r>
              <w:rPr>
                <w:sz w:val="19"/>
                <w:szCs w:val="19"/>
              </w:rPr>
              <w:t xml:space="preserve">A members-only network fund governed by an Oversight Body (OB). Funds flow through Fund → Funding Window → Grant; membership is gated by a capacity assessment.</w:t>
            </w:r>
          </w:p>
        </w:tc>
      </w:tr>
      <w:tr>
        <w:tc>
          <w:tcPr>
            <w:tcW w:type="dxa" w:w="1900"/>
            <w:shd w:fill="FFFFFF" w:color="auto" w:val="clear"/>
            <w:tcMar>
              <w:top w:type="dxa" w:w="50"/>
              <w:left w:type="dxa" w:w="110"/>
              <w:bottom w:type="dxa" w:w="50"/>
              <w:right w:type="dxa" w:w="110"/>
            </w:tcMar>
            <w:vAlign w:val="center"/>
          </w:tcPr>
          <w:p>
            <w:pPr>
              <w:spacing w:line="252"/>
            </w:pPr>
            <w:r>
              <w:rPr>
                <w:b/>
                <w:bCs/>
              </w:rPr>
              <w:t xml:space="preserve">Proximate Fund</w:t>
            </w:r>
          </w:p>
        </w:tc>
        <w:tc>
          <w:tcPr>
            <w:tcW w:type="dxa" w:w="2400"/>
            <w:shd w:fill="FFFFFF" w:color="auto" w:val="clear"/>
            <w:tcMar>
              <w:top w:type="dxa" w:w="50"/>
              <w:left w:type="dxa" w:w="110"/>
              <w:bottom w:type="dxa" w:w="50"/>
              <w:right w:type="dxa" w:w="110"/>
            </w:tcMar>
            <w:vAlign w:val="center"/>
          </w:tcPr>
          <w:p>
            <w:pPr>
              <w:spacing w:line="252"/>
            </w:pPr>
            <w:r>
              <w:rPr>
                <w:sz w:val="19"/>
                <w:szCs w:val="19"/>
              </w:rPr>
              <w:t xml:space="preserve">Crisis / humanitarian fund</w:t>
            </w:r>
          </w:p>
        </w:tc>
        <w:tc>
          <w:tcPr>
            <w:tcW w:type="dxa" w:w="5060"/>
            <w:shd w:fill="FFFFFF" w:color="auto" w:val="clear"/>
            <w:tcMar>
              <w:top w:type="dxa" w:w="50"/>
              <w:left w:type="dxa" w:w="110"/>
              <w:bottom w:type="dxa" w:w="50"/>
              <w:right w:type="dxa" w:w="110"/>
            </w:tcMar>
            <w:vAlign w:val="center"/>
          </w:tcPr>
          <w:p>
            <w:pPr>
              <w:spacing w:line="252"/>
            </w:pPr>
            <w:r>
              <w:rPr>
                <w:sz w:val="19"/>
                <w:szCs w:val="19"/>
              </w:rPr>
              <w:t xml:space="preserve">A Sudan-focused, Arabic-first fund built for a conflict setting: community endorsement of partners, multi-signature disbursements, hawala/mobile-money FSPs, and SoP-driven monitoring.</w:t>
            </w:r>
          </w:p>
        </w:tc>
      </w:tr>
    </w:tbl>
    <w:p>
      <w:pPr>
        <w:spacing w:after="80"/>
      </w:pPr>
    </w:p>
    <w:p>
      <w:pPr>
        <w:spacing w:after="120" w:line="276"/>
      </w:pPr>
      <w:r>
        <w:rPr>
          <w:b/>
          <w:bCs/>
        </w:rPr>
        <w:t xml:space="preserve">Tenant resolution. </w:t>
      </w:r>
      <w:r>
        <w:t xml:space="preserve">The active tenant is resolved server-side per request — first by Host header (exact host-alias match, then sub-domain prefix), falling back to the default Kuja Marketplace. A demo/UAT override header (X-Network-Override) lets a single shared host serve any tenant for testing. All list queries are scoped to the resolved tenant at the data-access layer, so cross-tenant data cannot leak through a shared endpoint.</w:t>
      </w:r>
    </w:p>
    <w:p>
      <w:pPr>
        <w:pStyle w:val="Heading1"/>
      </w:pPr>
      <w:r>
        <w:t xml:space="preserve">3. Architecture</w:t>
      </w:r>
    </w:p>
    <w:p>
      <w:pPr>
        <w:pStyle w:val="Heading2"/>
      </w:pPr>
      <w:r>
        <w:t xml:space="preserve">3.1 High-level shape</w:t>
      </w:r>
    </w:p>
    <w:p>
      <w:pPr>
        <w:spacing w:after="120" w:line="276"/>
      </w:pPr>
      <w:r>
        <w:t xml:space="preserve">The system is a modular monolith. A single Flask application (application-factory pattern) registers 74 route blueprints and is backed by 87 service modules that hold business logic. The same process serves both the JSON API and the compiled front end, so there is one thing to deploy, scale, and observe.</w:t>
      </w:r>
    </w:p>
    <w:p>
      <w:pPr>
        <w:pStyle w:val="ListParagraph"/>
        <w:numPr>
          <w:ilvl w:val="0"/>
          <w:numId w:val="2"/>
        </w:numPr>
        <w:spacing w:after="60" w:line="264"/>
      </w:pPr>
      <w:r>
        <w:rPr>
          <w:b/>
          <w:bCs/>
        </w:rPr>
        <w:t xml:space="preserve">Backend: </w:t>
      </w:r>
      <w:r>
        <w:t xml:space="preserve">Flask + SQLAlchemy, run under Gunicorn (gthread worker model).</w:t>
      </w:r>
    </w:p>
    <w:p>
      <w:pPr>
        <w:pStyle w:val="ListParagraph"/>
        <w:numPr>
          <w:ilvl w:val="0"/>
          <w:numId w:val="2"/>
        </w:numPr>
        <w:spacing w:after="60" w:line="264"/>
      </w:pPr>
      <w:r>
        <w:rPr>
          <w:b/>
          <w:bCs/>
        </w:rPr>
        <w:t xml:space="preserve">Frontend: </w:t>
      </w:r>
      <w:r>
        <w:t xml:space="preserve">Next.js compiled to a static export (HTML/JS/CSS) that the Flask app serves, with a catch-all SPA fallback for client-side routes.</w:t>
      </w:r>
    </w:p>
    <w:p>
      <w:pPr>
        <w:pStyle w:val="ListParagraph"/>
        <w:numPr>
          <w:ilvl w:val="0"/>
          <w:numId w:val="2"/>
        </w:numPr>
        <w:spacing w:after="60" w:line="264"/>
      </w:pPr>
      <w:r>
        <w:rPr>
          <w:b/>
          <w:bCs/>
        </w:rPr>
        <w:t xml:space="preserve">Data: </w:t>
      </w:r>
      <w:r>
        <w:t xml:space="preserve">PostgreSQL in production; SQLite for local development and in-memory SQLite for tests.</w:t>
      </w:r>
    </w:p>
    <w:p>
      <w:pPr>
        <w:pStyle w:val="ListParagraph"/>
        <w:numPr>
          <w:ilvl w:val="0"/>
          <w:numId w:val="2"/>
        </w:numPr>
        <w:spacing w:after="60" w:line="264"/>
      </w:pPr>
      <w:r>
        <w:rPr>
          <w:b/>
          <w:bCs/>
        </w:rPr>
        <w:t xml:space="preserve">Cache / coordination: </w:t>
      </w:r>
      <w:r>
        <w:t xml:space="preserve">Redis (optional) for the durable background-job store, distributed locks, and WebAuthn challenge storage; graceful in-memory fallback when absent.</w:t>
      </w:r>
    </w:p>
    <w:p>
      <w:pPr>
        <w:pStyle w:val="Heading2"/>
      </w:pPr>
      <w:r>
        <w:t xml:space="preserve">3.2 Request lifecycle</w:t>
      </w:r>
    </w:p>
    <w:p>
      <w:pPr>
        <w:spacing w:after="120" w:line="276"/>
      </w:pPr>
      <w:r>
        <w:t xml:space="preserve">Every request passes through an ordered middleware chain before reaching a route handler:</w:t>
      </w:r>
    </w:p>
    <w:p>
      <w:pPr>
        <w:pStyle w:val="ListParagraph"/>
        <w:numPr>
          <w:ilvl w:val="0"/>
          <w:numId w:val="2"/>
        </w:numPr>
        <w:spacing w:after="60" w:line="264"/>
      </w:pPr>
      <w:r>
        <w:t xml:space="preserve">ProxyFix (trust Railway’s X-Forwarded-* headers for host/proto/client-IP).</w:t>
      </w:r>
    </w:p>
    <w:p>
      <w:pPr>
        <w:pStyle w:val="ListParagraph"/>
        <w:numPr>
          <w:ilvl w:val="0"/>
          <w:numId w:val="2"/>
        </w:numPr>
        <w:spacing w:after="60" w:line="264"/>
      </w:pPr>
      <w:r>
        <w:t xml:space="preserve">Network/tenant resolution — attach the resolved Network to the request context.</w:t>
      </w:r>
    </w:p>
    <w:p>
      <w:pPr>
        <w:pStyle w:val="ListParagraph"/>
        <w:numPr>
          <w:ilvl w:val="0"/>
          <w:numId w:val="2"/>
        </w:numPr>
        <w:spacing w:after="60" w:line="264"/>
      </w:pPr>
      <w:r>
        <w:t xml:space="preserve">Per-IP endpoint rate limiting (defense-in-depth, in-memory).</w:t>
      </w:r>
    </w:p>
    <w:p>
      <w:pPr>
        <w:pStyle w:val="ListParagraph"/>
        <w:numPr>
          <w:ilvl w:val="0"/>
          <w:numId w:val="2"/>
        </w:numPr>
        <w:spacing w:after="60" w:line="264"/>
      </w:pPr>
      <w:r>
        <w:t xml:space="preserve">CSRF protection — mutating API requests must carry an X-Requested-With header (in addition to SameSite=Lax cookies and CORS origin lockdown).</w:t>
      </w:r>
    </w:p>
    <w:p>
      <w:pPr>
        <w:pStyle w:val="ListParagraph"/>
        <w:numPr>
          <w:ilvl w:val="0"/>
          <w:numId w:val="2"/>
        </w:numPr>
        <w:spacing w:after="60" w:line="264"/>
      </w:pPr>
      <w:r>
        <w:t xml:space="preserve">Authentication (Flask-Login session) and role/permission authorization.</w:t>
      </w:r>
    </w:p>
    <w:p>
      <w:pPr>
        <w:pStyle w:val="ListParagraph"/>
        <w:numPr>
          <w:ilvl w:val="0"/>
          <w:numId w:val="2"/>
        </w:numPr>
        <w:spacing w:after="60" w:line="264"/>
      </w:pPr>
      <w:r>
        <w:t xml:space="preserve">Route handler → tenant-scoped query helpers → response.</w:t>
      </w:r>
    </w:p>
    <w:p>
      <w:pPr>
        <w:pStyle w:val="ListParagraph"/>
        <w:numPr>
          <w:ilvl w:val="0"/>
          <w:numId w:val="2"/>
        </w:numPr>
        <w:spacing w:after="60" w:line="264"/>
      </w:pPr>
      <w:r>
        <w:t xml:space="preserve">Response decoration — security headers (CSP, HSTS, X-Frame-Options: DENY, etc.) and, for governed actions, an append to the hash-chained audit log.</w:t>
      </w:r>
    </w:p>
    <w:p>
      <w:pPr>
        <w:pStyle w:val="Heading2"/>
      </w:pPr>
      <w:r>
        <w:t xml:space="preserve">3.3 Frontend architecture</w:t>
      </w:r>
    </w:p>
    <w:p>
      <w:pPr>
        <w:spacing w:after="120" w:line="276"/>
      </w:pPr>
      <w:r>
        <w:t xml:space="preserve">The front end is a Next.js 14 app compiled with output: "export" (fully static, trailingSlash, unoptimized images) so it can be served from any static host and cached at the edge. Client state is held in Zustand stores (including the tenant/network brand context); server data is fetched with SWR. UI is built on Tailwind CSS with shadcn/base-ui primitives, Recharts for charts, and FullCalendar for scheduling. The login and shell are deliberately resilient to slow networks and cold starts (bounded API timeouts, tenant-neutral default).</w:t>
      </w:r>
    </w:p>
    <w:p>
      <w:pPr>
        <w:pStyle w:val="Heading2"/>
      </w:pPr>
      <w:r>
        <w:t xml:space="preserve">3.4 Multi-tenancy</w:t>
      </w:r>
    </w:p>
    <w:p>
      <w:pPr>
        <w:spacing w:after="120" w:line="276"/>
      </w:pPr>
      <w:r>
        <w:t xml:space="preserve">A Network row defines each tenant’s slug, brand color, default language/currency, host aliases, and feature flags. Tenant-scoped query helpers (for grants, applications, reports, reviews) centralize the boundary so every list endpoint inherits correct scoping. The default (Kuja) network represents open-marketplace grants (no funding-window parent); other networks route through Fund → Funding Window → Grant.</w:t>
      </w:r>
    </w:p>
    <w:p>
      <w:pPr>
        <w:pStyle w:val="Heading1"/>
      </w:pPr>
      <w:r>
        <w:t xml:space="preserve">4. Technology Stack</w:t>
      </w:r>
    </w:p>
    <w:p>
      <w:pPr>
        <w:pStyle w:val="Heading2"/>
      </w:pPr>
      <w:r>
        <w:t xml:space="preserve">4.1 Backend</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3000"/>
        <w:gridCol w:w="2000"/>
        <w:gridCol w:w="4360"/>
      </w:tblGrid>
      <w:tr>
        <w:trPr>
          <w:tblHeader/>
        </w:trPr>
        <w:tc>
          <w:tcPr>
            <w:tcW w:type="dxa" w:w="3000"/>
            <w:shd w:fill="1F3A34" w:color="auto" w:val="clear"/>
            <w:tcMar>
              <w:top w:type="dxa" w:w="60"/>
              <w:left w:type="dxa" w:w="110"/>
              <w:bottom w:type="dxa" w:w="60"/>
              <w:right w:type="dxa" w:w="110"/>
            </w:tcMar>
            <w:vAlign w:val="center"/>
          </w:tcPr>
          <w:p>
            <w:r>
              <w:rPr>
                <w:b/>
                <w:bCs/>
                <w:color w:val="FFFFFF"/>
                <w:sz w:val="19"/>
                <w:szCs w:val="19"/>
              </w:rPr>
              <w:t xml:space="preserve">Component</w:t>
            </w:r>
          </w:p>
        </w:tc>
        <w:tc>
          <w:tcPr>
            <w:tcW w:type="dxa" w:w="2000"/>
            <w:shd w:fill="1F3A34" w:color="auto" w:val="clear"/>
            <w:tcMar>
              <w:top w:type="dxa" w:w="60"/>
              <w:left w:type="dxa" w:w="110"/>
              <w:bottom w:type="dxa" w:w="60"/>
              <w:right w:type="dxa" w:w="110"/>
            </w:tcMar>
            <w:vAlign w:val="center"/>
          </w:tcPr>
          <w:p>
            <w:r>
              <w:rPr>
                <w:b/>
                <w:bCs/>
                <w:color w:val="FFFFFF"/>
                <w:sz w:val="19"/>
                <w:szCs w:val="19"/>
              </w:rPr>
              <w:t xml:space="preserve">Version</w:t>
            </w:r>
          </w:p>
        </w:tc>
        <w:tc>
          <w:tcPr>
            <w:tcW w:type="dxa" w:w="4360"/>
            <w:shd w:fill="1F3A34" w:color="auto" w:val="clear"/>
            <w:tcMar>
              <w:top w:type="dxa" w:w="60"/>
              <w:left w:type="dxa" w:w="110"/>
              <w:bottom w:type="dxa" w:w="60"/>
              <w:right w:type="dxa" w:w="110"/>
            </w:tcMar>
            <w:vAlign w:val="center"/>
          </w:tcPr>
          <w:p>
            <w:r>
              <w:rPr>
                <w:b/>
                <w:bCs/>
                <w:color w:val="FFFFFF"/>
                <w:sz w:val="19"/>
                <w:szCs w:val="19"/>
              </w:rPr>
              <w:t xml:space="preserve">Role</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Python</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3.11.11</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Runtime (pinned via runtime.txt and nixpacks).</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Flask</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3.1.0</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Web framework; application-factory pattern.</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SQLAlchemy</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2.0.36</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ORM and query layer.</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Flask-SQLAlchemy</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3.1.1</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Flask integration for the ORM/session.</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Flask-Migrate (Alembic)</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4.0.7</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Schema migrations (flask db upgrade on deploy).</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Flask-Login</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0.6.3</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Session-based authentication.</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Flask-CORS</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5.0.1</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Cross-origin controls (origin lockdown).</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Werkzeug</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3.1.3</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WSGI utilities / request handling.</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Gunicorn</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23.0.0</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Production WSGI server (gthread; 4 workers × 8 threads; --preload; worker recycling).</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psycopg2-binary</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2.9.10</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PostgreSQL driver.</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redis-py</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5.2.1</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Redis client (jobs, locks, challenges).</w:t>
            </w:r>
          </w:p>
        </w:tc>
      </w:tr>
    </w:tbl>
    <w:p>
      <w:pPr>
        <w:pStyle w:val="Heading2"/>
      </w:pPr>
      <w:r>
        <w:t xml:space="preserve">4.2 Frontend</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3000"/>
        <w:gridCol w:w="2000"/>
        <w:gridCol w:w="4360"/>
      </w:tblGrid>
      <w:tr>
        <w:trPr>
          <w:tblHeader/>
        </w:trPr>
        <w:tc>
          <w:tcPr>
            <w:tcW w:type="dxa" w:w="3000"/>
            <w:shd w:fill="1F3A34" w:color="auto" w:val="clear"/>
            <w:tcMar>
              <w:top w:type="dxa" w:w="60"/>
              <w:left w:type="dxa" w:w="110"/>
              <w:bottom w:type="dxa" w:w="60"/>
              <w:right w:type="dxa" w:w="110"/>
            </w:tcMar>
            <w:vAlign w:val="center"/>
          </w:tcPr>
          <w:p>
            <w:r>
              <w:rPr>
                <w:b/>
                <w:bCs/>
                <w:color w:val="FFFFFF"/>
                <w:sz w:val="19"/>
                <w:szCs w:val="19"/>
              </w:rPr>
              <w:t xml:space="preserve">Component</w:t>
            </w:r>
          </w:p>
        </w:tc>
        <w:tc>
          <w:tcPr>
            <w:tcW w:type="dxa" w:w="2000"/>
            <w:shd w:fill="1F3A34" w:color="auto" w:val="clear"/>
            <w:tcMar>
              <w:top w:type="dxa" w:w="60"/>
              <w:left w:type="dxa" w:w="110"/>
              <w:bottom w:type="dxa" w:w="60"/>
              <w:right w:type="dxa" w:w="110"/>
            </w:tcMar>
            <w:vAlign w:val="center"/>
          </w:tcPr>
          <w:p>
            <w:r>
              <w:rPr>
                <w:b/>
                <w:bCs/>
                <w:color w:val="FFFFFF"/>
                <w:sz w:val="19"/>
                <w:szCs w:val="19"/>
              </w:rPr>
              <w:t xml:space="preserve">Version</w:t>
            </w:r>
          </w:p>
        </w:tc>
        <w:tc>
          <w:tcPr>
            <w:tcW w:type="dxa" w:w="4360"/>
            <w:shd w:fill="1F3A34" w:color="auto" w:val="clear"/>
            <w:tcMar>
              <w:top w:type="dxa" w:w="60"/>
              <w:left w:type="dxa" w:w="110"/>
              <w:bottom w:type="dxa" w:w="60"/>
              <w:right w:type="dxa" w:w="110"/>
            </w:tcMar>
            <w:vAlign w:val="center"/>
          </w:tcPr>
          <w:p>
            <w:r>
              <w:rPr>
                <w:b/>
                <w:bCs/>
                <w:color w:val="FFFFFF"/>
                <w:sz w:val="19"/>
                <w:szCs w:val="19"/>
              </w:rPr>
              <w:t xml:space="preserve">Role</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Next.js</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14.2.35</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React framework, compiled to a static export.</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React / React-DOM</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18</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UI runtime.</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TypeScript</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5</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Language / type safety.</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Tailwind CSS</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3.4</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Styling; shadcn + @base-ui/react primitives.</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Zustand</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5</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Client state (incl. tenant/network context).</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SWR</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2</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Data fetching / caching.</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Recharts</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3</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Charts and data visualization.</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FullCalendar</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6</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Calendar / scheduling surfaces.</w:t>
            </w:r>
          </w:p>
        </w:tc>
      </w:tr>
      <w:tr>
        <w:tc>
          <w:tcPr>
            <w:tcW w:type="dxa" w:w="3000"/>
            <w:shd w:fill="FFFFFF" w:color="auto" w:val="clear"/>
            <w:tcMar>
              <w:top w:type="dxa" w:w="50"/>
              <w:left w:type="dxa" w:w="110"/>
              <w:bottom w:type="dxa" w:w="50"/>
              <w:right w:type="dxa" w:w="110"/>
            </w:tcMar>
            <w:vAlign w:val="center"/>
          </w:tcPr>
          <w:p>
            <w:pPr>
              <w:spacing w:line="252"/>
            </w:pPr>
            <w:r>
              <w:rPr>
                <w:sz w:val="19"/>
                <w:szCs w:val="19"/>
              </w:rPr>
              <w:t xml:space="preserve">react-hook-form + Zod</w:t>
            </w:r>
          </w:p>
        </w:tc>
        <w:tc>
          <w:tcPr>
            <w:tcW w:type="dxa" w:w="2000"/>
            <w:shd w:fill="FFFFFF" w:color="auto" w:val="clear"/>
            <w:tcMar>
              <w:top w:type="dxa" w:w="50"/>
              <w:left w:type="dxa" w:w="110"/>
              <w:bottom w:type="dxa" w:w="50"/>
              <w:right w:type="dxa" w:w="110"/>
            </w:tcMar>
            <w:vAlign w:val="center"/>
          </w:tcPr>
          <w:p>
            <w:pPr>
              <w:spacing w:line="252"/>
            </w:pPr>
            <w:r>
              <w:rPr>
                <w:sz w:val="19"/>
                <w:szCs w:val="19"/>
              </w:rPr>
              <w:t xml:space="preserve">7 / 4</w:t>
            </w:r>
          </w:p>
        </w:tc>
        <w:tc>
          <w:tcPr>
            <w:tcW w:type="dxa" w:w="4360"/>
            <w:shd w:fill="FFFFFF" w:color="auto" w:val="clear"/>
            <w:tcMar>
              <w:top w:type="dxa" w:w="50"/>
              <w:left w:type="dxa" w:w="110"/>
              <w:bottom w:type="dxa" w:w="50"/>
              <w:right w:type="dxa" w:w="110"/>
            </w:tcMar>
            <w:vAlign w:val="center"/>
          </w:tcPr>
          <w:p>
            <w:pPr>
              <w:spacing w:line="252"/>
            </w:pPr>
            <w:r>
              <w:rPr>
                <w:sz w:val="19"/>
                <w:szCs w:val="19"/>
              </w:rPr>
              <w:t xml:space="preserve">Forms and schema validation.</w:t>
            </w:r>
          </w:p>
        </w:tc>
      </w:tr>
      <w:tr>
        <w:tc>
          <w:tcPr>
            <w:tcW w:type="dxa" w:w="3000"/>
            <w:shd w:fill="F3F5F4" w:color="auto" w:val="clear"/>
            <w:tcMar>
              <w:top w:type="dxa" w:w="50"/>
              <w:left w:type="dxa" w:w="110"/>
              <w:bottom w:type="dxa" w:w="50"/>
              <w:right w:type="dxa" w:w="110"/>
            </w:tcMar>
            <w:vAlign w:val="center"/>
          </w:tcPr>
          <w:p>
            <w:pPr>
              <w:spacing w:line="252"/>
            </w:pPr>
            <w:r>
              <w:rPr>
                <w:sz w:val="19"/>
                <w:szCs w:val="19"/>
              </w:rPr>
              <w:t xml:space="preserve">lucide-react, sonner, next-themes, cmdk, qrcode</w:t>
            </w:r>
          </w:p>
        </w:tc>
        <w:tc>
          <w:tcPr>
            <w:tcW w:type="dxa" w:w="2000"/>
            <w:shd w:fill="F3F5F4" w:color="auto" w:val="clear"/>
            <w:tcMar>
              <w:top w:type="dxa" w:w="50"/>
              <w:left w:type="dxa" w:w="110"/>
              <w:bottom w:type="dxa" w:w="50"/>
              <w:right w:type="dxa" w:w="110"/>
            </w:tcMar>
            <w:vAlign w:val="center"/>
          </w:tcPr>
          <w:p>
            <w:pPr>
              <w:spacing w:line="252"/>
            </w:pPr>
            <w:r>
              <w:rPr>
                <w:sz w:val="19"/>
                <w:szCs w:val="19"/>
              </w:rPr>
              <w:t xml:space="preserve">—</w:t>
            </w:r>
          </w:p>
        </w:tc>
        <w:tc>
          <w:tcPr>
            <w:tcW w:type="dxa" w:w="4360"/>
            <w:shd w:fill="F3F5F4" w:color="auto" w:val="clear"/>
            <w:tcMar>
              <w:top w:type="dxa" w:w="50"/>
              <w:left w:type="dxa" w:w="110"/>
              <w:bottom w:type="dxa" w:w="50"/>
              <w:right w:type="dxa" w:w="110"/>
            </w:tcMar>
            <w:vAlign w:val="center"/>
          </w:tcPr>
          <w:p>
            <w:pPr>
              <w:spacing w:line="252"/>
            </w:pPr>
            <w:r>
              <w:rPr>
                <w:sz w:val="19"/>
                <w:szCs w:val="19"/>
              </w:rPr>
              <w:t xml:space="preserve">Icons, toasts, dark mode, command palette, QR (TOTP).</w:t>
            </w:r>
          </w:p>
        </w:tc>
      </w:tr>
    </w:tbl>
    <w:p>
      <w:pPr>
        <w:pStyle w:val="Heading2"/>
      </w:pPr>
      <w:r>
        <w:t xml:space="preserve">4.3 Data, hosting &amp; runtime</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600"/>
        <w:gridCol w:w="6760"/>
      </w:tblGrid>
      <w:tr>
        <w:trPr>
          <w:tblHeader/>
        </w:trPr>
        <w:tc>
          <w:tcPr>
            <w:tcW w:type="dxa" w:w="2600"/>
            <w:shd w:fill="1F3A34" w:color="auto" w:val="clear"/>
            <w:tcMar>
              <w:top w:type="dxa" w:w="60"/>
              <w:left w:type="dxa" w:w="110"/>
              <w:bottom w:type="dxa" w:w="60"/>
              <w:right w:type="dxa" w:w="110"/>
            </w:tcMar>
            <w:vAlign w:val="center"/>
          </w:tcPr>
          <w:p>
            <w:r>
              <w:rPr>
                <w:b/>
                <w:bCs/>
                <w:color w:val="FFFFFF"/>
                <w:sz w:val="19"/>
                <w:szCs w:val="19"/>
              </w:rPr>
              <w:t xml:space="preserve">Layer</w:t>
            </w:r>
          </w:p>
        </w:tc>
        <w:tc>
          <w:tcPr>
            <w:tcW w:type="dxa" w:w="6760"/>
            <w:shd w:fill="1F3A34" w:color="auto" w:val="clear"/>
            <w:tcMar>
              <w:top w:type="dxa" w:w="60"/>
              <w:left w:type="dxa" w:w="110"/>
              <w:bottom w:type="dxa" w:w="60"/>
              <w:right w:type="dxa" w:w="110"/>
            </w:tcMar>
            <w:vAlign w:val="center"/>
          </w:tcPr>
          <w:p>
            <w:r>
              <w:rPr>
                <w:b/>
                <w:bCs/>
                <w:color w:val="FFFFFF"/>
                <w:sz w:val="19"/>
                <w:szCs w:val="19"/>
              </w:rPr>
              <w:t xml:space="preserve">Detail</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Production DB</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PostgreSQL (Railway managed). DATABASE_URL is normalized from postgres:// to postgresql:// at boot.</w:t>
            </w:r>
          </w:p>
        </w:tc>
      </w:tr>
      <w:tr>
        <w:tc>
          <w:tcPr>
            <w:tcW w:type="dxa" w:w="2600"/>
            <w:shd w:fill="F3F5F4" w:color="auto" w:val="clear"/>
            <w:tcMar>
              <w:top w:type="dxa" w:w="50"/>
              <w:left w:type="dxa" w:w="110"/>
              <w:bottom w:type="dxa" w:w="50"/>
              <w:right w:type="dxa" w:w="110"/>
            </w:tcMar>
            <w:vAlign w:val="center"/>
          </w:tcPr>
          <w:p>
            <w:pPr>
              <w:spacing w:line="252"/>
            </w:pPr>
            <w:r>
              <w:rPr>
                <w:sz w:val="19"/>
                <w:szCs w:val="19"/>
              </w:rPr>
              <w:t xml:space="preserve">Dev / test DB</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SQLite file (kuja.db) for local dev; in-memory SQLite for the test config.</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Cache / coordination</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Redis (REDIS_URL) — durable task store, distributed locks, WebAuthn challenges. In-memory fallback if unset.</w:t>
            </w:r>
          </w:p>
        </w:tc>
      </w:tr>
      <w:tr>
        <w:tc>
          <w:tcPr>
            <w:tcW w:type="dxa" w:w="2600"/>
            <w:shd w:fill="F3F5F4" w:color="auto" w:val="clear"/>
            <w:tcMar>
              <w:top w:type="dxa" w:w="50"/>
              <w:left w:type="dxa" w:w="110"/>
              <w:bottom w:type="dxa" w:w="50"/>
              <w:right w:type="dxa" w:w="110"/>
            </w:tcMar>
            <w:vAlign w:val="center"/>
          </w:tcPr>
          <w:p>
            <w:pPr>
              <w:spacing w:line="252"/>
            </w:pPr>
            <w:r>
              <w:rPr>
                <w:sz w:val="19"/>
                <w:szCs w:val="19"/>
              </w:rPr>
              <w:t xml:space="preserve">Hosting / build</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Railway with Nixpacks (python311 + gcc). Auto-deploy on push to the default branch.</w:t>
            </w:r>
          </w:p>
        </w:tc>
      </w:tr>
      <w:tr>
        <w:tc>
          <w:tcPr>
            <w:tcW w:type="dxa" w:w="2600"/>
            <w:shd w:fill="FFFFFF" w:color="auto" w:val="clear"/>
            <w:tcMar>
              <w:top w:type="dxa" w:w="50"/>
              <w:left w:type="dxa" w:w="110"/>
              <w:bottom w:type="dxa" w:w="50"/>
              <w:right w:type="dxa" w:w="110"/>
            </w:tcMar>
            <w:vAlign w:val="center"/>
          </w:tcPr>
          <w:p>
            <w:pPr>
              <w:spacing w:line="252"/>
            </w:pPr>
            <w:r>
              <w:rPr>
                <w:sz w:val="19"/>
                <w:szCs w:val="19"/>
              </w:rPr>
              <w:t xml:space="preserve">Process model</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Gunicorn gthread, 4 workers × 8 threads, --preload, --max-requests 1000 (jitter 50), 180s timeout.</w:t>
            </w:r>
          </w:p>
        </w:tc>
      </w:tr>
    </w:tbl>
    <w:p>
      <w:pPr>
        <w:pStyle w:val="Heading1"/>
      </w:pPr>
      <w:r>
        <w:t xml:space="preserve">5. Data Architecture</w:t>
      </w:r>
    </w:p>
    <w:p>
      <w:pPr>
        <w:pStyle w:val="Heading2"/>
      </w:pPr>
      <w:r>
        <w:t xml:space="preserve">5.1 ORM, migrations &amp; bootstrap</w:t>
      </w:r>
    </w:p>
    <w:p>
      <w:pPr>
        <w:spacing w:after="120" w:line="276"/>
      </w:pPr>
      <w:r>
        <w:t xml:space="preserve">Persistence is SQLAlchemy 2.0 over 57 model modules. Schema is managed with Flask-Migrate/Alembic (12 versioned migrations, applied via flask db upgrade in the release command). For local SQLite and defensive back-fill, the app additionally runs db.create_all() plus a set of idempotent, column-guarded ALTER statements at boot, so a missing column never 500s a running instance.</w:t>
      </w:r>
    </w:p>
    <w:p>
      <w:pPr>
        <w:pStyle w:val="Heading2"/>
      </w:pPr>
      <w:r>
        <w:t xml:space="preserve">5.2 Domain model groups</w:t>
      </w:r>
    </w:p>
    <w:p>
      <w:pPr>
        <w:spacing w:after="120" w:line="276"/>
      </w:pPr>
      <w:r>
        <w:t xml:space="preserve">The 57 models cluster into the following domains:</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600"/>
        <w:gridCol w:w="6760"/>
      </w:tblGrid>
      <w:tr>
        <w:trPr>
          <w:tblHeader/>
        </w:trPr>
        <w:tc>
          <w:tcPr>
            <w:tcW w:type="dxa" w:w="2600"/>
            <w:shd w:fill="1F3A34" w:color="auto" w:val="clear"/>
            <w:tcMar>
              <w:top w:type="dxa" w:w="60"/>
              <w:left w:type="dxa" w:w="110"/>
              <w:bottom w:type="dxa" w:w="60"/>
              <w:right w:type="dxa" w:w="110"/>
            </w:tcMar>
            <w:vAlign w:val="center"/>
          </w:tcPr>
          <w:p>
            <w:r>
              <w:rPr>
                <w:b/>
                <w:bCs/>
                <w:color w:val="FFFFFF"/>
                <w:sz w:val="19"/>
                <w:szCs w:val="19"/>
              </w:rPr>
              <w:t xml:space="preserve">Domain</w:t>
            </w:r>
          </w:p>
        </w:tc>
        <w:tc>
          <w:tcPr>
            <w:tcW w:type="dxa" w:w="6760"/>
            <w:shd w:fill="1F3A34" w:color="auto" w:val="clear"/>
            <w:tcMar>
              <w:top w:type="dxa" w:w="60"/>
              <w:left w:type="dxa" w:w="110"/>
              <w:bottom w:type="dxa" w:w="60"/>
              <w:right w:type="dxa" w:w="110"/>
            </w:tcMar>
            <w:vAlign w:val="center"/>
          </w:tcPr>
          <w:p>
            <w:r>
              <w:rPr>
                <w:b/>
                <w:bCs/>
                <w:color w:val="FFFFFF"/>
                <w:sz w:val="19"/>
                <w:szCs w:val="19"/>
              </w:rPr>
              <w:t xml:space="preserve">Representative tables</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Identity &amp; access</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user, organization, webauthn_credential, push_subscription</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Grant lifecycle</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grant, grant_question, application, review, report, criteria_template, expression_of_interest, watchlist, saved_search</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Assessment &amp; trust</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assessment, capacity_passport, compliance, compliance_snapshot, diligence, adverse_media, bank_verification, risk, status_signal</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Networked funds (NEAR)</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network, network_membership, fund, monitoring_visit, emergency_declaration, crisis_monitoring, member_feedback</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Proximate (humanitarian)</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proximate_round, proximate_grant, proximate_disbursement, proximate_endorsement, proximate_endorser_invite, proximate_fsp, proximate_intervention, proximate_grievance, proximate_outcome, proximate_donor</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Governance &amp; audit</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audit_chain, entity_comment, cron_run, kpi_snapshot, tenant_message, notification, notification_preference</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AI &amp; telemetry</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ai_thread (incl. ai_call_logs / ai_messages), ai_provenance, org_memory, synthetic_monitor</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Integrations</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webhook, webhook_delivery, document, tag, user_event, user_feedback</w:t>
            </w:r>
          </w:p>
        </w:tc>
      </w:tr>
    </w:tbl>
    <w:p>
      <w:pPr>
        <w:pStyle w:val="Heading2"/>
      </w:pPr>
      <w:r>
        <w:t xml:space="preserve">5.3 Integrity &amp; audit</w:t>
      </w:r>
    </w:p>
    <w:p>
      <w:pPr>
        <w:pStyle w:val="ListParagraph"/>
        <w:numPr>
          <w:ilvl w:val="0"/>
          <w:numId w:val="2"/>
        </w:numPr>
        <w:spacing w:after="60" w:line="264"/>
      </w:pPr>
      <w:r>
        <w:rPr>
          <w:b/>
          <w:bCs/>
        </w:rPr>
        <w:t xml:space="preserve">Hash-chained audit log. </w:t>
      </w:r>
      <w:r>
        <w:t xml:space="preserve">Governed actions append to a tamper-evident audit chain (each entry links to the previous by hash), giving a verifiable history for disputes and funder assurance.</w:t>
      </w:r>
    </w:p>
    <w:p>
      <w:pPr>
        <w:pStyle w:val="ListParagraph"/>
        <w:numPr>
          <w:ilvl w:val="0"/>
          <w:numId w:val="2"/>
        </w:numPr>
        <w:spacing w:after="60" w:line="264"/>
      </w:pPr>
      <w:r>
        <w:rPr>
          <w:b/>
          <w:bCs/>
        </w:rPr>
        <w:t xml:space="preserve">Database constraints. </w:t>
      </w:r>
      <w:r>
        <w:t xml:space="preserve">CHECK constraints and triggers enforce key invariants at the database layer, not only in application code.</w:t>
      </w:r>
    </w:p>
    <w:p>
      <w:pPr>
        <w:pStyle w:val="ListParagraph"/>
        <w:numPr>
          <w:ilvl w:val="0"/>
          <w:numId w:val="2"/>
        </w:numPr>
        <w:spacing w:after="60" w:line="264"/>
      </w:pPr>
      <w:r>
        <w:rPr>
          <w:b/>
          <w:bCs/>
        </w:rPr>
        <w:t xml:space="preserve">Tenant scoping. </w:t>
      </w:r>
      <w:r>
        <w:t xml:space="preserve">Read paths for grants, applications, reports, and reviews pass through shared scoping helpers, keeping the tenant boundary in one place.</w:t>
      </w:r>
    </w:p>
    <w:p>
      <w:pPr>
        <w:pStyle w:val="Heading1"/>
      </w:pPr>
      <w:r>
        <w:t xml:space="preserve">6. AI Design &amp; Use</w:t>
      </w:r>
    </w:p>
    <w:p>
      <w:pPr>
        <w:spacing w:after="120" w:line="276"/>
      </w:pPr>
      <w:r>
        <w:t xml:space="preserve">AI is used pervasively but defensively: to lower the burden of applying, reviewing, and reporting — never as an unaccountable decision-maker. Every AI call is logged, many are replayable for audit, and every surface degrades gracefully to a deterministic fallback when AI is unavailable or over budget.</w:t>
      </w:r>
    </w:p>
    <w:p>
      <w:pPr>
        <w:pStyle w:val="Heading2"/>
      </w:pPr>
      <w:r>
        <w:t xml:space="preserve">6.1 Providers &amp; models</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500"/>
        <w:gridCol w:w="2600"/>
        <w:gridCol w:w="4260"/>
      </w:tblGrid>
      <w:tr>
        <w:trPr>
          <w:tblHeader/>
        </w:trPr>
        <w:tc>
          <w:tcPr>
            <w:tcW w:type="dxa" w:w="2500"/>
            <w:shd w:fill="1F3A34" w:color="auto" w:val="clear"/>
            <w:tcMar>
              <w:top w:type="dxa" w:w="60"/>
              <w:left w:type="dxa" w:w="110"/>
              <w:bottom w:type="dxa" w:w="60"/>
              <w:right w:type="dxa" w:w="110"/>
            </w:tcMar>
            <w:vAlign w:val="center"/>
          </w:tcPr>
          <w:p>
            <w:r>
              <w:rPr>
                <w:b/>
                <w:bCs/>
                <w:color w:val="FFFFFF"/>
                <w:sz w:val="19"/>
                <w:szCs w:val="19"/>
              </w:rPr>
              <w:t xml:space="preserve">Provider</w:t>
            </w:r>
          </w:p>
        </w:tc>
        <w:tc>
          <w:tcPr>
            <w:tcW w:type="dxa" w:w="2600"/>
            <w:shd w:fill="1F3A34" w:color="auto" w:val="clear"/>
            <w:tcMar>
              <w:top w:type="dxa" w:w="60"/>
              <w:left w:type="dxa" w:w="110"/>
              <w:bottom w:type="dxa" w:w="60"/>
              <w:right w:type="dxa" w:w="110"/>
            </w:tcMar>
            <w:vAlign w:val="center"/>
          </w:tcPr>
          <w:p>
            <w:r>
              <w:rPr>
                <w:b/>
                <w:bCs/>
                <w:color w:val="FFFFFF"/>
                <w:sz w:val="19"/>
                <w:szCs w:val="19"/>
              </w:rPr>
              <w:t xml:space="preserve">Model</w:t>
            </w:r>
          </w:p>
        </w:tc>
        <w:tc>
          <w:tcPr>
            <w:tcW w:type="dxa" w:w="4260"/>
            <w:shd w:fill="1F3A34" w:color="auto" w:val="clear"/>
            <w:tcMar>
              <w:top w:type="dxa" w:w="60"/>
              <w:left w:type="dxa" w:w="110"/>
              <w:bottom w:type="dxa" w:w="60"/>
              <w:right w:type="dxa" w:w="110"/>
            </w:tcMar>
            <w:vAlign w:val="center"/>
          </w:tcPr>
          <w:p>
            <w:r>
              <w:rPr>
                <w:b/>
                <w:bCs/>
                <w:color w:val="FFFFFF"/>
                <w:sz w:val="19"/>
                <w:szCs w:val="19"/>
              </w:rPr>
              <w:t xml:space="preserve">Use</w:t>
            </w:r>
          </w:p>
        </w:tc>
      </w:tr>
      <w:tr>
        <w:tc>
          <w:tcPr>
            <w:tcW w:type="dxa" w:w="2500"/>
            <w:shd w:fill="FFFFFF" w:color="auto" w:val="clear"/>
            <w:tcMar>
              <w:top w:type="dxa" w:w="50"/>
              <w:left w:type="dxa" w:w="110"/>
              <w:bottom w:type="dxa" w:w="50"/>
              <w:right w:type="dxa" w:w="110"/>
            </w:tcMar>
            <w:vAlign w:val="center"/>
          </w:tcPr>
          <w:p>
            <w:pPr>
              <w:spacing w:line="252"/>
            </w:pPr>
            <w:r>
              <w:rPr>
                <w:b/>
                <w:bCs/>
              </w:rPr>
              <w:t xml:space="preserve">Anthropic</w:t>
            </w:r>
          </w:p>
        </w:tc>
        <w:tc>
          <w:tcPr>
            <w:tcW w:type="dxa" w:w="26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claude-sonnet-4-6</w:t>
            </w:r>
          </w:p>
        </w:tc>
        <w:tc>
          <w:tcPr>
            <w:tcW w:type="dxa" w:w="4260"/>
            <w:shd w:fill="FFFFFF" w:color="auto" w:val="clear"/>
            <w:tcMar>
              <w:top w:type="dxa" w:w="50"/>
              <w:left w:type="dxa" w:w="110"/>
              <w:bottom w:type="dxa" w:w="50"/>
              <w:right w:type="dxa" w:w="110"/>
            </w:tcMar>
            <w:vAlign w:val="center"/>
          </w:tcPr>
          <w:p>
            <w:pPr>
              <w:spacing w:line="252"/>
            </w:pPr>
            <w:r>
              <w:rPr>
                <w:sz w:val="19"/>
                <w:szCs w:val="19"/>
              </w:rPr>
              <w:t xml:space="preserve">Primary model for all text reasoning surfaces (drafting, scoring, summarization, extraction, chat/agent).</w:t>
            </w:r>
          </w:p>
        </w:tc>
      </w:tr>
      <w:tr>
        <w:tc>
          <w:tcPr>
            <w:tcW w:type="dxa" w:w="2500"/>
            <w:shd w:fill="F3F5F4" w:color="auto" w:val="clear"/>
            <w:tcMar>
              <w:top w:type="dxa" w:w="50"/>
              <w:left w:type="dxa" w:w="110"/>
              <w:bottom w:type="dxa" w:w="50"/>
              <w:right w:type="dxa" w:w="110"/>
            </w:tcMar>
            <w:vAlign w:val="center"/>
          </w:tcPr>
          <w:p>
            <w:pPr>
              <w:spacing w:line="252"/>
            </w:pPr>
            <w:r>
              <w:rPr>
                <w:b/>
                <w:bCs/>
              </w:rPr>
              <w:t xml:space="preserve">Anthropic</w:t>
            </w:r>
          </w:p>
        </w:tc>
        <w:tc>
          <w:tcPr>
            <w:tcW w:type="dxa" w:w="2600"/>
            <w:shd w:fill="F3F5F4"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claude-haiku-4-5-20251001</w:t>
            </w:r>
          </w:p>
        </w:tc>
        <w:tc>
          <w:tcPr>
            <w:tcW w:type="dxa" w:w="4260"/>
            <w:shd w:fill="F3F5F4" w:color="auto" w:val="clear"/>
            <w:tcMar>
              <w:top w:type="dxa" w:w="50"/>
              <w:left w:type="dxa" w:w="110"/>
              <w:bottom w:type="dxa" w:w="50"/>
              <w:right w:type="dxa" w:w="110"/>
            </w:tcMar>
            <w:vAlign w:val="center"/>
          </w:tcPr>
          <w:p>
            <w:pPr>
              <w:spacing w:line="252"/>
            </w:pPr>
            <w:r>
              <w:rPr>
                <w:sz w:val="19"/>
                <w:szCs w:val="19"/>
              </w:rPr>
              <w:t xml:space="preserve">Fast/low-cost path — e.g. translation and lightweight copilot calls.</w:t>
            </w:r>
          </w:p>
        </w:tc>
      </w:tr>
      <w:tr>
        <w:tc>
          <w:tcPr>
            <w:tcW w:type="dxa" w:w="2500"/>
            <w:shd w:fill="FFFFFF" w:color="auto" w:val="clear"/>
            <w:tcMar>
              <w:top w:type="dxa" w:w="50"/>
              <w:left w:type="dxa" w:w="110"/>
              <w:bottom w:type="dxa" w:w="50"/>
              <w:right w:type="dxa" w:w="110"/>
            </w:tcMar>
            <w:vAlign w:val="center"/>
          </w:tcPr>
          <w:p>
            <w:pPr>
              <w:spacing w:line="252"/>
            </w:pPr>
            <w:r>
              <w:rPr>
                <w:b/>
                <w:bCs/>
              </w:rPr>
              <w:t xml:space="preserve">OpenAI</w:t>
            </w:r>
          </w:p>
        </w:tc>
        <w:tc>
          <w:tcPr>
            <w:tcW w:type="dxa" w:w="26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whisper-1</w:t>
            </w:r>
          </w:p>
        </w:tc>
        <w:tc>
          <w:tcPr>
            <w:tcW w:type="dxa" w:w="4260"/>
            <w:shd w:fill="FFFFFF" w:color="auto" w:val="clear"/>
            <w:tcMar>
              <w:top w:type="dxa" w:w="50"/>
              <w:left w:type="dxa" w:w="110"/>
              <w:bottom w:type="dxa" w:w="50"/>
              <w:right w:type="dxa" w:w="110"/>
            </w:tcMar>
            <w:vAlign w:val="center"/>
          </w:tcPr>
          <w:p>
            <w:pPr>
              <w:spacing w:line="252"/>
            </w:pPr>
            <w:r>
              <w:rPr>
                <w:sz w:val="19"/>
                <w:szCs w:val="19"/>
              </w:rPr>
              <w:t xml:space="preserve">Speech-to-text for voice input, targeting languages the browser handles poorly (Somali, Swahili, Arabic).</w:t>
            </w:r>
          </w:p>
        </w:tc>
      </w:tr>
    </w:tbl>
    <w:p>
      <w:pPr>
        <w:spacing w:after="60"/>
      </w:pPr>
    </w:p>
    <w:p>
      <w:pPr>
        <w:spacing w:after="120" w:line="276"/>
      </w:pPr>
      <w:r>
        <w:rPr>
          <w:b/>
          <w:bCs/>
        </w:rPr>
        <w:t xml:space="preserve">Note: </w:t>
      </w:r>
      <w:r>
        <w:t xml:space="preserve">the runtime model identifiers above are the ones actually used by the code. Anthropic access is via the official Python SDK; OpenAI Whisper is called as a raw multipart HTTP request (configurable URL/model/key), so no OpenAI SDK dependency is carried.</w:t>
      </w:r>
    </w:p>
    <w:p>
      <w:pPr>
        <w:pStyle w:val="Heading2"/>
      </w:pPr>
      <w:r>
        <w:t xml:space="preserve">6.2 AI client layer</w:t>
      </w:r>
    </w:p>
    <w:p>
      <w:pPr>
        <w:spacing w:after="120" w:line="276"/>
      </w:pPr>
      <w:r>
        <w:t xml:space="preserve">All Claude access is funneled through a single service (AIService). Two canonical entry points exist:</w:t>
      </w:r>
    </w:p>
    <w:p>
      <w:pPr>
        <w:pStyle w:val="ListParagraph"/>
        <w:numPr>
          <w:ilvl w:val="0"/>
          <w:numId w:val="2"/>
        </w:numPr>
        <w:spacing w:after="60" w:line="264"/>
      </w:pPr>
      <w:r>
        <w:rPr>
          <w:b/>
          <w:bCs/>
        </w:rPr>
        <w:t xml:space="preserve">Prompt call — </w:t>
      </w:r>
      <w:r>
        <w:t xml:space="preserve">a standard messages call with a cached system prompt (ephemeral prompt caching), used where free-form text is wanted.</w:t>
      </w:r>
    </w:p>
    <w:p>
      <w:pPr>
        <w:pStyle w:val="ListParagraph"/>
        <w:numPr>
          <w:ilvl w:val="0"/>
          <w:numId w:val="2"/>
        </w:numPr>
        <w:spacing w:after="60" w:line="264"/>
      </w:pPr>
      <w:r>
        <w:rPr>
          <w:b/>
          <w:bCs/>
        </w:rPr>
        <w:t xml:space="preserve">Forced tool-use call — </w:t>
      </w:r>
      <w:r>
        <w:t xml:space="preserve">the preferred path for anything structured: Claude is forced to call a defined tool, and the validated tool input is returned as a typed object. This replaces brittle "prompt-and-parse-the-JSON" extraction.</w:t>
      </w:r>
    </w:p>
    <w:p>
      <w:pPr>
        <w:spacing w:after="120" w:line="276"/>
      </w:pPr>
      <w:r>
        <w:t xml:space="preserve">Reliability is built into this layer:</w:t>
      </w:r>
    </w:p>
    <w:p>
      <w:pPr>
        <w:pStyle w:val="ListParagraph"/>
        <w:numPr>
          <w:ilvl w:val="0"/>
          <w:numId w:val="2"/>
        </w:numPr>
        <w:spacing w:after="60" w:line="264"/>
      </w:pPr>
      <w:r>
        <w:rPr>
          <w:b/>
          <w:bCs/>
        </w:rPr>
        <w:t xml:space="preserve">Tiered timeouts </w:t>
      </w:r>
      <w:r>
        <w:t xml:space="preserve">per endpoint class (light ~60s / medium ~120s / heavy ~240s), under a hard SDK ceiling; a stall threshold logs slow calls.</w:t>
      </w:r>
    </w:p>
    <w:p>
      <w:pPr>
        <w:pStyle w:val="ListParagraph"/>
        <w:numPr>
          <w:ilvl w:val="0"/>
          <w:numId w:val="2"/>
        </w:numPr>
        <w:spacing w:after="60" w:line="264"/>
      </w:pPr>
      <w:r>
        <w:rPr>
          <w:b/>
          <w:bCs/>
        </w:rPr>
        <w:t xml:space="preserve">Per-user concurrency semaphore </w:t>
      </w:r>
      <w:r>
        <w:t xml:space="preserve">(default 3 in-flight AI calls per user) added after concurrent calls once saturated the worker thread pool.</w:t>
      </w:r>
    </w:p>
    <w:p>
      <w:pPr>
        <w:pStyle w:val="ListParagraph"/>
        <w:numPr>
          <w:ilvl w:val="0"/>
          <w:numId w:val="2"/>
        </w:numPr>
        <w:spacing w:after="60" w:line="264"/>
      </w:pPr>
      <w:r>
        <w:rPr>
          <w:b/>
          <w:bCs/>
        </w:rPr>
        <w:t xml:space="preserve">Graceful degradation — </w:t>
      </w:r>
      <w:r>
        <w:t xml:space="preserve">on any error, missing key, or budget breach the call returns nothing and the caller falls back to a template / deterministic response; there is no silent retry loop.</w:t>
      </w:r>
    </w:p>
    <w:p>
      <w:pPr>
        <w:pStyle w:val="ListParagraph"/>
        <w:numPr>
          <w:ilvl w:val="0"/>
          <w:numId w:val="2"/>
        </w:numPr>
        <w:spacing w:after="60" w:line="264"/>
      </w:pPr>
      <w:r>
        <w:rPr>
          <w:b/>
          <w:bCs/>
        </w:rPr>
        <w:t xml:space="preserve">API key </w:t>
      </w:r>
      <w:r>
        <w:t xml:space="preserve">read from ANTHROPIC_API_KEY; if unset the whole subsystem cleanly reports "no key" and fallbacks take over.</w:t>
      </w:r>
    </w:p>
    <w:p>
      <w:pPr>
        <w:pStyle w:val="Heading2"/>
      </w:pPr>
      <w:r>
        <w:t xml:space="preserve">6.3 AI feature surfaces</w:t>
      </w:r>
    </w:p>
    <w:p>
      <w:pPr>
        <w:spacing w:after="120" w:line="276"/>
      </w:pPr>
      <w:r>
        <w:t xml:space="preserve">Distinct AI-powered features exist across every role. The main groups:</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100"/>
        <w:gridCol w:w="7260"/>
      </w:tblGrid>
      <w:tr>
        <w:trPr>
          <w:tblHeader/>
        </w:trPr>
        <w:tc>
          <w:tcPr>
            <w:tcW w:type="dxa" w:w="2100"/>
            <w:shd w:fill="1F3A34" w:color="auto" w:val="clear"/>
            <w:tcMar>
              <w:top w:type="dxa" w:w="60"/>
              <w:left w:type="dxa" w:w="110"/>
              <w:bottom w:type="dxa" w:w="60"/>
              <w:right w:type="dxa" w:w="110"/>
            </w:tcMar>
            <w:vAlign w:val="center"/>
          </w:tcPr>
          <w:p>
            <w:r>
              <w:rPr>
                <w:b/>
                <w:bCs/>
                <w:color w:val="FFFFFF"/>
                <w:sz w:val="19"/>
                <w:szCs w:val="19"/>
              </w:rPr>
              <w:t xml:space="preserve">Role</w:t>
            </w:r>
          </w:p>
        </w:tc>
        <w:tc>
          <w:tcPr>
            <w:tcW w:type="dxa" w:w="7260"/>
            <w:shd w:fill="1F3A34" w:color="auto" w:val="clear"/>
            <w:tcMar>
              <w:top w:type="dxa" w:w="60"/>
              <w:left w:type="dxa" w:w="110"/>
              <w:bottom w:type="dxa" w:w="60"/>
              <w:right w:type="dxa" w:w="110"/>
            </w:tcMar>
            <w:vAlign w:val="center"/>
          </w:tcPr>
          <w:p>
            <w:r>
              <w:rPr>
                <w:b/>
                <w:bCs/>
                <w:color w:val="FFFFFF"/>
                <w:sz w:val="19"/>
                <w:szCs w:val="19"/>
              </w:rPr>
              <w:t xml:space="preserve">AI surfaces</w:t>
            </w:r>
          </w:p>
        </w:tc>
      </w:tr>
      <w:tr>
        <w:tc>
          <w:tcPr>
            <w:tcW w:type="dxa" w:w="2100"/>
            <w:shd w:fill="FFFFFF" w:color="auto" w:val="clear"/>
            <w:tcMar>
              <w:top w:type="dxa" w:w="50"/>
              <w:left w:type="dxa" w:w="110"/>
              <w:bottom w:type="dxa" w:w="50"/>
              <w:right w:type="dxa" w:w="110"/>
            </w:tcMar>
            <w:vAlign w:val="center"/>
          </w:tcPr>
          <w:p>
            <w:pPr>
              <w:spacing w:line="252"/>
            </w:pPr>
            <w:r>
              <w:rPr>
                <w:b/>
                <w:bCs/>
              </w:rPr>
              <w:t xml:space="preserve">NGO / applicant</w:t>
            </w:r>
          </w:p>
        </w:tc>
        <w:tc>
          <w:tcPr>
            <w:tcW w:type="dxa" w:w="7260"/>
            <w:shd w:fill="FFFFFF" w:color="auto" w:val="clear"/>
            <w:tcMar>
              <w:top w:type="dxa" w:w="50"/>
              <w:left w:type="dxa" w:w="110"/>
              <w:bottom w:type="dxa" w:w="50"/>
              <w:right w:type="dxa" w:w="110"/>
            </w:tcMar>
            <w:vAlign w:val="center"/>
          </w:tcPr>
          <w:p>
            <w:pPr>
              <w:spacing w:line="252"/>
            </w:pPr>
            <w:r>
              <w:rPr>
                <w:sz w:val="19"/>
                <w:szCs w:val="19"/>
              </w:rPr>
              <w:t xml:space="preserve">Draft an application or section; strengthen/polish a response against criteria; pre-submit readiness &amp; gap analysis; applicant-burden estimate; draft &amp; readiness-check reports; voice-to-report structuring; photo/evidence vision extraction; application autofill from documents; plain-language compliance explainer; compliance slip-risk pre-emption; content translation.</w:t>
            </w:r>
          </w:p>
        </w:tc>
      </w:tr>
      <w:tr>
        <w:tc>
          <w:tcPr>
            <w:tcW w:type="dxa" w:w="2100"/>
            <w:shd w:fill="F3F5F4" w:color="auto" w:val="clear"/>
            <w:tcMar>
              <w:top w:type="dxa" w:w="50"/>
              <w:left w:type="dxa" w:w="110"/>
              <w:bottom w:type="dxa" w:w="50"/>
              <w:right w:type="dxa" w:w="110"/>
            </w:tcMar>
            <w:vAlign w:val="center"/>
          </w:tcPr>
          <w:p>
            <w:pPr>
              <w:spacing w:line="252"/>
            </w:pPr>
            <w:r>
              <w:rPr>
                <w:b/>
                <w:bCs/>
              </w:rPr>
              <w:t xml:space="preserve">Donor</w:t>
            </w:r>
          </w:p>
        </w:tc>
        <w:tc>
          <w:tcPr>
            <w:tcW w:type="dxa" w:w="7260"/>
            <w:shd w:fill="F3F5F4" w:color="auto" w:val="clear"/>
            <w:tcMar>
              <w:top w:type="dxa" w:w="50"/>
              <w:left w:type="dxa" w:w="110"/>
              <w:bottom w:type="dxa" w:w="50"/>
              <w:right w:type="dxa" w:w="110"/>
            </w:tcMar>
            <w:vAlign w:val="center"/>
          </w:tcPr>
          <w:p>
            <w:pPr>
              <w:spacing w:line="252"/>
            </w:pPr>
            <w:r>
              <w:rPr>
                <w:sz w:val="19"/>
                <w:szCs w:val="19"/>
              </w:rPr>
              <w:t xml:space="preserve">Portfolio insights &amp; "ask about my grantees" Q&amp;A copilot; grant-design co-pilot; cross-grant pattern detection; chart/insight narration; grant-brief and criteria/rubric suggestion; "median NGO" preview.</w:t>
            </w:r>
          </w:p>
        </w:tc>
      </w:tr>
      <w:tr>
        <w:tc>
          <w:tcPr>
            <w:tcW w:type="dxa" w:w="2100"/>
            <w:shd w:fill="FFFFFF" w:color="auto" w:val="clear"/>
            <w:tcMar>
              <w:top w:type="dxa" w:w="50"/>
              <w:left w:type="dxa" w:w="110"/>
              <w:bottom w:type="dxa" w:w="50"/>
              <w:right w:type="dxa" w:w="110"/>
            </w:tcMar>
            <w:vAlign w:val="center"/>
          </w:tcPr>
          <w:p>
            <w:pPr>
              <w:spacing w:line="252"/>
            </w:pPr>
            <w:r>
              <w:rPr>
                <w:b/>
                <w:bCs/>
              </w:rPr>
              <w:t xml:space="preserve">Reviewer</w:t>
            </w:r>
          </w:p>
        </w:tc>
        <w:tc>
          <w:tcPr>
            <w:tcW w:type="dxa" w:w="7260"/>
            <w:shd w:fill="FFFFFF" w:color="auto" w:val="clear"/>
            <w:tcMar>
              <w:top w:type="dxa" w:w="50"/>
              <w:left w:type="dxa" w:w="110"/>
              <w:bottom w:type="dxa" w:w="50"/>
              <w:right w:type="dxa" w:w="110"/>
            </w:tcMar>
            <w:vAlign w:val="center"/>
          </w:tcPr>
          <w:p>
            <w:pPr>
              <w:spacing w:line="252"/>
            </w:pPr>
            <w:r>
              <w:rPr>
                <w:sz w:val="19"/>
                <w:szCs w:val="19"/>
              </w:rPr>
              <w:t xml:space="preserve">Structured application summary &amp; recommendation; per-criterion rubric scoring; rubric justification; compare-to-prior-similar application.</w:t>
            </w:r>
          </w:p>
        </w:tc>
      </w:tr>
      <w:tr>
        <w:tc>
          <w:tcPr>
            <w:tcW w:type="dxa" w:w="2100"/>
            <w:shd w:fill="F3F5F4" w:color="auto" w:val="clear"/>
            <w:tcMar>
              <w:top w:type="dxa" w:w="50"/>
              <w:left w:type="dxa" w:w="110"/>
              <w:bottom w:type="dxa" w:w="50"/>
              <w:right w:type="dxa" w:w="110"/>
            </w:tcMar>
            <w:vAlign w:val="center"/>
          </w:tcPr>
          <w:p>
            <w:pPr>
              <w:spacing w:line="252"/>
            </w:pPr>
            <w:r>
              <w:rPr>
                <w:b/>
                <w:bCs/>
              </w:rPr>
              <w:t xml:space="preserve">Admin / Oversight Body</w:t>
            </w:r>
          </w:p>
        </w:tc>
        <w:tc>
          <w:tcPr>
            <w:tcW w:type="dxa" w:w="7260"/>
            <w:shd w:fill="F3F5F4" w:color="auto" w:val="clear"/>
            <w:tcMar>
              <w:top w:type="dxa" w:w="50"/>
              <w:left w:type="dxa" w:w="110"/>
              <w:bottom w:type="dxa" w:w="50"/>
              <w:right w:type="dxa" w:w="110"/>
            </w:tcMar>
            <w:vAlign w:val="center"/>
          </w:tcPr>
          <w:p>
            <w:pPr>
              <w:spacing w:line="252"/>
            </w:pPr>
            <w:r>
              <w:rPr>
                <w:sz w:val="19"/>
                <w:szCs w:val="19"/>
              </w:rPr>
              <w:t xml:space="preserve">Networked-fund AI suite: rubric scoring, budget direct-to-community classification, membership reviewer briefs, crisis-monitoring narration, emergency-declaration draft-assist, window-report narrative, cross-window pattern detection.</w:t>
            </w:r>
          </w:p>
        </w:tc>
      </w:tr>
      <w:tr>
        <w:tc>
          <w:tcPr>
            <w:tcW w:type="dxa" w:w="2100"/>
            <w:shd w:fill="FFFFFF" w:color="auto" w:val="clear"/>
            <w:tcMar>
              <w:top w:type="dxa" w:w="50"/>
              <w:left w:type="dxa" w:w="110"/>
              <w:bottom w:type="dxa" w:w="50"/>
              <w:right w:type="dxa" w:w="110"/>
            </w:tcMar>
            <w:vAlign w:val="center"/>
          </w:tcPr>
          <w:p>
            <w:pPr>
              <w:spacing w:line="252"/>
            </w:pPr>
            <w:r>
              <w:rPr>
                <w:b/>
                <w:bCs/>
              </w:rPr>
              <w:t xml:space="preserve">Compliance / due diligence</w:t>
            </w:r>
          </w:p>
        </w:tc>
        <w:tc>
          <w:tcPr>
            <w:tcW w:type="dxa" w:w="7260"/>
            <w:shd w:fill="FFFFFF" w:color="auto" w:val="clear"/>
            <w:tcMar>
              <w:top w:type="dxa" w:w="50"/>
              <w:left w:type="dxa" w:w="110"/>
              <w:bottom w:type="dxa" w:w="50"/>
              <w:right w:type="dxa" w:w="110"/>
            </w:tcMar>
            <w:vAlign w:val="center"/>
          </w:tcPr>
          <w:p>
            <w:pPr>
              <w:spacing w:line="252"/>
            </w:pPr>
            <w:r>
              <w:rPr>
                <w:sz w:val="19"/>
                <w:szCs w:val="19"/>
              </w:rPr>
              <w:t xml:space="preserve">Adverse-media screening (live web search with citation, training-knowledge fallback); document analysis &amp; registration verification (vision/PDF); signed grant-agreement extraction wizards.</w:t>
            </w:r>
          </w:p>
        </w:tc>
      </w:tr>
      <w:tr>
        <w:tc>
          <w:tcPr>
            <w:tcW w:type="dxa" w:w="2100"/>
            <w:shd w:fill="F3F5F4" w:color="auto" w:val="clear"/>
            <w:tcMar>
              <w:top w:type="dxa" w:w="50"/>
              <w:left w:type="dxa" w:w="110"/>
              <w:bottom w:type="dxa" w:w="50"/>
              <w:right w:type="dxa" w:w="110"/>
            </w:tcMar>
            <w:vAlign w:val="center"/>
          </w:tcPr>
          <w:p>
            <w:pPr>
              <w:spacing w:line="252"/>
            </w:pPr>
            <w:r>
              <w:rPr>
                <w:b/>
                <w:bCs/>
              </w:rPr>
              <w:t xml:space="preserve">NGO feedback loop</w:t>
            </w:r>
          </w:p>
        </w:tc>
        <w:tc>
          <w:tcPr>
            <w:tcW w:type="dxa" w:w="7260"/>
            <w:shd w:fill="F3F5F4" w:color="auto" w:val="clear"/>
            <w:tcMar>
              <w:top w:type="dxa" w:w="50"/>
              <w:left w:type="dxa" w:w="110"/>
              <w:bottom w:type="dxa" w:w="50"/>
              <w:right w:type="dxa" w:w="110"/>
            </w:tcMar>
            <w:vAlign w:val="center"/>
          </w:tcPr>
          <w:p>
            <w:pPr>
              <w:spacing w:line="252"/>
            </w:pPr>
            <w:r>
              <w:rPr>
                <w:sz w:val="19"/>
                <w:szCs w:val="19"/>
              </w:rPr>
              <w:t xml:space="preserve">Constructive "why was this rejected" explanations for declined applications and reports.</w:t>
            </w:r>
          </w:p>
        </w:tc>
      </w:tr>
    </w:tbl>
    <w:p>
      <w:pPr>
        <w:pStyle w:val="Heading2"/>
      </w:pPr>
      <w:r>
        <w:t xml:space="preserve">6.4 Voice &amp; vision</w:t>
      </w:r>
    </w:p>
    <w:p>
      <w:pPr>
        <w:pStyle w:val="ListParagraph"/>
        <w:numPr>
          <w:ilvl w:val="0"/>
          <w:numId w:val="2"/>
        </w:numPr>
        <w:spacing w:after="60" w:line="264"/>
      </w:pPr>
      <w:r>
        <w:rPr>
          <w:b/>
          <w:bCs/>
        </w:rPr>
        <w:t xml:space="preserve">Voice: </w:t>
      </w:r>
      <w:r>
        <w:t xml:space="preserve">the browser records audio; for so/sw/ar it is sent to Whisper (25 MB cap), otherwise the browser’s own speech API is used. A pre-flight status probe warns the user before they invest effort in, say, a five-minute voice memo.</w:t>
      </w:r>
    </w:p>
    <w:p>
      <w:pPr>
        <w:pStyle w:val="ListParagraph"/>
        <w:numPr>
          <w:ilvl w:val="0"/>
          <w:numId w:val="2"/>
        </w:numPr>
        <w:spacing w:after="60" w:line="264"/>
      </w:pPr>
      <w:r>
        <w:rPr>
          <w:b/>
          <w:bCs/>
        </w:rPr>
        <w:t xml:space="preserve">Vision / documents: </w:t>
      </w:r>
      <w:r>
        <w:t xml:space="preserve">Claude vision handles photo-as-evidence extraction, registration-certificate verification, and PDF/agreement unpacking; PyPDF2, python-docx, and openpyxl handle deterministic document parsing.</w:t>
      </w:r>
    </w:p>
    <w:p>
      <w:pPr>
        <w:pStyle w:val="Heading2"/>
      </w:pPr>
      <w:r>
        <w:t xml:space="preserve">6.5 AI governance &amp; reliability</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600"/>
        <w:gridCol w:w="6760"/>
      </w:tblGrid>
      <w:tr>
        <w:trPr>
          <w:tblHeader/>
        </w:trPr>
        <w:tc>
          <w:tcPr>
            <w:tcW w:type="dxa" w:w="2600"/>
            <w:shd w:fill="1F3A34" w:color="auto" w:val="clear"/>
            <w:tcMar>
              <w:top w:type="dxa" w:w="60"/>
              <w:left w:type="dxa" w:w="110"/>
              <w:bottom w:type="dxa" w:w="60"/>
              <w:right w:type="dxa" w:w="110"/>
            </w:tcMar>
            <w:vAlign w:val="center"/>
          </w:tcPr>
          <w:p>
            <w:r>
              <w:rPr>
                <w:b/>
                <w:bCs/>
                <w:color w:val="FFFFFF"/>
                <w:sz w:val="19"/>
                <w:szCs w:val="19"/>
              </w:rPr>
              <w:t xml:space="preserve">Mechanism</w:t>
            </w:r>
          </w:p>
        </w:tc>
        <w:tc>
          <w:tcPr>
            <w:tcW w:type="dxa" w:w="6760"/>
            <w:shd w:fill="1F3A34" w:color="auto" w:val="clear"/>
            <w:tcMar>
              <w:top w:type="dxa" w:w="60"/>
              <w:left w:type="dxa" w:w="110"/>
              <w:bottom w:type="dxa" w:w="60"/>
              <w:right w:type="dxa" w:w="110"/>
            </w:tcMar>
            <w:vAlign w:val="center"/>
          </w:tcPr>
          <w:p>
            <w:r>
              <w:rPr>
                <w:b/>
                <w:bCs/>
                <w:color w:val="FFFFFF"/>
                <w:sz w:val="19"/>
                <w:szCs w:val="19"/>
              </w:rPr>
              <w:t xml:space="preserve">How it works</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Telemetry</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Every AI call writes one row to ai_call_logs (endpoint, user, org, role, language, success, duration, tokens in/out, model, error, estimated USD cost). Never blocks the request.</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Replay</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Audit-sensitive calls are logged full-fidelity (prompt + response, truncated) and linked to their subject record, so a disputed AI output can be reproduced. Paired with an audit-chain entry carrying the ai_call_id.</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Provenance</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For grounded claims, ai_provenance stores per-claim source citations with a bucketed confidence (high/medium/low) — probabilities are deliberately avoided as they calibrate poorly.</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Cost control</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A hard per-org monthly USD budget gate runs inside the AI client before the network call (breach → skipped row + fallback). Soft threshold notifications fire to admins at 75/90/100% of the cap.</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Async offload</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Heavy AI work can be offloaded to a background job (Redis-backed durable task store, or in-memory pool) and polled via a job endpoint, keeping HTTP threads free.</w:t>
            </w:r>
          </w:p>
        </w:tc>
      </w:tr>
      <w:tr>
        <w:tc>
          <w:tcPr>
            <w:tcW w:type="dxa" w:w="2600"/>
            <w:shd w:fill="F3F5F4" w:color="auto" w:val="clear"/>
            <w:tcMar>
              <w:top w:type="dxa" w:w="50"/>
              <w:left w:type="dxa" w:w="110"/>
              <w:bottom w:type="dxa" w:w="50"/>
              <w:right w:type="dxa" w:w="110"/>
            </w:tcMar>
            <w:vAlign w:val="center"/>
          </w:tcPr>
          <w:p>
            <w:pPr>
              <w:spacing w:line="252"/>
            </w:pPr>
            <w:r>
              <w:rPr>
                <w:b/>
                <w:bCs/>
              </w:rPr>
              <w:t xml:space="preserve">Quality tracking</w:t>
            </w:r>
          </w:p>
        </w:tc>
        <w:tc>
          <w:tcPr>
            <w:tcW w:type="dxa" w:w="6760"/>
            <w:shd w:fill="F3F5F4" w:color="auto" w:val="clear"/>
            <w:tcMar>
              <w:top w:type="dxa" w:w="50"/>
              <w:left w:type="dxa" w:w="110"/>
              <w:bottom w:type="dxa" w:w="50"/>
              <w:right w:type="dxa" w:w="110"/>
            </w:tcMar>
            <w:vAlign w:val="center"/>
          </w:tcPr>
          <w:p>
            <w:pPr>
              <w:spacing w:line="252"/>
            </w:pPr>
            <w:r>
              <w:rPr>
                <w:sz w:val="19"/>
                <w:szCs w:val="19"/>
              </w:rPr>
              <w:t xml:space="preserve">Client-side edit-ratio (verbatim / blended / rejected) and a "false-confidence" signal (AI accepted verbatim then later corrected) are recorded per surface and language for drift monitoring.</w:t>
            </w:r>
          </w:p>
        </w:tc>
      </w:tr>
      <w:tr>
        <w:tc>
          <w:tcPr>
            <w:tcW w:type="dxa" w:w="2600"/>
            <w:shd w:fill="FFFFFF" w:color="auto" w:val="clear"/>
            <w:tcMar>
              <w:top w:type="dxa" w:w="50"/>
              <w:left w:type="dxa" w:w="110"/>
              <w:bottom w:type="dxa" w:w="50"/>
              <w:right w:type="dxa" w:w="110"/>
            </w:tcMar>
            <w:vAlign w:val="center"/>
          </w:tcPr>
          <w:p>
            <w:pPr>
              <w:spacing w:line="252"/>
            </w:pPr>
            <w:r>
              <w:rPr>
                <w:b/>
                <w:bCs/>
              </w:rPr>
              <w:t xml:space="preserve">Monitoring</w:t>
            </w:r>
          </w:p>
        </w:tc>
        <w:tc>
          <w:tcPr>
            <w:tcW w:type="dxa" w:w="6760"/>
            <w:shd w:fill="FFFFFF" w:color="auto" w:val="clear"/>
            <w:tcMar>
              <w:top w:type="dxa" w:w="50"/>
              <w:left w:type="dxa" w:w="110"/>
              <w:bottom w:type="dxa" w:w="50"/>
              <w:right w:type="dxa" w:w="110"/>
            </w:tcMar>
            <w:vAlign w:val="center"/>
          </w:tcPr>
          <w:p>
            <w:pPr>
              <w:spacing w:line="252"/>
            </w:pPr>
            <w:r>
              <w:rPr>
                <w:sz w:val="19"/>
                <w:szCs w:val="19"/>
              </w:rPr>
              <w:t xml:space="preserve">Synthetic monitors exercise flagship AI surfaces on a schedule against fixtures; a surface-health check reports ok/fail/skipped and pages admins on failure.</w:t>
            </w:r>
          </w:p>
        </w:tc>
      </w:tr>
    </w:tbl>
    <w:p>
      <w:pPr>
        <w:pStyle w:val="Heading2"/>
      </w:pPr>
      <w:r>
        <w:t xml:space="preserve">6.6 Grounding &amp; safety</w:t>
      </w:r>
    </w:p>
    <w:p>
      <w:pPr>
        <w:pStyle w:val="ListParagraph"/>
        <w:numPr>
          <w:ilvl w:val="0"/>
          <w:numId w:val="2"/>
        </w:numPr>
        <w:spacing w:after="60" w:line="264"/>
      </w:pPr>
      <w:r>
        <w:rPr>
          <w:b/>
          <w:bCs/>
        </w:rPr>
        <w:t xml:space="preserve">Never-invent discipline. </w:t>
      </w:r>
      <w:r>
        <w:t xml:space="preserve">Prompts across the system instruct the model not to fabricate facts, amounts, partners, or URLs; ungrounded items are returned as explicit gaps rather than guessed.</w:t>
      </w:r>
    </w:p>
    <w:p>
      <w:pPr>
        <w:pStyle w:val="ListParagraph"/>
        <w:numPr>
          <w:ilvl w:val="0"/>
          <w:numId w:val="2"/>
        </w:numPr>
        <w:spacing w:after="60" w:line="264"/>
      </w:pPr>
      <w:r>
        <w:rPr>
          <w:b/>
          <w:bCs/>
        </w:rPr>
        <w:t xml:space="preserve">Grounded retrieval. </w:t>
      </w:r>
      <w:r>
        <w:t xml:space="preserve">Org "memory" uses deterministic tag-intersection retrieval (not opaque vector RAG) so grounding is explainable; network AI always grounds in the data passed to it.</w:t>
      </w:r>
    </w:p>
    <w:p>
      <w:pPr>
        <w:pStyle w:val="ListParagraph"/>
        <w:numPr>
          <w:ilvl w:val="0"/>
          <w:numId w:val="2"/>
        </w:numPr>
        <w:spacing w:after="60" w:line="264"/>
      </w:pPr>
      <w:r>
        <w:rPr>
          <w:b/>
          <w:bCs/>
        </w:rPr>
        <w:t xml:space="preserve">Two-tier due diligence. </w:t>
      </w:r>
      <w:r>
        <w:t xml:space="preserve">Adverse-media screening prefers live web search with real citations; when unavailable it falls back to training knowledge, clearly tagged with lower confidence and no invented sources.</w:t>
      </w:r>
    </w:p>
    <w:p>
      <w:pPr>
        <w:pStyle w:val="ListParagraph"/>
        <w:numPr>
          <w:ilvl w:val="0"/>
          <w:numId w:val="2"/>
        </w:numPr>
        <w:spacing w:after="60" w:line="264"/>
      </w:pPr>
      <w:r>
        <w:rPr>
          <w:b/>
          <w:bCs/>
        </w:rPr>
        <w:t xml:space="preserve">Honest fallbacks. </w:t>
      </w:r>
      <w:r>
        <w:t xml:space="preserve">When AI is unavailable, surfaces show explicit "AI unavailable — baseline / try again" notices and label output as AI vs template, so users are never misled about what produced a result.</w:t>
      </w:r>
    </w:p>
    <w:p>
      <w:pPr>
        <w:pStyle w:val="Heading1"/>
      </w:pPr>
      <w:r>
        <w:t xml:space="preserve">7. Third-Party Tools &amp; Services</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2400"/>
        <w:gridCol w:w="3400"/>
        <w:gridCol w:w="3560"/>
      </w:tblGrid>
      <w:tr>
        <w:trPr>
          <w:tblHeader/>
        </w:trPr>
        <w:tc>
          <w:tcPr>
            <w:tcW w:type="dxa" w:w="2400"/>
            <w:shd w:fill="1F3A34" w:color="auto" w:val="clear"/>
            <w:tcMar>
              <w:top w:type="dxa" w:w="60"/>
              <w:left w:type="dxa" w:w="110"/>
              <w:bottom w:type="dxa" w:w="60"/>
              <w:right w:type="dxa" w:w="110"/>
            </w:tcMar>
            <w:vAlign w:val="center"/>
          </w:tcPr>
          <w:p>
            <w:r>
              <w:rPr>
                <w:b/>
                <w:bCs/>
                <w:color w:val="FFFFFF"/>
                <w:sz w:val="19"/>
                <w:szCs w:val="19"/>
              </w:rPr>
              <w:t xml:space="preserve">Service</w:t>
            </w:r>
          </w:p>
        </w:tc>
        <w:tc>
          <w:tcPr>
            <w:tcW w:type="dxa" w:w="3400"/>
            <w:shd w:fill="1F3A34" w:color="auto" w:val="clear"/>
            <w:tcMar>
              <w:top w:type="dxa" w:w="60"/>
              <w:left w:type="dxa" w:w="110"/>
              <w:bottom w:type="dxa" w:w="60"/>
              <w:right w:type="dxa" w:w="110"/>
            </w:tcMar>
            <w:vAlign w:val="center"/>
          </w:tcPr>
          <w:p>
            <w:r>
              <w:rPr>
                <w:b/>
                <w:bCs/>
                <w:color w:val="FFFFFF"/>
                <w:sz w:val="19"/>
                <w:szCs w:val="19"/>
              </w:rPr>
              <w:t xml:space="preserve">Purpose</w:t>
            </w:r>
          </w:p>
        </w:tc>
        <w:tc>
          <w:tcPr>
            <w:tcW w:type="dxa" w:w="3560"/>
            <w:shd w:fill="1F3A34" w:color="auto" w:val="clear"/>
            <w:tcMar>
              <w:top w:type="dxa" w:w="60"/>
              <w:left w:type="dxa" w:w="110"/>
              <w:bottom w:type="dxa" w:w="60"/>
              <w:right w:type="dxa" w:w="110"/>
            </w:tcMar>
            <w:vAlign w:val="center"/>
          </w:tcPr>
          <w:p>
            <w:r>
              <w:rPr>
                <w:b/>
                <w:bCs/>
                <w:color w:val="FFFFFF"/>
                <w:sz w:val="19"/>
                <w:szCs w:val="19"/>
              </w:rPr>
              <w:t xml:space="preserve">Integration / config</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Anthropic Claude</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All text-reasoning AI.</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Official Python SDK; ANTHROPIC_API_KEY.</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OpenAI Whisper</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Speech-to-text (so/sw/ar).</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Raw HTTP; WHISPER_API_KEY / WHISPER_API_URL / WHISPER_MODEL.</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Sentry</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Error &amp; performance tracking (prod).</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sentry-sdk[flask] with Flask + SQLAlchemy integrations; traces sampled at 10%; SENTRY_DSN.</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Redis</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Background jobs, distributed locks, WebAuthn challenges.</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redis-py; REDIS_URL (optional — in-memory fallback).</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Railway</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Hosting, build, managed PostgreSQL.</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Nixpacks build; auto-deploy on push; Procfile release command.</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PostgreSQL</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Primary datastore (prod).</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psycopg2; DATABASE_URL.</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SendGrid / SMTP</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Transactional &amp; digest email.</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SendGrid API if SENDGRID_API_KEY set, else SMTP_*; log-only fallback; MAIL_FROM.</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Web Push (VAPID)</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Browser push notifications.</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pywebpush; push_subscription records.</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Outbound webhooks</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Event fan-out to external systems.</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Signed deliveries with a retry queue (webhook / webhook_delivery).</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WebAuthn / passkeys</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Phishing-resistant 2FA / signing.</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webauthn library; WEBAUTHN_ORIGIN.</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TOTP</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App-based two-factor auth.</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pyotp + on-device QR enrolment.</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Verifiable Credentials</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Portable, cryptographically-signed trust assertions.</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Ed25519Signature2020 + did:web via cryptography.</w:t>
            </w:r>
          </w:p>
        </w:tc>
      </w:tr>
      <w:tr>
        <w:tc>
          <w:tcPr>
            <w:tcW w:type="dxa" w:w="2400"/>
            <w:shd w:fill="FFFFFF" w:color="auto" w:val="clear"/>
            <w:tcMar>
              <w:top w:type="dxa" w:w="50"/>
              <w:left w:type="dxa" w:w="110"/>
              <w:bottom w:type="dxa" w:w="50"/>
              <w:right w:type="dxa" w:w="110"/>
            </w:tcMar>
            <w:vAlign w:val="center"/>
          </w:tcPr>
          <w:p>
            <w:pPr>
              <w:spacing w:line="252"/>
            </w:pPr>
            <w:r>
              <w:rPr>
                <w:b/>
                <w:bCs/>
              </w:rPr>
              <w:t xml:space="preserve">reportlab</w:t>
            </w:r>
          </w:p>
        </w:tc>
        <w:tc>
          <w:tcPr>
            <w:tcW w:type="dxa" w:w="3400"/>
            <w:shd w:fill="FFFFFF" w:color="auto" w:val="clear"/>
            <w:tcMar>
              <w:top w:type="dxa" w:w="50"/>
              <w:left w:type="dxa" w:w="110"/>
              <w:bottom w:type="dxa" w:w="50"/>
              <w:right w:type="dxa" w:w="110"/>
            </w:tcMar>
            <w:vAlign w:val="center"/>
          </w:tcPr>
          <w:p>
            <w:pPr>
              <w:spacing w:line="252"/>
            </w:pPr>
            <w:r>
              <w:rPr>
                <w:sz w:val="19"/>
                <w:szCs w:val="19"/>
              </w:rPr>
              <w:t xml:space="preserve">Server-side PDF generation (reports, donor packs).</w:t>
            </w:r>
          </w:p>
        </w:tc>
        <w:tc>
          <w:tcPr>
            <w:tcW w:type="dxa" w:w="3560"/>
            <w:shd w:fill="FFFFFF" w:color="auto" w:val="clear"/>
            <w:tcMar>
              <w:top w:type="dxa" w:w="50"/>
              <w:left w:type="dxa" w:w="110"/>
              <w:bottom w:type="dxa" w:w="50"/>
              <w:right w:type="dxa" w:w="110"/>
            </w:tcMar>
            <w:vAlign w:val="center"/>
          </w:tcPr>
          <w:p>
            <w:pPr>
              <w:spacing w:line="252"/>
            </w:pPr>
            <w:r>
              <w:rPr>
                <w:sz w:val="19"/>
                <w:szCs w:val="19"/>
              </w:rPr>
              <w:t xml:space="preserve">Pure-Python PDF.</w:t>
            </w:r>
          </w:p>
        </w:tc>
      </w:tr>
      <w:tr>
        <w:tc>
          <w:tcPr>
            <w:tcW w:type="dxa" w:w="2400"/>
            <w:shd w:fill="F3F5F4" w:color="auto" w:val="clear"/>
            <w:tcMar>
              <w:top w:type="dxa" w:w="50"/>
              <w:left w:type="dxa" w:w="110"/>
              <w:bottom w:type="dxa" w:w="50"/>
              <w:right w:type="dxa" w:w="110"/>
            </w:tcMar>
            <w:vAlign w:val="center"/>
          </w:tcPr>
          <w:p>
            <w:pPr>
              <w:spacing w:line="252"/>
            </w:pPr>
            <w:r>
              <w:rPr>
                <w:b/>
                <w:bCs/>
              </w:rPr>
              <w:t xml:space="preserve">PyPDF2 / python-docx / openpyxl</w:t>
            </w:r>
          </w:p>
        </w:tc>
        <w:tc>
          <w:tcPr>
            <w:tcW w:type="dxa" w:w="3400"/>
            <w:shd w:fill="F3F5F4" w:color="auto" w:val="clear"/>
            <w:tcMar>
              <w:top w:type="dxa" w:w="50"/>
              <w:left w:type="dxa" w:w="110"/>
              <w:bottom w:type="dxa" w:w="50"/>
              <w:right w:type="dxa" w:w="110"/>
            </w:tcMar>
            <w:vAlign w:val="center"/>
          </w:tcPr>
          <w:p>
            <w:pPr>
              <w:spacing w:line="252"/>
            </w:pPr>
            <w:r>
              <w:rPr>
                <w:sz w:val="19"/>
                <w:szCs w:val="19"/>
              </w:rPr>
              <w:t xml:space="preserve">Document ingestion &amp; parsing.</w:t>
            </w:r>
          </w:p>
        </w:tc>
        <w:tc>
          <w:tcPr>
            <w:tcW w:type="dxa" w:w="3560"/>
            <w:shd w:fill="F3F5F4" w:color="auto" w:val="clear"/>
            <w:tcMar>
              <w:top w:type="dxa" w:w="50"/>
              <w:left w:type="dxa" w:w="110"/>
              <w:bottom w:type="dxa" w:w="50"/>
              <w:right w:type="dxa" w:w="110"/>
            </w:tcMar>
            <w:vAlign w:val="center"/>
          </w:tcPr>
          <w:p>
            <w:pPr>
              <w:spacing w:line="252"/>
            </w:pPr>
            <w:r>
              <w:rPr>
                <w:sz w:val="19"/>
                <w:szCs w:val="19"/>
              </w:rPr>
              <w:t xml:space="preserve">PDF / Word / Excel extraction.</w:t>
            </w:r>
          </w:p>
        </w:tc>
      </w:tr>
    </w:tbl>
    <w:p>
      <w:pPr>
        <w:spacing w:after="60"/>
      </w:pPr>
    </w:p>
    <w:p>
      <w:pPr>
        <w:spacing w:after="120" w:line="276"/>
      </w:pPr>
      <w:r>
        <w:rPr>
          <w:b/>
          <w:bCs/>
        </w:rPr>
        <w:t xml:space="preserve">Planned integrations (defined, pending provider accounts): </w:t>
      </w:r>
      <w:r>
        <w:t xml:space="preserve">WhatsApp Business API and SMS (Twilio / Africa’s Talking) for out-of-band notifications and report reminders. WhatsApp sharing today uses client-side deep links; these providers are integration points awaiting account provisioning rather than live services.</w:t>
      </w:r>
    </w:p>
    <w:p>
      <w:pPr>
        <w:pStyle w:val="Heading1"/>
      </w:pPr>
      <w:r>
        <w:t xml:space="preserve">8. Security &amp; Compliance</w:t>
      </w:r>
    </w:p>
    <w:p>
      <w:pPr>
        <w:pStyle w:val="Heading2"/>
      </w:pPr>
      <w:r>
        <w:t xml:space="preserve">8.1 Authentication</w:t>
      </w:r>
    </w:p>
    <w:p>
      <w:pPr>
        <w:pStyle w:val="ListParagraph"/>
        <w:numPr>
          <w:ilvl w:val="0"/>
          <w:numId w:val="2"/>
        </w:numPr>
        <w:spacing w:after="60" w:line="264"/>
      </w:pPr>
      <w:r>
        <w:t xml:space="preserve">Session-based auth (Flask-Login) with HttpOnly, SameSite=Lax cookies, Secure in production, and an 8-hour session lifetime.</w:t>
      </w:r>
    </w:p>
    <w:p>
      <w:pPr>
        <w:pStyle w:val="ListParagraph"/>
        <w:numPr>
          <w:ilvl w:val="0"/>
          <w:numId w:val="2"/>
        </w:numPr>
        <w:spacing w:after="60" w:line="264"/>
      </w:pPr>
      <w:r>
        <w:t xml:space="preserve">Two-factor: TOTP (authenticator apps, QR enrolment) and WebAuthn / passkeys for phishing-resistant second factor and high-assurance signing (e.g. multi-signature declarations).</w:t>
      </w:r>
    </w:p>
    <w:p>
      <w:pPr>
        <w:pStyle w:val="ListParagraph"/>
        <w:numPr>
          <w:ilvl w:val="0"/>
          <w:numId w:val="2"/>
        </w:numPr>
        <w:spacing w:after="60" w:line="264"/>
      </w:pPr>
      <w:r>
        <w:t xml:space="preserve">Fail-fast on a missing/default SECRET_KEY in production.</w:t>
      </w:r>
    </w:p>
    <w:p>
      <w:pPr>
        <w:pStyle w:val="Heading2"/>
      </w:pPr>
      <w:r>
        <w:t xml:space="preserve">8.2 Authorization</w:t>
      </w:r>
    </w:p>
    <w:p>
      <w:pPr>
        <w:pStyle w:val="ListParagraph"/>
        <w:numPr>
          <w:ilvl w:val="0"/>
          <w:numId w:val="2"/>
        </w:numPr>
        <w:spacing w:after="60" w:line="264"/>
      </w:pPr>
      <w:r>
        <w:t xml:space="preserve">Role-based access control (NGO, Donor, Reviewer, Admin) plus a per-network Oversight Body role distinct from platform admin.</w:t>
      </w:r>
    </w:p>
    <w:p>
      <w:pPr>
        <w:pStyle w:val="ListParagraph"/>
        <w:numPr>
          <w:ilvl w:val="0"/>
          <w:numId w:val="2"/>
        </w:numPr>
        <w:spacing w:after="60" w:line="264"/>
      </w:pPr>
      <w:r>
        <w:t xml:space="preserve">Tenant isolation enforced at the query layer; an admin "view as user" overlay exists for support without cross-tenant leakage.</w:t>
      </w:r>
    </w:p>
    <w:p>
      <w:pPr>
        <w:pStyle w:val="Heading2"/>
      </w:pPr>
      <w:r>
        <w:t xml:space="preserve">8.3 Transport, headers &amp; CSRF</w:t>
      </w:r>
    </w:p>
    <w:p>
      <w:pPr>
        <w:pStyle w:val="ListParagraph"/>
        <w:numPr>
          <w:ilvl w:val="0"/>
          <w:numId w:val="2"/>
        </w:numPr>
        <w:spacing w:after="60" w:line="264"/>
      </w:pPr>
      <w:r>
        <w:t xml:space="preserve">HTTPS end-to-end; HSTS (1 year, includeSubDomains) in production.</w:t>
      </w:r>
    </w:p>
    <w:p>
      <w:pPr>
        <w:pStyle w:val="ListParagraph"/>
        <w:numPr>
          <w:ilvl w:val="0"/>
          <w:numId w:val="2"/>
        </w:numPr>
        <w:spacing w:after="60" w:line="264"/>
      </w:pPr>
      <w:r>
        <w:t xml:space="preserve">Content-Security-Policy, X-Frame-Options: DENY, and related hardening headers on responses.</w:t>
      </w:r>
    </w:p>
    <w:p>
      <w:pPr>
        <w:pStyle w:val="ListParagraph"/>
        <w:numPr>
          <w:ilvl w:val="0"/>
          <w:numId w:val="2"/>
        </w:numPr>
        <w:spacing w:after="60" w:line="264"/>
      </w:pPr>
      <w:r>
        <w:t xml:space="preserve">Custom CSRF defense: mutating API requests must send X-Requested-With, layered on SameSite cookies and CORS origin lockdown.</w:t>
      </w:r>
    </w:p>
    <w:p>
      <w:pPr>
        <w:pStyle w:val="ListParagraph"/>
        <w:numPr>
          <w:ilvl w:val="0"/>
          <w:numId w:val="2"/>
        </w:numPr>
        <w:spacing w:after="60" w:line="264"/>
      </w:pPr>
      <w:r>
        <w:t xml:space="preserve">Per-IP endpoint rate limiting on sensitive routes; application-level oversized-upload guard with clean 413 handling.</w:t>
      </w:r>
    </w:p>
    <w:p>
      <w:pPr>
        <w:pStyle w:val="Heading2"/>
      </w:pPr>
      <w:r>
        <w:t xml:space="preserve">8.4 Auditability</w:t>
      </w:r>
    </w:p>
    <w:p>
      <w:pPr>
        <w:pStyle w:val="ListParagraph"/>
        <w:numPr>
          <w:ilvl w:val="0"/>
          <w:numId w:val="2"/>
        </w:numPr>
        <w:spacing w:after="60" w:line="264"/>
      </w:pPr>
      <w:r>
        <w:t xml:space="preserve">Hash-chained, tamper-evident audit log for governed actions, with AI calls linked by id for replayable provenance.</w:t>
      </w:r>
    </w:p>
    <w:p>
      <w:pPr>
        <w:pStyle w:val="ListParagraph"/>
        <w:numPr>
          <w:ilvl w:val="0"/>
          <w:numId w:val="2"/>
        </w:numPr>
        <w:spacing w:after="60" w:line="264"/>
      </w:pPr>
      <w:r>
        <w:t xml:space="preserve">Verifiable Credentials let trust assessments be shared and independently verified outside the platform.</w:t>
      </w:r>
    </w:p>
    <w:p>
      <w:pPr>
        <w:pStyle w:val="Heading1"/>
      </w:pPr>
      <w:r>
        <w:t xml:space="preserve">9. Deployment &amp; Operations</w:t>
      </w:r>
    </w:p>
    <w:p>
      <w:pPr>
        <w:pStyle w:val="Heading2"/>
      </w:pPr>
      <w:r>
        <w:t xml:space="preserve">9.1 Build &amp; release pipeline</w:t>
      </w:r>
    </w:p>
    <w:p>
      <w:pPr>
        <w:spacing w:after="120" w:line="276"/>
      </w:pPr>
      <w:r>
        <w:t xml:space="preserve">Deployment is push-to-deploy on Railway. On each build, Nixpacks installs dependencies and captures the git commit SHA into a .build-sha file. The release command then captures the SHA at runtime, runs pre-deploy checks, applies database migrations (flask db upgrade), and starts Gunicorn with --preload so the app (and its idempotent bootstrap) initializes once in the master before workers fork.</w:t>
      </w:r>
    </w:p>
    <w:p>
      <w:pPr>
        <w:pStyle w:val="ListParagraph"/>
        <w:numPr>
          <w:ilvl w:val="0"/>
          <w:numId w:val="2"/>
        </w:numPr>
        <w:spacing w:after="60" w:line="264"/>
      </w:pPr>
      <w:r>
        <w:rPr>
          <w:b/>
          <w:bCs/>
        </w:rPr>
        <w:t xml:space="preserve">Frontend build. </w:t>
      </w:r>
      <w:r>
        <w:t xml:space="preserve">The Next.js static export is compiled and committed into the backend’s static tree; a build-sync guard (verify:built) fails the pipeline if the committed bundle is stale, preventing "backend updated, frontend didn’t" deploys.</w:t>
      </w:r>
    </w:p>
    <w:p>
      <w:pPr>
        <w:pStyle w:val="ListParagraph"/>
        <w:numPr>
          <w:ilvl w:val="0"/>
          <w:numId w:val="2"/>
        </w:numPr>
        <w:spacing w:after="60" w:line="264"/>
      </w:pPr>
      <w:r>
        <w:rPr>
          <w:b/>
          <w:bCs/>
        </w:rPr>
        <w:t xml:space="preserve">Version endpoint. </w:t>
      </w:r>
      <w:r>
        <w:t xml:space="preserve">GET /api/version reports the live backend SHA and frontend build id — the canonical way to confirm a deploy actually landed.</w:t>
      </w:r>
    </w:p>
    <w:p>
      <w:pPr>
        <w:pStyle w:val="Heading2"/>
      </w:pPr>
      <w:r>
        <w:t xml:space="preserve">9.2 Observability</w:t>
      </w:r>
    </w:p>
    <w:p>
      <w:pPr>
        <w:pStyle w:val="ListParagraph"/>
        <w:numPr>
          <w:ilvl w:val="0"/>
          <w:numId w:val="2"/>
        </w:numPr>
        <w:spacing w:after="60" w:line="264"/>
      </w:pPr>
      <w:r>
        <w:t xml:space="preserve">Sentry for exceptions and sampled performance traces (production).</w:t>
      </w:r>
    </w:p>
    <w:p>
      <w:pPr>
        <w:pStyle w:val="ListParagraph"/>
        <w:numPr>
          <w:ilvl w:val="0"/>
          <w:numId w:val="2"/>
        </w:numPr>
        <w:spacing w:after="60" w:line="264"/>
      </w:pPr>
      <w:r>
        <w:t xml:space="preserve">Structured JSON logging in production.</w:t>
      </w:r>
    </w:p>
    <w:p>
      <w:pPr>
        <w:pStyle w:val="ListParagraph"/>
        <w:numPr>
          <w:ilvl w:val="0"/>
          <w:numId w:val="2"/>
        </w:numPr>
        <w:spacing w:after="60" w:line="264"/>
      </w:pPr>
      <w:r>
        <w:t xml:space="preserve">Synthetic monitoring probes and admin dashboards for AI telemetry, cost, quality/false-confidence, cron health, and audit-chain integrity.</w:t>
      </w:r>
    </w:p>
    <w:p>
      <w:pPr>
        <w:pStyle w:val="Heading2"/>
      </w:pPr>
      <w:r>
        <w:t xml:space="preserve">9.3 Background jobs &amp; schedules</w:t>
      </w:r>
    </w:p>
    <w:p>
      <w:pPr>
        <w:pStyle w:val="ListParagraph"/>
        <w:numPr>
          <w:ilvl w:val="0"/>
          <w:numId w:val="2"/>
        </w:numPr>
        <w:spacing w:after="60" w:line="264"/>
      </w:pPr>
      <w:r>
        <w:t xml:space="preserve">A cron surface drives daily/weekly/monthly digests, reminders, auto-close, cleanup, and monitoring-report cadence.</w:t>
      </w:r>
    </w:p>
    <w:p>
      <w:pPr>
        <w:pStyle w:val="ListParagraph"/>
        <w:numPr>
          <w:ilvl w:val="0"/>
          <w:numId w:val="2"/>
        </w:numPr>
        <w:spacing w:after="60" w:line="264"/>
      </w:pPr>
      <w:r>
        <w:t xml:space="preserve">Long-running work (heavy AI, sanctions rescreening) runs on the Redis-backed task runner; a distributed lock prevents duplicate execution across workers.</w:t>
      </w:r>
    </w:p>
    <w:p>
      <w:pPr>
        <w:pStyle w:val="Heading2"/>
      </w:pPr>
      <w:r>
        <w:t xml:space="preserve">9.4 Key environment variables</w:t>
      </w:r>
    </w:p>
    <w:tbl>
      <w:tblPr>
        <w:tblW w:type="dxa" w:w="9360"/>
        <w:tblBorders>
          <w:top w:val="single" w:color="D0D5D3" w:sz="1"/>
          <w:left w:val="single" w:color="D0D5D3" w:sz="1"/>
          <w:bottom w:val="single" w:color="D0D5D3" w:sz="1"/>
          <w:right w:val="single" w:color="D0D5D3" w:sz="1"/>
          <w:insideH w:val="single" w:color="D0D5D3" w:sz="1"/>
          <w:insideV w:val="single" w:color="D0D5D3" w:sz="1"/>
        </w:tblBorders>
      </w:tblPr>
      <w:tblGrid>
        <w:gridCol w:w="3200"/>
        <w:gridCol w:w="6160"/>
      </w:tblGrid>
      <w:tr>
        <w:trPr>
          <w:tblHeader/>
        </w:trPr>
        <w:tc>
          <w:tcPr>
            <w:tcW w:type="dxa" w:w="3200"/>
            <w:shd w:fill="1F3A34" w:color="auto" w:val="clear"/>
            <w:tcMar>
              <w:top w:type="dxa" w:w="60"/>
              <w:left w:type="dxa" w:w="110"/>
              <w:bottom w:type="dxa" w:w="60"/>
              <w:right w:type="dxa" w:w="110"/>
            </w:tcMar>
            <w:vAlign w:val="center"/>
          </w:tcPr>
          <w:p>
            <w:r>
              <w:rPr>
                <w:b/>
                <w:bCs/>
                <w:color w:val="FFFFFF"/>
                <w:sz w:val="19"/>
                <w:szCs w:val="19"/>
              </w:rPr>
              <w:t xml:space="preserve">Variable</w:t>
            </w:r>
          </w:p>
        </w:tc>
        <w:tc>
          <w:tcPr>
            <w:tcW w:type="dxa" w:w="6160"/>
            <w:shd w:fill="1F3A34" w:color="auto" w:val="clear"/>
            <w:tcMar>
              <w:top w:type="dxa" w:w="60"/>
              <w:left w:type="dxa" w:w="110"/>
              <w:bottom w:type="dxa" w:w="60"/>
              <w:right w:type="dxa" w:w="110"/>
            </w:tcMar>
            <w:vAlign w:val="center"/>
          </w:tcPr>
          <w:p>
            <w:r>
              <w:rPr>
                <w:b/>
                <w:bCs/>
                <w:color w:val="FFFFFF"/>
                <w:sz w:val="19"/>
                <w:szCs w:val="19"/>
              </w:rPr>
              <w:t xml:space="preserve">Purpose</w:t>
            </w:r>
          </w:p>
        </w:tc>
      </w:tr>
      <w:tr>
        <w:tc>
          <w:tcPr>
            <w:tcW w:type="dxa" w:w="32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SECRET_KEY</w:t>
            </w:r>
          </w:p>
        </w:tc>
        <w:tc>
          <w:tcPr>
            <w:tcW w:type="dxa" w:w="6160"/>
            <w:shd w:fill="FFFFFF" w:color="auto" w:val="clear"/>
            <w:tcMar>
              <w:top w:type="dxa" w:w="50"/>
              <w:left w:type="dxa" w:w="110"/>
              <w:bottom w:type="dxa" w:w="50"/>
              <w:right w:type="dxa" w:w="110"/>
            </w:tcMar>
            <w:vAlign w:val="center"/>
          </w:tcPr>
          <w:p>
            <w:pPr>
              <w:spacing w:line="252"/>
            </w:pPr>
            <w:r>
              <w:rPr>
                <w:sz w:val="19"/>
                <w:szCs w:val="19"/>
              </w:rPr>
              <w:t xml:space="preserve">Flask session signing (must be set in prod).</w:t>
            </w:r>
          </w:p>
        </w:tc>
      </w:tr>
      <w:tr>
        <w:tc>
          <w:tcPr>
            <w:tcW w:type="dxa" w:w="3200"/>
            <w:shd w:fill="F3F5F4"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DATABASE_URL</w:t>
            </w:r>
          </w:p>
        </w:tc>
        <w:tc>
          <w:tcPr>
            <w:tcW w:type="dxa" w:w="6160"/>
            <w:shd w:fill="F3F5F4" w:color="auto" w:val="clear"/>
            <w:tcMar>
              <w:top w:type="dxa" w:w="50"/>
              <w:left w:type="dxa" w:w="110"/>
              <w:bottom w:type="dxa" w:w="50"/>
              <w:right w:type="dxa" w:w="110"/>
            </w:tcMar>
            <w:vAlign w:val="center"/>
          </w:tcPr>
          <w:p>
            <w:pPr>
              <w:spacing w:line="252"/>
            </w:pPr>
            <w:r>
              <w:rPr>
                <w:sz w:val="19"/>
                <w:szCs w:val="19"/>
              </w:rPr>
              <w:t xml:space="preserve">PostgreSQL connection (postgres:// auto-normalized).</w:t>
            </w:r>
          </w:p>
        </w:tc>
      </w:tr>
      <w:tr>
        <w:tc>
          <w:tcPr>
            <w:tcW w:type="dxa" w:w="32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REDIS_URL</w:t>
            </w:r>
          </w:p>
        </w:tc>
        <w:tc>
          <w:tcPr>
            <w:tcW w:type="dxa" w:w="6160"/>
            <w:shd w:fill="FFFFFF" w:color="auto" w:val="clear"/>
            <w:tcMar>
              <w:top w:type="dxa" w:w="50"/>
              <w:left w:type="dxa" w:w="110"/>
              <w:bottom w:type="dxa" w:w="50"/>
              <w:right w:type="dxa" w:w="110"/>
            </w:tcMar>
            <w:vAlign w:val="center"/>
          </w:tcPr>
          <w:p>
            <w:pPr>
              <w:spacing w:line="252"/>
            </w:pPr>
            <w:r>
              <w:rPr>
                <w:sz w:val="19"/>
                <w:szCs w:val="19"/>
              </w:rPr>
              <w:t xml:space="preserve">Redis for jobs/locks/challenges (optional).</w:t>
            </w:r>
          </w:p>
        </w:tc>
      </w:tr>
      <w:tr>
        <w:tc>
          <w:tcPr>
            <w:tcW w:type="dxa" w:w="3200"/>
            <w:shd w:fill="F3F5F4"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ANTHROPIC_API_KEY</w:t>
            </w:r>
          </w:p>
        </w:tc>
        <w:tc>
          <w:tcPr>
            <w:tcW w:type="dxa" w:w="6160"/>
            <w:shd w:fill="F3F5F4" w:color="auto" w:val="clear"/>
            <w:tcMar>
              <w:top w:type="dxa" w:w="50"/>
              <w:left w:type="dxa" w:w="110"/>
              <w:bottom w:type="dxa" w:w="50"/>
              <w:right w:type="dxa" w:w="110"/>
            </w:tcMar>
            <w:vAlign w:val="center"/>
          </w:tcPr>
          <w:p>
            <w:pPr>
              <w:spacing w:line="252"/>
            </w:pPr>
            <w:r>
              <w:rPr>
                <w:sz w:val="19"/>
                <w:szCs w:val="19"/>
              </w:rPr>
              <w:t xml:space="preserve">Claude access.</w:t>
            </w:r>
          </w:p>
        </w:tc>
      </w:tr>
      <w:tr>
        <w:tc>
          <w:tcPr>
            <w:tcW w:type="dxa" w:w="32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WHISPER_API_KEY / _URL / _MODEL</w:t>
            </w:r>
          </w:p>
        </w:tc>
        <w:tc>
          <w:tcPr>
            <w:tcW w:type="dxa" w:w="6160"/>
            <w:shd w:fill="FFFFFF" w:color="auto" w:val="clear"/>
            <w:tcMar>
              <w:top w:type="dxa" w:w="50"/>
              <w:left w:type="dxa" w:w="110"/>
              <w:bottom w:type="dxa" w:w="50"/>
              <w:right w:type="dxa" w:w="110"/>
            </w:tcMar>
            <w:vAlign w:val="center"/>
          </w:tcPr>
          <w:p>
            <w:pPr>
              <w:spacing w:line="252"/>
            </w:pPr>
            <w:r>
              <w:rPr>
                <w:sz w:val="19"/>
                <w:szCs w:val="19"/>
              </w:rPr>
              <w:t xml:space="preserve">OpenAI Whisper transcription (overridable endpoint/model).</w:t>
            </w:r>
          </w:p>
        </w:tc>
      </w:tr>
      <w:tr>
        <w:tc>
          <w:tcPr>
            <w:tcW w:type="dxa" w:w="3200"/>
            <w:shd w:fill="F3F5F4"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SENTRY_DSN</w:t>
            </w:r>
          </w:p>
        </w:tc>
        <w:tc>
          <w:tcPr>
            <w:tcW w:type="dxa" w:w="6160"/>
            <w:shd w:fill="F3F5F4" w:color="auto" w:val="clear"/>
            <w:tcMar>
              <w:top w:type="dxa" w:w="50"/>
              <w:left w:type="dxa" w:w="110"/>
              <w:bottom w:type="dxa" w:w="50"/>
              <w:right w:type="dxa" w:w="110"/>
            </w:tcMar>
            <w:vAlign w:val="center"/>
          </w:tcPr>
          <w:p>
            <w:pPr>
              <w:spacing w:line="252"/>
            </w:pPr>
            <w:r>
              <w:rPr>
                <w:sz w:val="19"/>
                <w:szCs w:val="19"/>
              </w:rPr>
              <w:t xml:space="preserve">Enables Sentry (prod only).</w:t>
            </w:r>
          </w:p>
        </w:tc>
      </w:tr>
      <w:tr>
        <w:tc>
          <w:tcPr>
            <w:tcW w:type="dxa" w:w="32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SENDGRID_API_KEY / SMTP_*</w:t>
            </w:r>
          </w:p>
        </w:tc>
        <w:tc>
          <w:tcPr>
            <w:tcW w:type="dxa" w:w="6160"/>
            <w:shd w:fill="FFFFFF" w:color="auto" w:val="clear"/>
            <w:tcMar>
              <w:top w:type="dxa" w:w="50"/>
              <w:left w:type="dxa" w:w="110"/>
              <w:bottom w:type="dxa" w:w="50"/>
              <w:right w:type="dxa" w:w="110"/>
            </w:tcMar>
            <w:vAlign w:val="center"/>
          </w:tcPr>
          <w:p>
            <w:pPr>
              <w:spacing w:line="252"/>
            </w:pPr>
            <w:r>
              <w:rPr>
                <w:sz w:val="19"/>
                <w:szCs w:val="19"/>
              </w:rPr>
              <w:t xml:space="preserve">Email transport selection; MAIL_FROM / MAIL_FROM_NAME for sender.</w:t>
            </w:r>
          </w:p>
        </w:tc>
      </w:tr>
      <w:tr>
        <w:tc>
          <w:tcPr>
            <w:tcW w:type="dxa" w:w="3200"/>
            <w:shd w:fill="F3F5F4"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WEBAUTHN_ORIGIN / KUJA_PUBLIC_HOST</w:t>
            </w:r>
          </w:p>
        </w:tc>
        <w:tc>
          <w:tcPr>
            <w:tcW w:type="dxa" w:w="6160"/>
            <w:shd w:fill="F3F5F4" w:color="auto" w:val="clear"/>
            <w:tcMar>
              <w:top w:type="dxa" w:w="50"/>
              <w:left w:type="dxa" w:w="110"/>
              <w:bottom w:type="dxa" w:w="50"/>
              <w:right w:type="dxa" w:w="110"/>
            </w:tcMar>
            <w:vAlign w:val="center"/>
          </w:tcPr>
          <w:p>
            <w:pPr>
              <w:spacing w:line="252"/>
            </w:pPr>
            <w:r>
              <w:rPr>
                <w:sz w:val="19"/>
                <w:szCs w:val="19"/>
              </w:rPr>
              <w:t xml:space="preserve">WebAuthn relying-party origin / public host.</w:t>
            </w:r>
          </w:p>
        </w:tc>
      </w:tr>
      <w:tr>
        <w:tc>
          <w:tcPr>
            <w:tcW w:type="dxa" w:w="3200"/>
            <w:shd w:fill="FFFFFF"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SEED_PROXIMATE_ON_BOOT</w:t>
            </w:r>
          </w:p>
        </w:tc>
        <w:tc>
          <w:tcPr>
            <w:tcW w:type="dxa" w:w="6160"/>
            <w:shd w:fill="FFFFFF" w:color="auto" w:val="clear"/>
            <w:tcMar>
              <w:top w:type="dxa" w:w="50"/>
              <w:left w:type="dxa" w:w="110"/>
              <w:bottom w:type="dxa" w:w="50"/>
              <w:right w:type="dxa" w:w="110"/>
            </w:tcMar>
            <w:vAlign w:val="center"/>
          </w:tcPr>
          <w:p>
            <w:pPr>
              <w:spacing w:line="252"/>
            </w:pPr>
            <w:r>
              <w:rPr>
                <w:sz w:val="19"/>
                <w:szCs w:val="19"/>
              </w:rPr>
              <w:t xml:space="preserve">Seed Proximate demo fixtures at boot (UAT).</w:t>
            </w:r>
          </w:p>
        </w:tc>
      </w:tr>
      <w:tr>
        <w:tc>
          <w:tcPr>
            <w:tcW w:type="dxa" w:w="3200"/>
            <w:shd w:fill="F3F5F4" w:color="auto" w:val="clear"/>
            <w:tcMar>
              <w:top w:type="dxa" w:w="50"/>
              <w:left w:type="dxa" w:w="110"/>
              <w:bottom w:type="dxa" w:w="50"/>
              <w:right w:type="dxa" w:w="110"/>
            </w:tcMar>
            <w:vAlign w:val="center"/>
          </w:tcPr>
          <w:p>
            <w:pPr>
              <w:spacing w:line="252"/>
            </w:pPr>
            <w:r>
              <w:rPr>
                <w:rFonts w:ascii="Consolas" w:cs="Consolas" w:eastAsia="Consolas" w:hAnsi="Consolas"/>
                <w:sz w:val="19"/>
                <w:szCs w:val="19"/>
              </w:rPr>
              <w:t xml:space="preserve">KUJA_USER_AI_CONCURRENT / TASK_RUNNER_WORKERS</w:t>
            </w:r>
          </w:p>
        </w:tc>
        <w:tc>
          <w:tcPr>
            <w:tcW w:type="dxa" w:w="6160"/>
            <w:shd w:fill="F3F5F4" w:color="auto" w:val="clear"/>
            <w:tcMar>
              <w:top w:type="dxa" w:w="50"/>
              <w:left w:type="dxa" w:w="110"/>
              <w:bottom w:type="dxa" w:w="50"/>
              <w:right w:type="dxa" w:w="110"/>
            </w:tcMar>
            <w:vAlign w:val="center"/>
          </w:tcPr>
          <w:p>
            <w:pPr>
              <w:spacing w:line="252"/>
            </w:pPr>
            <w:r>
              <w:rPr>
                <w:sz w:val="19"/>
                <w:szCs w:val="19"/>
              </w:rPr>
              <w:t xml:space="preserve">AI concurrency cap / background worker count.</w:t>
            </w:r>
          </w:p>
        </w:tc>
      </w:tr>
    </w:tbl>
    <w:p>
      <w:pPr>
        <w:pStyle w:val="Heading1"/>
      </w:pPr>
      <w:r>
        <w:t xml:space="preserve">10. Quality Assurance &amp; Testing</w:t>
      </w:r>
    </w:p>
    <w:p>
      <w:pPr>
        <w:spacing w:after="120" w:line="276"/>
      </w:pPr>
      <w:r>
        <w:t xml:space="preserve">Testing spans API-level and real-browser layers, with a discipline of verifying against the live deploy before declaring work done:</w:t>
      </w:r>
    </w:p>
    <w:p>
      <w:pPr>
        <w:pStyle w:val="ListParagraph"/>
        <w:numPr>
          <w:ilvl w:val="0"/>
          <w:numId w:val="2"/>
        </w:numPr>
        <w:spacing w:after="60" w:line="264"/>
      </w:pPr>
      <w:r>
        <w:rPr>
          <w:b/>
          <w:bCs/>
        </w:rPr>
        <w:t xml:space="preserve">Smoke tests </w:t>
      </w:r>
      <w:r>
        <w:t xml:space="preserve">(smoke_test.py) — fast backend health and critical-path checks.</w:t>
      </w:r>
    </w:p>
    <w:p>
      <w:pPr>
        <w:pStyle w:val="ListParagraph"/>
        <w:numPr>
          <w:ilvl w:val="0"/>
          <w:numId w:val="2"/>
        </w:numPr>
        <w:spacing w:after="60" w:line="264"/>
      </w:pPr>
      <w:r>
        <w:rPr>
          <w:b/>
          <w:bCs/>
        </w:rPr>
        <w:t xml:space="preserve">End-to-end browser tests </w:t>
      </w:r>
      <w:r>
        <w:t xml:space="preserve">(browser_test.py and Playwright-based e2e) — exercise real UI flows (login, TOTP enrol, WebAuthn signing, application scoring, tenant flows) rather than API responses alone.</w:t>
      </w:r>
    </w:p>
    <w:p>
      <w:pPr>
        <w:pStyle w:val="ListParagraph"/>
        <w:numPr>
          <w:ilvl w:val="0"/>
          <w:numId w:val="2"/>
        </w:numPr>
        <w:spacing w:after="60" w:line="264"/>
      </w:pPr>
      <w:r>
        <w:rPr>
          <w:b/>
          <w:bCs/>
        </w:rPr>
        <w:t xml:space="preserve">Mobile tests </w:t>
      </w:r>
      <w:r>
        <w:t xml:space="preserve">(mobile_test.py) — parametrized by network/tenant, checking responsive layout and low-bandwidth behavior.</w:t>
      </w:r>
    </w:p>
    <w:p>
      <w:pPr>
        <w:pStyle w:val="ListParagraph"/>
        <w:numPr>
          <w:ilvl w:val="0"/>
          <w:numId w:val="2"/>
        </w:numPr>
        <w:spacing w:after="60" w:line="264"/>
      </w:pPr>
      <w:r>
        <w:rPr>
          <w:b/>
          <w:bCs/>
        </w:rPr>
        <w:t xml:space="preserve">Multi-tenant UAT fixtures </w:t>
      </w:r>
      <w:r>
        <w:t xml:space="preserve">— pinned demo data per tenant so tests assert against known state.</w:t>
      </w:r>
    </w:p>
    <w:p>
      <w:pPr>
        <w:pStyle w:val="ListParagraph"/>
        <w:numPr>
          <w:ilvl w:val="0"/>
          <w:numId w:val="2"/>
        </w:numPr>
        <w:spacing w:after="60" w:line="264"/>
      </w:pPr>
      <w:r>
        <w:rPr>
          <w:b/>
          <w:bCs/>
        </w:rPr>
        <w:t xml:space="preserve">Deploy verification </w:t>
      </w:r>
      <w:r>
        <w:t xml:space="preserve">— /api/version SHA matching and the frontend build-sync guard confirm the intended code is actually serving.</w:t>
      </w:r>
    </w:p>
    <w:p>
      <w:pPr>
        <w:spacing w:after="120" w:line="276"/>
      </w:pPr>
      <w:r>
        <w:rPr>
          <w:b/>
          <w:bCs/>
        </w:rPr>
        <w:t xml:space="preserve">Direction: </w:t>
      </w:r>
      <w:r>
        <w:t xml:space="preserve">the current engineering focus is hardening this into a single robust regression suite that runs both API tests and live browser tests together, so that tenant-specific and UI-level defects are caught before promotion.</w:t>
      </w:r>
    </w:p>
    <w:p>
      <w:pPr>
        <w:pStyle w:val="Heading1"/>
      </w:pPr>
      <w:r>
        <w:t xml:space="preserve">11. Appendix — Data Model Inventory</w:t>
      </w:r>
    </w:p>
    <w:p>
      <w:pPr>
        <w:spacing w:after="120" w:line="276"/>
      </w:pPr>
      <w:r>
        <w:t xml:space="preserve">The 57 model modules (SQLAlchemy) in app/models, for reference:</w:t>
      </w:r>
    </w:p>
    <w:p>
      <w:pPr>
        <w:spacing w:after="120" w:line="276"/>
      </w:pPr>
      <w:r>
        <w:rPr>
          <w:rFonts w:ascii="Consolas" w:cs="Consolas" w:eastAsia="Consolas" w:hAnsi="Consolas"/>
          <w:sz w:val="19"/>
          <w:szCs w:val="19"/>
        </w:rPr>
        <w:t xml:space="preserve">adverse_media, ai_provenance, ai_thread, application, assessment, audit_chain, bank_verification, capacity_passport, compliance, compliance_snapshot, crisis_monitoring, criteria_template, cron_run, diligence, document, emergency_declaration, entity_comment, expression_of_interest, fund, grant, grant_question, kpi_snapshot, member_feedback, monitoring_visit, network, network_membership, notification, notification_preference, org_memory, organization, proximate_disbursement, proximate_donor, proximate_endorsement, proximate_endorser_invite, proximate_fsp, proximate_grant, proximate_grievance, proximate_intervention, proximate_outcome, proximate_round, push_subscription, report, review, risk, saved_search, status_signal, synthetic_monitor, tag, tenant_message, user, user_event, user_feedback, watchlist, webauthn_credential, webhook, webhook_delivery</w:t>
      </w:r>
    </w:p>
    <w:p>
      <w:pPr>
        <w:spacing w:after="120"/>
      </w:pPr>
    </w:p>
    <w:p>
      <w:pPr>
        <w:spacing w:after="120" w:line="276"/>
      </w:pPr>
      <w:r>
        <w:rPr>
          <w:b/>
          <w:bCs/>
        </w:rPr>
        <w:t xml:space="preserve">End of document. </w:t>
      </w:r>
      <w:r>
        <w:t xml:space="preserve">This specification reflects the production build referenced on the cover. For live figures, query /api/version.</w:t>
      </w:r>
    </w:p>
    <w:p>
      <w:r>
        <w:br w:type="page"/>
      </w:r>
    </w:p>
    <w:p>
      <w:pPr>
        <w:spacing w:before="0" w:after="120"/>
      </w:pPr>
      <w:r>
        <w:rPr>
          <w:b/>
          <w:color w:val="1F3864"/>
          <w:sz w:val="34"/>
        </w:rPr>
        <w:t>Addendum A - Phase 717: Guided Field Workflow (Technical)</w:t>
      </w:r>
    </w:p>
    <w:p>
      <w:r>
        <w:t>Revision 2026-07-09 (Phase 717 guided-field-workflow wave). Deployed to production 2026-07-08/09; production reference build c1974324cae4 (https://web-production-6f8a.up.railway.app). This addendum records the guidance-engine wave shipped after the base document was issued; all other sections remain current.</w:t>
      </w:r>
    </w:p>
    <w:p>
      <w:pPr>
        <w:spacing w:before="280" w:after="120"/>
      </w:pPr>
      <w:r>
        <w:rPr>
          <w:b/>
          <w:color w:val="1F3864"/>
          <w:sz w:val="26"/>
        </w:rPr>
        <w:t>New endpoint: GET /api/proximate/disbursements/preflight</w:t>
      </w:r>
    </w:p>
    <w:p>
      <w:r>
        <w:t>Login-required. Given a partner (and optional amount), returns the exact preconditions a release needs before the OB submits, so the client can render a 'why blocked' panel. Accepts either amount or amount_usd.</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20"/>
        <w:gridCol w:w="3120"/>
        <w:gridCol w:w="3120"/>
      </w:tblGrid>
      <w:tr>
        <w:tc>
          <w:tcPr>
            <w:tcW w:type="dxa" w:w="3120"/>
          </w:tcPr>
          <w:p>
            <w:r/>
            <w:r>
              <w:rPr>
                <w:b/>
              </w:rPr>
              <w:t>Field</w:t>
            </w:r>
          </w:p>
        </w:tc>
        <w:tc>
          <w:tcPr>
            <w:tcW w:type="dxa" w:w="3120"/>
          </w:tcPr>
          <w:p>
            <w:r/>
            <w:r>
              <w:rPr>
                <w:b/>
              </w:rPr>
              <w:t>Type</w:t>
            </w:r>
          </w:p>
        </w:tc>
        <w:tc>
          <w:tcPr>
            <w:tcW w:type="dxa" w:w="3120"/>
          </w:tcPr>
          <w:p>
            <w:r/>
            <w:r>
              <w:rPr>
                <w:b/>
              </w:rPr>
              <w:t>Notes</w:t>
            </w:r>
          </w:p>
        </w:tc>
      </w:tr>
      <w:tr>
        <w:tc>
          <w:tcPr>
            <w:tcW w:type="dxa" w:w="3120"/>
          </w:tcPr>
          <w:p>
            <w:r>
              <w:t>partner_id</w:t>
            </w:r>
          </w:p>
        </w:tc>
        <w:tc>
          <w:tcPr>
            <w:tcW w:type="dxa" w:w="3120"/>
          </w:tcPr>
          <w:p>
            <w:r>
              <w:t>query int (required)</w:t>
            </w:r>
          </w:p>
        </w:tc>
        <w:tc>
          <w:tcPr>
            <w:tcW w:type="dxa" w:w="3120"/>
          </w:tcPr>
          <w:p>
            <w:r>
              <w:t>Partner to evaluate.</w:t>
            </w:r>
          </w:p>
        </w:tc>
      </w:tr>
      <w:tr>
        <w:tc>
          <w:tcPr>
            <w:tcW w:type="dxa" w:w="3120"/>
          </w:tcPr>
          <w:p>
            <w:r>
              <w:t>amount / amount_usd</w:t>
            </w:r>
          </w:p>
        </w:tc>
        <w:tc>
          <w:tcPr>
            <w:tcW w:type="dxa" w:w="3120"/>
          </w:tcPr>
          <w:p>
            <w:r>
              <w:t>query float (optional)</w:t>
            </w:r>
          </w:p>
        </w:tc>
        <w:tc>
          <w:tcPr>
            <w:tcW w:type="dxa" w:w="3120"/>
          </w:tcPr>
          <w:p>
            <w:r>
              <w:t>Either alias accepted; drives capital class + cosign count.</w:t>
            </w:r>
          </w:p>
        </w:tc>
      </w:tr>
      <w:tr>
        <w:tc>
          <w:tcPr>
            <w:tcW w:type="dxa" w:w="3120"/>
          </w:tcPr>
          <w:p>
            <w:r>
              <w:t>partner_status</w:t>
            </w:r>
          </w:p>
        </w:tc>
        <w:tc>
          <w:tcPr>
            <w:tcW w:type="dxa" w:w="3120"/>
          </w:tcPr>
          <w:p>
            <w:r>
              <w:t>string</w:t>
            </w:r>
          </w:p>
        </w:tc>
        <w:tc>
          <w:tcPr>
            <w:tcW w:type="dxa" w:w="3120"/>
          </w:tcPr>
          <w:p>
            <w:r>
              <w:t>e.g. dd_clear, dd_pending, suspended.</w:t>
            </w:r>
          </w:p>
        </w:tc>
      </w:tr>
      <w:tr>
        <w:tc>
          <w:tcPr>
            <w:tcW w:type="dxa" w:w="3120"/>
          </w:tcPr>
          <w:p>
            <w:r>
              <w:t>can_disburse</w:t>
            </w:r>
          </w:p>
        </w:tc>
        <w:tc>
          <w:tcPr>
            <w:tcW w:type="dxa" w:w="3120"/>
          </w:tcPr>
          <w:p>
            <w:r>
              <w:t>bool</w:t>
            </w:r>
          </w:p>
        </w:tc>
        <w:tc>
          <w:tcPr>
            <w:tcW w:type="dxa" w:w="3120"/>
          </w:tcPr>
          <w:p>
            <w:r>
              <w:t>True when there are no hard blockers.</w:t>
            </w:r>
          </w:p>
        </w:tc>
      </w:tr>
      <w:tr>
        <w:tc>
          <w:tcPr>
            <w:tcW w:type="dxa" w:w="3120"/>
          </w:tcPr>
          <w:p>
            <w:r>
              <w:t>blockers[]</w:t>
            </w:r>
          </w:p>
        </w:tc>
        <w:tc>
          <w:tcPr>
            <w:tcW w:type="dxa" w:w="3120"/>
          </w:tcPr>
          <w:p>
            <w:r>
              <w:t>array</w:t>
            </w:r>
          </w:p>
        </w:tc>
        <w:tc>
          <w:tcPr>
            <w:tcW w:type="dxa" w:w="3120"/>
          </w:tcPr>
          <w:p>
            <w:r>
              <w:t>Hard stops: {code, cta_code, message, href}.</w:t>
            </w:r>
          </w:p>
        </w:tc>
      </w:tr>
      <w:tr>
        <w:tc>
          <w:tcPr>
            <w:tcW w:type="dxa" w:w="3120"/>
          </w:tcPr>
          <w:p>
            <w:r>
              <w:t>warnings[]</w:t>
            </w:r>
          </w:p>
        </w:tc>
        <w:tc>
          <w:tcPr>
            <w:tcW w:type="dxa" w:w="3120"/>
          </w:tcPr>
          <w:p>
            <w:r>
              <w:t>array</w:t>
            </w:r>
          </w:p>
        </w:tc>
        <w:tc>
          <w:tcPr>
            <w:tcW w:type="dxa" w:w="3120"/>
          </w:tcPr>
          <w:p>
            <w:r>
              <w:t>Advisory: {code, cta_code?, message, href?}.</w:t>
            </w:r>
          </w:p>
        </w:tc>
      </w:tr>
      <w:tr>
        <w:tc>
          <w:tcPr>
            <w:tcW w:type="dxa" w:w="3120"/>
          </w:tcPr>
          <w:p>
            <w:r>
              <w:t>cosigners_required</w:t>
            </w:r>
          </w:p>
        </w:tc>
        <w:tc>
          <w:tcPr>
            <w:tcW w:type="dxa" w:w="3120"/>
          </w:tcPr>
          <w:p>
            <w:r>
              <w:t>int</w:t>
            </w:r>
          </w:p>
        </w:tc>
        <w:tc>
          <w:tcPr>
            <w:tcW w:type="dxa" w:w="3120"/>
          </w:tcPr>
          <w:p>
            <w:r>
              <w:t>SoP ladder: &gt;$10k=1, &gt;$50k=2, &gt;$200k=3.</w:t>
            </w:r>
          </w:p>
        </w:tc>
      </w:tr>
      <w:tr>
        <w:tc>
          <w:tcPr>
            <w:tcW w:type="dxa" w:w="3120"/>
          </w:tcPr>
          <w:p>
            <w:r>
              <w:t>capital_class</w:t>
            </w:r>
          </w:p>
        </w:tc>
        <w:tc>
          <w:tcPr>
            <w:tcW w:type="dxa" w:w="3120"/>
          </w:tcPr>
          <w:p>
            <w:r>
              <w:t>string</w:t>
            </w:r>
          </w:p>
        </w:tc>
        <w:tc>
          <w:tcPr>
            <w:tcW w:type="dxa" w:w="3120"/>
          </w:tcPr>
          <w:p>
            <w:r>
              <w:t>small / medium / large per Sudan SoP-13 thresholds.</w:t>
            </w:r>
          </w:p>
        </w:tc>
      </w:tr>
    </w:tbl>
    <w:p>
      <w:r>
        <w:t>Blocker / warning codes and their remediation CTA codes:</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40"/>
        <w:gridCol w:w="2340"/>
        <w:gridCol w:w="2340"/>
        <w:gridCol w:w="2340"/>
      </w:tblGrid>
      <w:tr>
        <w:tc>
          <w:tcPr>
            <w:tcW w:type="dxa" w:w="2340"/>
          </w:tcPr>
          <w:p>
            <w:r/>
            <w:r>
              <w:rPr>
                <w:b/>
              </w:rPr>
              <w:t>Code</w:t>
            </w:r>
          </w:p>
        </w:tc>
        <w:tc>
          <w:tcPr>
            <w:tcW w:type="dxa" w:w="2340"/>
          </w:tcPr>
          <w:p>
            <w:r/>
            <w:r>
              <w:rPr>
                <w:b/>
              </w:rPr>
              <w:t>Severity</w:t>
            </w:r>
          </w:p>
        </w:tc>
        <w:tc>
          <w:tcPr>
            <w:tcW w:type="dxa" w:w="2340"/>
          </w:tcPr>
          <w:p>
            <w:r/>
            <w:r>
              <w:rPr>
                <w:b/>
              </w:rPr>
              <w:t>cta_code</w:t>
            </w:r>
          </w:p>
        </w:tc>
        <w:tc>
          <w:tcPr>
            <w:tcW w:type="dxa" w:w="2340"/>
          </w:tcPr>
          <w:p>
            <w:r/>
            <w:r>
              <w:rPr>
                <w:b/>
              </w:rPr>
              <w:t>Meaning</w:t>
            </w:r>
          </w:p>
        </w:tc>
      </w:tr>
      <w:tr>
        <w:tc>
          <w:tcPr>
            <w:tcW w:type="dxa" w:w="2340"/>
          </w:tcPr>
          <w:p>
            <w:r>
              <w:t>partner_suspended</w:t>
            </w:r>
          </w:p>
        </w:tc>
        <w:tc>
          <w:tcPr>
            <w:tcW w:type="dxa" w:w="2340"/>
          </w:tcPr>
          <w:p>
            <w:r>
              <w:t>blocker</w:t>
            </w:r>
          </w:p>
        </w:tc>
        <w:tc>
          <w:tcPr>
            <w:tcW w:type="dxa" w:w="2340"/>
          </w:tcPr>
          <w:p>
            <w:r>
              <w:t>lift_suspension</w:t>
            </w:r>
          </w:p>
        </w:tc>
        <w:tc>
          <w:tcPr>
            <w:tcW w:type="dxa" w:w="2340"/>
          </w:tcPr>
          <w:p>
            <w:r>
              <w:t>Partner is suspended.</w:t>
            </w:r>
          </w:p>
        </w:tc>
      </w:tr>
      <w:tr>
        <w:tc>
          <w:tcPr>
            <w:tcW w:type="dxa" w:w="2340"/>
          </w:tcPr>
          <w:p>
            <w:r>
              <w:t>no_method</w:t>
            </w:r>
          </w:p>
        </w:tc>
        <w:tc>
          <w:tcPr>
            <w:tcW w:type="dxa" w:w="2340"/>
          </w:tcPr>
          <w:p>
            <w:r>
              <w:t>blocker</w:t>
            </w:r>
          </w:p>
        </w:tc>
        <w:tc>
          <w:tcPr>
            <w:tcW w:type="dxa" w:w="2340"/>
          </w:tcPr>
          <w:p>
            <w:r>
              <w:t>add_route</w:t>
            </w:r>
          </w:p>
        </w:tc>
        <w:tc>
          <w:tcPr>
            <w:tcW w:type="dxa" w:w="2340"/>
          </w:tcPr>
          <w:p>
            <w:r>
              <w:t>No disbursement route on file.</w:t>
            </w:r>
          </w:p>
        </w:tc>
      </w:tr>
      <w:tr>
        <w:tc>
          <w:tcPr>
            <w:tcW w:type="dxa" w:w="2340"/>
          </w:tcPr>
          <w:p>
            <w:r>
              <w:t>partner_not_cleared</w:t>
            </w:r>
          </w:p>
        </w:tc>
        <w:tc>
          <w:tcPr>
            <w:tcW w:type="dxa" w:w="2340"/>
          </w:tcPr>
          <w:p>
            <w:r>
              <w:t>warning</w:t>
            </w:r>
          </w:p>
        </w:tc>
        <w:tc>
          <w:tcPr>
            <w:tcW w:type="dxa" w:w="2340"/>
          </w:tcPr>
          <w:p>
            <w:r>
              <w:t>clear_dd</w:t>
            </w:r>
          </w:p>
        </w:tc>
        <w:tc>
          <w:tcPr>
            <w:tcW w:type="dxa" w:w="2340"/>
          </w:tcPr>
          <w:p>
            <w:r>
              <w:t>Due diligence not complete.</w:t>
            </w:r>
          </w:p>
        </w:tc>
      </w:tr>
      <w:tr>
        <w:tc>
          <w:tcPr>
            <w:tcW w:type="dxa" w:w="2340"/>
          </w:tcPr>
          <w:p>
            <w:r>
              <w:t>method_unverified</w:t>
            </w:r>
          </w:p>
        </w:tc>
        <w:tc>
          <w:tcPr>
            <w:tcW w:type="dxa" w:w="2340"/>
          </w:tcPr>
          <w:p>
            <w:r>
              <w:t>warning</w:t>
            </w:r>
          </w:p>
        </w:tc>
        <w:tc>
          <w:tcPr>
            <w:tcW w:type="dxa" w:w="2340"/>
          </w:tcPr>
          <w:p>
            <w:r>
              <w:t>verify_route</w:t>
            </w:r>
          </w:p>
        </w:tc>
        <w:tc>
          <w:tcPr>
            <w:tcW w:type="dxa" w:w="2340"/>
          </w:tcPr>
          <w:p>
            <w:r>
              <w:t>A route exists but is unverified.</w:t>
            </w:r>
          </w:p>
        </w:tc>
      </w:tr>
      <w:tr>
        <w:tc>
          <w:tcPr>
            <w:tcW w:type="dxa" w:w="2340"/>
          </w:tcPr>
          <w:p>
            <w:r>
              <w:t>cosign_required</w:t>
            </w:r>
          </w:p>
        </w:tc>
        <w:tc>
          <w:tcPr>
            <w:tcW w:type="dxa" w:w="2340"/>
          </w:tcPr>
          <w:p>
            <w:r>
              <w:t>warning</w:t>
            </w:r>
          </w:p>
        </w:tc>
        <w:tc>
          <w:tcPr>
            <w:tcW w:type="dxa" w:w="2340"/>
          </w:tcPr>
          <w:p>
            <w:r>
              <w:t>(none)</w:t>
            </w:r>
          </w:p>
        </w:tc>
        <w:tc>
          <w:tcPr>
            <w:tcW w:type="dxa" w:w="2340"/>
          </w:tcPr>
          <w:p>
            <w:r>
              <w:t>Amount needs N co-signatures.</w:t>
            </w:r>
          </w:p>
        </w:tc>
      </w:tr>
    </w:tbl>
    <w:p>
      <w:pPr>
        <w:spacing w:before="280" w:after="120"/>
      </w:pPr>
      <w:r>
        <w:rPr>
          <w:b/>
          <w:color w:val="1F3864"/>
          <w:sz w:val="26"/>
        </w:rPr>
        <w:t>Frontend guidance components</w:t>
      </w:r>
    </w:p>
    <w:p>
      <w:r>
        <w:t>frontend/src/components/proximate/next-step.tsx exports one shared resolver rendered as three surfaces: NextStep (single next-action strip), PartnerJourney (Nominated-&gt;Verified stepper), and WhyBlocked (renders the preflight blockers/warnings with a precise, localized CTA per code). Wired onto /proximate/disbursements/new (why-blocked + ?partner= deep-link + actionable empty state) and partner detail (journey + create-from-here).</w:t>
      </w:r>
    </w:p>
    <w:p>
      <w:pPr>
        <w:spacing w:before="280" w:after="120"/>
      </w:pPr>
      <w:r>
        <w:rPr>
          <w:b/>
          <w:color w:val="1F3864"/>
          <w:sz w:val="26"/>
        </w:rPr>
        <w:t>Internationalization</w:t>
      </w:r>
    </w:p>
    <w:p>
      <w:r>
        <w:t>Guidance strings resolve through the useTranslation t() hook with an English key-miss fallback guard (t() returns the key itself when a key is absent, so a plain '|| fallback' never fires). 23 keys were added across all six locale files (en/ar/fr/sw/so/es) with Arabic authored. The two interpolated messages (partner_not_cleared, cosign_required) currently fall back to the English backend message pending parameterized i18n.</w:t>
      </w:r>
    </w:p>
    <w:p>
      <w:pPr>
        <w:spacing w:before="280" w:after="120"/>
      </w:pPr>
      <w:r>
        <w:rPr>
          <w:b/>
          <w:color w:val="1F3864"/>
          <w:sz w:val="26"/>
        </w:rPr>
        <w:t>Seed / demo data</w:t>
      </w:r>
    </w:p>
    <w:p>
      <w:r>
        <w:t>seed_proximate.py attaches a verified PartnerDisbursementMethod to the reliably-cleared partners (bank + hawala) so the disbursement happy path and the $10k/$50k cosign ladder are visible; it also seeds a stable route-unverified partner and prints a health signal (count of demo-ready partners, WARN if zero). The partner update branch reconciles display fields (name_ar, locality, bank) so a corrected fixture value self-heals on the next boot while SEED_PROXIMATE_ON_BOOT is enabled.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v8.0 · July 2026 · Confidential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DB" w:sz="4" w:space="4"/>
      </w:pBdr>
      <w:jc w:val="right"/>
    </w:pPr>
    <w:r>
      <w:rPr>
        <w:color w:val="6B7280"/>
        <w:sz w:val="16"/>
        <w:szCs w:val="16"/>
      </w:rPr>
      <w:t xml:space="preserve">Kuja Grant Management System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EDB" w:sz="4" w:space="4"/>
      </w:pBdr>
      <w:spacing w:after="160" w:before="320"/>
      <w:outlineLvl w:val="0"/>
    </w:pPr>
    <w:rPr>
      <w:rFonts w:ascii="Calibri" w:cs="Calibri" w:eastAsia="Calibri" w:hAnsi="Calibri"/>
      <w:b/>
      <w:bCs/>
      <w:color w:val="2E5E4E"/>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A34"/>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Kuja Grant Management System — Technical Specification</dc:title>
  <dc:creator>Kuja Engineering</dc:creator>
  <dc:description>Technical specification: architecture, data, AI design, tooling, security, operations.</dc:description>
  <cp:lastModifiedBy>Un-named</cp:lastModifiedBy>
  <cp:revision>1</cp:revision>
  <dcterms:created xsi:type="dcterms:W3CDTF">2026-07-08T19:46:46.925Z</dcterms:created>
  <dcterms:modified xsi:type="dcterms:W3CDTF">2026-07-08T19:46:46.928Z</dcterms:modified>
</cp:coreProperties>
</file>

<file path=docProps/custom.xml><?xml version="1.0" encoding="utf-8"?>
<Properties xmlns="http://schemas.openxmlformats.org/officeDocument/2006/custom-properties" xmlns:vt="http://schemas.openxmlformats.org/officeDocument/2006/docPropsVTypes"/>
</file>