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rial" w:cs="Arial" w:eastAsia="Arial" w:hAnsi="Arial"/>
          <w:b/>
          <w:bCs/>
          <w:color w:val="222222"/>
          <w:sz w:val="32"/>
          <w:szCs w:val="32"/>
        </w:rPr>
        <w:t xml:space="preserve">Platform Update — Proximate Console Redesign Delivered (Stages 1–5), 18 July 2026</w:t>
      </w:r>
    </w:p>
    <w:p>
      <w:pPr>
        <w:spacing w:after="120"/>
      </w:pPr>
      <w:r>
        <w:rPr>
          <w:rFonts w:ascii="Arial" w:cs="Arial" w:eastAsia="Arial" w:hAnsi="Arial"/>
          <w:b w:val="false"/>
          <w:bCs w:val="false"/>
          <w:color w:val="6B6B6B"/>
          <w:sz w:val="22"/>
          <w:szCs w:val="22"/>
        </w:rPr>
        <w:t xml:space="preserve">The consolidated UI/UX redesign the team specified is fully live. All five stages shipped today across fourteen production deployments, each verified in a real browser before and after release. The platform now looks and behaves like one coherent console — same status colours everywhere, registers that filter and stay shareable by link, detail pages organised into tabs, and an approvals queue that behaves like a queue. Business logic, permissions and the audit chain were not touched, exactly as the spec required.</w:t>
      </w:r>
    </w:p>
    <w:p>
      <w:pPr>
        <w:pStyle w:val="Heading1"/>
      </w:pPr>
      <w:r>
        <w:rPr>
          <w:rFonts w:ascii="Arial" w:cs="Arial" w:eastAsia="Arial" w:hAnsi="Arial"/>
          <w:b/>
          <w:bCs/>
          <w:color w:val="FC5810"/>
          <w:sz w:val="26"/>
          <w:szCs w:val="26"/>
        </w:rPr>
        <w:t xml:space="preserve">Summary</w:t>
      </w:r>
    </w:p>
    <w:p>
      <w:pPr>
        <w:spacing w:after="120"/>
      </w:pPr>
      <w:r>
        <w:rPr>
          <w:rFonts w:ascii="Arial" w:cs="Arial" w:eastAsia="Arial" w:hAnsi="Arial"/>
          <w:b w:val="false"/>
          <w:bCs w:val="false"/>
          <w:color w:val="222222"/>
          <w:sz w:val="22"/>
          <w:szCs w:val="22"/>
        </w:rPr>
        <w:t xml:space="preserve">We took the team’s “Consolidated UI/UX Redesign” document and delivered it stage by stage: first a shared design system, then the console shell, then every working screen, then the governance surfaces, and finally a phone/dark-mode/Arabic verification sweep. Alongside it, the 18-July QA quick wins and the flagged-report rule (a flagged partner report now pauses the outcome step until the Proximate team resolves it) went out at the start of the wave. Every deployment passed our automated release gate — now 94 checks — plus scripted browser tests on the live system, with screenshot evidence saved for each screen.</w:t>
      </w:r>
    </w:p>
    <w:p>
      <w:pPr>
        <w:pStyle w:val="Heading1"/>
      </w:pPr>
      <w:r>
        <w:rPr>
          <w:rFonts w:ascii="Arial" w:cs="Arial" w:eastAsia="Arial" w:hAnsi="Arial"/>
          <w:b/>
          <w:bCs/>
          <w:color w:val="FC5810"/>
          <w:sz w:val="26"/>
          <w:szCs w:val="26"/>
        </w:rPr>
        <w:t xml:space="preserve">1. One design language everywhere (Stage 1)</w:t>
      </w:r>
    </w:p>
    <w:p>
      <w:pPr>
        <w:pStyle w:val="ListParagraph"/>
        <w:numPr>
          <w:ilvl w:val="0"/>
          <w:numId w:val="2"/>
        </w:numPr>
        <w:spacing w:after="80"/>
      </w:pPr>
      <w:r>
        <w:rPr>
          <w:rFonts w:ascii="Arial" w:cs="Arial" w:eastAsia="Arial" w:hAnsi="Arial"/>
          <w:b/>
          <w:bCs/>
          <w:color w:val="222222"/>
          <w:sz w:val="22"/>
          <w:szCs w:val="22"/>
        </w:rPr>
        <w:t xml:space="preserve">One colour system for status. </w:t>
      </w:r>
      <w:r>
        <w:rPr>
          <w:rFonts w:ascii="Arial" w:cs="Arial" w:eastAsia="Arial" w:hAnsi="Arial"/>
          <w:color w:val="222222"/>
          <w:sz w:val="22"/>
          <w:szCs w:val="22"/>
        </w:rPr>
        <w:t xml:space="preserve">Every status badge on every Proximate page now comes from a single shared palette — green means done, amber means waiting or needs review, red is reserved for genuinely critical things. The mismatched per-page colours that caused the “green flagged report” bug are gone at the root.</w:t>
      </w:r>
    </w:p>
    <w:p>
      <w:pPr>
        <w:pStyle w:val="ListParagraph"/>
        <w:numPr>
          <w:ilvl w:val="0"/>
          <w:numId w:val="2"/>
        </w:numPr>
        <w:spacing w:after="80"/>
      </w:pPr>
      <w:r>
        <w:rPr>
          <w:rFonts w:ascii="Arial" w:cs="Arial" w:eastAsia="Arial" w:hAnsi="Arial"/>
          <w:b/>
          <w:bCs/>
          <w:color w:val="222222"/>
          <w:sz w:val="22"/>
          <w:szCs w:val="22"/>
        </w:rPr>
        <w:t xml:space="preserve">Readable labels. </w:t>
      </w:r>
      <w:r>
        <w:rPr>
          <w:rFonts w:ascii="Arial" w:cs="Arial" w:eastAsia="Arial" w:hAnsi="Arial"/>
          <w:color w:val="222222"/>
          <w:sz w:val="22"/>
          <w:szCs w:val="22"/>
        </w:rPr>
        <w:t xml:space="preserve">Raw internal codes (dd_clear, pending_cosign and friends) no longer appear anywhere a person reads — they render as “Cleared”, “Awaiting co-sign”, “Due diligence pending” and so on, in all six languages.</w:t>
      </w:r>
    </w:p>
    <w:p>
      <w:pPr>
        <w:pStyle w:val="ListParagraph"/>
        <w:numPr>
          <w:ilvl w:val="0"/>
          <w:numId w:val="2"/>
        </w:numPr>
        <w:spacing w:after="80"/>
      </w:pPr>
      <w:r>
        <w:rPr>
          <w:rFonts w:ascii="Arial" w:cs="Arial" w:eastAsia="Arial" w:hAnsi="Arial"/>
          <w:b/>
          <w:bCs/>
          <w:color w:val="222222"/>
          <w:sz w:val="22"/>
          <w:szCs w:val="22"/>
        </w:rPr>
        <w:t xml:space="preserve">Real empty states. </w:t>
      </w:r>
      <w:r>
        <w:rPr>
          <w:rFonts w:ascii="Arial" w:cs="Arial" w:eastAsia="Arial" w:hAnsi="Arial"/>
          <w:color w:val="222222"/>
          <w:sz w:val="22"/>
          <w:szCs w:val="22"/>
        </w:rPr>
        <w:t xml:space="preserve">Lists no longer show a bare “No X yet” — each explains what belongs there and what to do next.</w:t>
      </w:r>
    </w:p>
    <w:p>
      <w:pPr>
        <w:pStyle w:val="Heading1"/>
      </w:pPr>
      <w:r>
        <w:rPr>
          <w:rFonts w:ascii="Arial" w:cs="Arial" w:eastAsia="Arial" w:hAnsi="Arial"/>
          <w:b/>
          <w:bCs/>
          <w:color w:val="FC5810"/>
          <w:sz w:val="26"/>
          <w:szCs w:val="26"/>
        </w:rPr>
        <w:t xml:space="preserve">2. The console shell (Stage 2)</w:t>
      </w:r>
    </w:p>
    <w:p>
      <w:pPr>
        <w:pStyle w:val="ListParagraph"/>
        <w:numPr>
          <w:ilvl w:val="0"/>
          <w:numId w:val="2"/>
        </w:numPr>
        <w:spacing w:after="80"/>
      </w:pPr>
      <w:r>
        <w:rPr>
          <w:rFonts w:ascii="Arial" w:cs="Arial" w:eastAsia="Arial" w:hAnsi="Arial"/>
          <w:b/>
          <w:bCs/>
          <w:color w:val="222222"/>
          <w:sz w:val="22"/>
          <w:szCs w:val="22"/>
        </w:rPr>
        <w:t xml:space="preserve">Grouped navigation. </w:t>
      </w:r>
      <w:r>
        <w:rPr>
          <w:rFonts w:ascii="Arial" w:cs="Arial" w:eastAsia="Arial" w:hAnsi="Arial"/>
          <w:color w:val="222222"/>
          <w:sz w:val="22"/>
          <w:szCs w:val="22"/>
        </w:rPr>
        <w:t xml:space="preserve">The Proximate sidebar is organised into Workspace, Operations and Governance groups, so the module list reads like a workflow instead of a pile of links.</w:t>
      </w:r>
    </w:p>
    <w:p>
      <w:pPr>
        <w:pStyle w:val="ListParagraph"/>
        <w:numPr>
          <w:ilvl w:val="0"/>
          <w:numId w:val="2"/>
        </w:numPr>
        <w:spacing w:after="80"/>
      </w:pPr>
      <w:r>
        <w:rPr>
          <w:rFonts w:ascii="Arial" w:cs="Arial" w:eastAsia="Arial" w:hAnsi="Arial"/>
          <w:b/>
          <w:bCs/>
          <w:color w:val="222222"/>
          <w:sz w:val="22"/>
          <w:szCs w:val="22"/>
        </w:rPr>
        <w:t xml:space="preserve">Breadcrumbs and shareable filters. </w:t>
      </w:r>
      <w:r>
        <w:rPr>
          <w:rFonts w:ascii="Arial" w:cs="Arial" w:eastAsia="Arial" w:hAnsi="Arial"/>
          <w:color w:val="222222"/>
          <w:sz w:val="22"/>
          <w:szCs w:val="22"/>
        </w:rPr>
        <w:t xml:space="preserve">Detail pages show where you are (Proximate › Partners › partner name), and register filters live in the page address — refresh or share a link and the same filtered view opens.</w:t>
      </w:r>
    </w:p>
    <w:p>
      <w:pPr>
        <w:pStyle w:val="ListParagraph"/>
        <w:numPr>
          <w:ilvl w:val="0"/>
          <w:numId w:val="2"/>
        </w:numPr>
        <w:spacing w:after="80"/>
      </w:pPr>
      <w:r>
        <w:rPr>
          <w:rFonts w:ascii="Arial" w:cs="Arial" w:eastAsia="Arial" w:hAnsi="Arial"/>
          <w:b/>
          <w:bCs/>
          <w:color w:val="222222"/>
          <w:sz w:val="22"/>
          <w:szCs w:val="22"/>
        </w:rPr>
        <w:t xml:space="preserve">A command palette that knows the tenant. </w:t>
      </w:r>
      <w:r>
        <w:rPr>
          <w:rFonts w:ascii="Arial" w:cs="Arial" w:eastAsia="Arial" w:hAnsi="Arial"/>
          <w:color w:val="222222"/>
          <w:sz w:val="22"/>
          <w:szCs w:val="22"/>
        </w:rPr>
        <w:t xml:space="preserve">Ctrl/Cmd-K now offers Proximate destinations to Proximate users instead of marketplace pages they cannot open.</w:t>
      </w:r>
    </w:p>
    <w:p>
      <w:pPr>
        <w:pStyle w:val="Heading1"/>
      </w:pPr>
      <w:r>
        <w:rPr>
          <w:rFonts w:ascii="Arial" w:cs="Arial" w:eastAsia="Arial" w:hAnsi="Arial"/>
          <w:b/>
          <w:bCs/>
          <w:color w:val="FC5810"/>
          <w:sz w:val="26"/>
          <w:szCs w:val="26"/>
        </w:rPr>
        <w:t xml:space="preserve">3. The working screens (Stage 3)</w:t>
      </w:r>
    </w:p>
    <w:p>
      <w:pPr>
        <w:pStyle w:val="ListParagraph"/>
        <w:numPr>
          <w:ilvl w:val="0"/>
          <w:numId w:val="2"/>
        </w:numPr>
        <w:spacing w:after="80"/>
      </w:pPr>
      <w:r>
        <w:rPr>
          <w:rFonts w:ascii="Arial" w:cs="Arial" w:eastAsia="Arial" w:hAnsi="Arial"/>
          <w:b/>
          <w:bCs/>
          <w:color w:val="222222"/>
          <w:sz w:val="22"/>
          <w:szCs w:val="22"/>
        </w:rPr>
        <w:t xml:space="preserve">Donor pages. </w:t>
      </w:r>
      <w:r>
        <w:rPr>
          <w:rFonts w:ascii="Arial" w:cs="Arial" w:eastAsia="Arial" w:hAnsi="Arial"/>
          <w:color w:val="222222"/>
          <w:sz w:val="22"/>
          <w:szCs w:val="22"/>
        </w:rPr>
        <w:t xml:space="preserve">Round and report cards were rebuilt to donor grade: clear titles, one primary “Full round report” action, grouped secondary actions, and proper zero-states.</w:t>
      </w:r>
    </w:p>
    <w:p>
      <w:pPr>
        <w:pStyle w:val="ListParagraph"/>
        <w:numPr>
          <w:ilvl w:val="0"/>
          <w:numId w:val="2"/>
        </w:numPr>
        <w:spacing w:after="80"/>
      </w:pPr>
      <w:r>
        <w:rPr>
          <w:rFonts w:ascii="Arial" w:cs="Arial" w:eastAsia="Arial" w:hAnsi="Arial"/>
          <w:b/>
          <w:bCs/>
          <w:color w:val="222222"/>
          <w:sz w:val="22"/>
          <w:szCs w:val="22"/>
        </w:rPr>
        <w:t xml:space="preserve">Funding rounds. </w:t>
      </w:r>
      <w:r>
        <w:rPr>
          <w:rFonts w:ascii="Arial" w:cs="Arial" w:eastAsia="Arial" w:hAnsi="Arial"/>
          <w:color w:val="222222"/>
          <w:sz w:val="22"/>
          <w:szCs w:val="22"/>
        </w:rPr>
        <w:t xml:space="preserve">The register has status filter chips with counts, and each round page is organised into five tabs — Overview, Partners, Reports &amp; closing pack, Disbursements, Activity — instead of one very long scroll.</w:t>
      </w:r>
    </w:p>
    <w:p>
      <w:pPr>
        <w:pStyle w:val="ListParagraph"/>
        <w:numPr>
          <w:ilvl w:val="0"/>
          <w:numId w:val="2"/>
        </w:numPr>
        <w:spacing w:after="80"/>
      </w:pPr>
      <w:r>
        <w:rPr>
          <w:rFonts w:ascii="Arial" w:cs="Arial" w:eastAsia="Arial" w:hAnsi="Arial"/>
          <w:b/>
          <w:bCs/>
          <w:color w:val="222222"/>
          <w:sz w:val="22"/>
          <w:szCs w:val="22"/>
        </w:rPr>
        <w:t xml:space="preserve">Operator dashboard. </w:t>
      </w:r>
      <w:r>
        <w:rPr>
          <w:rFonts w:ascii="Arial" w:cs="Arial" w:eastAsia="Arial" w:hAnsi="Arial"/>
          <w:color w:val="222222"/>
          <w:sz w:val="22"/>
          <w:szCs w:val="22"/>
        </w:rPr>
        <w:t xml:space="preserve">“Requires attention” now sits beside recent activity at the top, with secondary detail in a compact two-column layer below.</w:t>
      </w:r>
    </w:p>
    <w:p>
      <w:pPr>
        <w:pStyle w:val="ListParagraph"/>
        <w:numPr>
          <w:ilvl w:val="0"/>
          <w:numId w:val="2"/>
        </w:numPr>
        <w:spacing w:after="80"/>
      </w:pPr>
      <w:r>
        <w:rPr>
          <w:rFonts w:ascii="Arial" w:cs="Arial" w:eastAsia="Arial" w:hAnsi="Arial"/>
          <w:b/>
          <w:bCs/>
          <w:color w:val="222222"/>
          <w:sz w:val="22"/>
          <w:szCs w:val="22"/>
        </w:rPr>
        <w:t xml:space="preserve">Disbursements register. </w:t>
      </w:r>
      <w:r>
        <w:rPr>
          <w:rFonts w:ascii="Arial" w:cs="Arial" w:eastAsia="Arial" w:hAnsi="Arial"/>
          <w:color w:val="222222"/>
          <w:sz w:val="22"/>
          <w:szCs w:val="22"/>
        </w:rPr>
        <w:t xml:space="preserve">Status chips (Awaiting co-sign, Awaiting report, Verified, Flagged for review…) filter the list and persist in the link.</w:t>
      </w:r>
    </w:p>
    <w:p>
      <w:pPr>
        <w:pStyle w:val="ListParagraph"/>
        <w:numPr>
          <w:ilvl w:val="0"/>
          <w:numId w:val="2"/>
        </w:numPr>
        <w:spacing w:after="80"/>
      </w:pPr>
      <w:r>
        <w:rPr>
          <w:rFonts w:ascii="Arial" w:cs="Arial" w:eastAsia="Arial" w:hAnsi="Arial"/>
          <w:b/>
          <w:bCs/>
          <w:color w:val="222222"/>
          <w:sz w:val="22"/>
          <w:szCs w:val="22"/>
        </w:rPr>
        <w:t xml:space="preserve">Partners register. </w:t>
      </w:r>
      <w:r>
        <w:rPr>
          <w:rFonts w:ascii="Arial" w:cs="Arial" w:eastAsia="Arial" w:hAnsi="Arial"/>
          <w:color w:val="222222"/>
          <w:sz w:val="22"/>
          <w:szCs w:val="22"/>
        </w:rPr>
        <w:t xml:space="preserve">Compact summary strip, humanised filter chips, name/newest sorting, thirty-rows-at-a-time loading so it stays fast as the register grows, and on phones the filters tuck behind a Filter button.</w:t>
      </w:r>
    </w:p>
    <w:p>
      <w:pPr>
        <w:pStyle w:val="ListParagraph"/>
        <w:numPr>
          <w:ilvl w:val="0"/>
          <w:numId w:val="2"/>
        </w:numPr>
        <w:spacing w:after="80"/>
      </w:pPr>
      <w:r>
        <w:rPr>
          <w:rFonts w:ascii="Arial" w:cs="Arial" w:eastAsia="Arial" w:hAnsi="Arial"/>
          <w:b/>
          <w:bCs/>
          <w:color w:val="222222"/>
          <w:sz w:val="22"/>
          <w:szCs w:val="22"/>
        </w:rPr>
        <w:t xml:space="preserve">Partner pages. </w:t>
      </w:r>
      <w:r>
        <w:rPr>
          <w:rFonts w:ascii="Arial" w:cs="Arial" w:eastAsia="Arial" w:hAnsi="Arial"/>
          <w:color w:val="222222"/>
          <w:sz w:val="22"/>
          <w:szCs w:val="22"/>
        </w:rPr>
        <w:t xml:space="preserve">The Proximate team’s view of a partner is organised into Overview, Endorsements, Due diligence and Disbursements tabs — including a new list of that partner’s own disbursements. The community endorser’s simple three-question flow is completely unchanged.</w:t>
      </w:r>
    </w:p>
    <w:p>
      <w:pPr>
        <w:pStyle w:val="ListParagraph"/>
        <w:numPr>
          <w:ilvl w:val="0"/>
          <w:numId w:val="2"/>
        </w:numPr>
        <w:spacing w:after="80"/>
      </w:pPr>
      <w:r>
        <w:rPr>
          <w:rFonts w:ascii="Arial" w:cs="Arial" w:eastAsia="Arial" w:hAnsi="Arial"/>
          <w:b/>
          <w:bCs/>
          <w:color w:val="222222"/>
          <w:sz w:val="22"/>
          <w:szCs w:val="22"/>
        </w:rPr>
        <w:t xml:space="preserve">Endorser approvals. </w:t>
      </w:r>
      <w:r>
        <w:rPr>
          <w:rFonts w:ascii="Arial" w:cs="Arial" w:eastAsia="Arial" w:hAnsi="Arial"/>
          <w:color w:val="222222"/>
          <w:sz w:val="22"/>
          <w:szCs w:val="22"/>
        </w:rPr>
        <w:t xml:space="preserve">The queue now shows each person’s name (not “User #14”), a pending badge, a sanctions flag where relevant, and — importantly — approval now requires an explicit confirm step, mirroring the reason step rejection already had. After a decision the queue updates immediately with a visible confirmation.</w:t>
      </w:r>
    </w:p>
    <w:p>
      <w:pPr>
        <w:pStyle w:val="Heading1"/>
      </w:pPr>
      <w:r>
        <w:rPr>
          <w:rFonts w:ascii="Arial" w:cs="Arial" w:eastAsia="Arial" w:hAnsi="Arial"/>
          <w:b/>
          <w:bCs/>
          <w:color w:val="FC5810"/>
          <w:sz w:val="26"/>
          <w:szCs w:val="26"/>
        </w:rPr>
        <w:t xml:space="preserve">4. Governance and supporting surfaces (Stage 4)</w:t>
      </w:r>
    </w:p>
    <w:p>
      <w:pPr>
        <w:pStyle w:val="ListParagraph"/>
        <w:numPr>
          <w:ilvl w:val="0"/>
          <w:numId w:val="2"/>
        </w:numPr>
        <w:spacing w:after="80"/>
      </w:pPr>
      <w:r>
        <w:rPr>
          <w:rFonts w:ascii="Arial" w:cs="Arial" w:eastAsia="Arial" w:hAnsi="Arial"/>
          <w:b/>
          <w:bCs/>
          <w:color w:val="222222"/>
          <w:sz w:val="22"/>
          <w:szCs w:val="22"/>
        </w:rPr>
        <w:t xml:space="preserve">Grants from donors. </w:t>
      </w:r>
      <w:r>
        <w:rPr>
          <w:rFonts w:ascii="Arial" w:cs="Arial" w:eastAsia="Arial" w:hAnsi="Arial"/>
          <w:color w:val="222222"/>
          <w:sz w:val="22"/>
          <w:szCs w:val="22"/>
        </w:rPr>
        <w:t xml:space="preserve">Compact funding rollup, and each grant row now shows its funding period; secondary detail moved to the grant page.</w:t>
      </w:r>
    </w:p>
    <w:p>
      <w:pPr>
        <w:pStyle w:val="ListParagraph"/>
        <w:numPr>
          <w:ilvl w:val="0"/>
          <w:numId w:val="2"/>
        </w:numPr>
        <w:spacing w:after="80"/>
      </w:pPr>
      <w:r>
        <w:rPr>
          <w:rFonts w:ascii="Arial" w:cs="Arial" w:eastAsia="Arial" w:hAnsi="Arial"/>
          <w:b/>
          <w:bCs/>
          <w:color w:val="222222"/>
          <w:sz w:val="22"/>
          <w:szCs w:val="22"/>
        </w:rPr>
        <w:t xml:space="preserve">Crisis signals. </w:t>
      </w:r>
      <w:r>
        <w:rPr>
          <w:rFonts w:ascii="Arial" w:cs="Arial" w:eastAsia="Arial" w:hAnsi="Arial"/>
          <w:color w:val="222222"/>
          <w:sz w:val="22"/>
          <w:szCs w:val="22"/>
        </w:rPr>
        <w:t xml:space="preserve">Each curated signal shows its severity band (red strictly reserved for critical), its date, and a severity filter. Pending signal badges were also fixed for dark mode.</w:t>
      </w:r>
    </w:p>
    <w:p>
      <w:pPr>
        <w:pStyle w:val="ListParagraph"/>
        <w:numPr>
          <w:ilvl w:val="0"/>
          <w:numId w:val="2"/>
        </w:numPr>
        <w:spacing w:after="80"/>
      </w:pPr>
      <w:r>
        <w:rPr>
          <w:rFonts w:ascii="Arial" w:cs="Arial" w:eastAsia="Arial" w:hAnsi="Arial"/>
          <w:b/>
          <w:bCs/>
          <w:color w:val="222222"/>
          <w:sz w:val="22"/>
          <w:szCs w:val="22"/>
        </w:rPr>
        <w:t xml:space="preserve">Audit chain, two levels. </w:t>
      </w:r>
      <w:r>
        <w:rPr>
          <w:rFonts w:ascii="Arial" w:cs="Arial" w:eastAsia="Arial" w:hAnsi="Arial"/>
          <w:color w:val="222222"/>
          <w:sz w:val="22"/>
          <w:szCs w:val="22"/>
        </w:rPr>
        <w:t xml:space="preserve">The strongest governance feature is now easy to read: collapsed rows show who did what, to which record, when. Clicking a row expands the full technical detail — hashes and payload — for independent verification. The chain itself and its export were not modified in any way.</w:t>
      </w:r>
    </w:p>
    <w:p>
      <w:pPr>
        <w:pStyle w:val="ListParagraph"/>
        <w:numPr>
          <w:ilvl w:val="0"/>
          <w:numId w:val="2"/>
        </w:numPr>
        <w:spacing w:after="80"/>
      </w:pPr>
      <w:r>
        <w:rPr>
          <w:rFonts w:ascii="Arial" w:cs="Arial" w:eastAsia="Arial" w:hAnsi="Arial"/>
          <w:b/>
          <w:bCs/>
          <w:color w:val="222222"/>
          <w:sz w:val="22"/>
          <w:szCs w:val="22"/>
        </w:rPr>
        <w:t xml:space="preserve">Notification settings. </w:t>
      </w:r>
      <w:r>
        <w:rPr>
          <w:rFonts w:ascii="Arial" w:cs="Arial" w:eastAsia="Arial" w:hAnsi="Arial"/>
          <w:color w:val="222222"/>
          <w:sz w:val="22"/>
          <w:szCs w:val="22"/>
        </w:rPr>
        <w:t xml:space="preserve">Preference categories collapse to “name + how many channels are on”, so the page stays short on a phone; expand a category to change individual channels.</w:t>
      </w:r>
    </w:p>
    <w:p>
      <w:pPr>
        <w:pStyle w:val="Heading1"/>
      </w:pPr>
      <w:r>
        <w:rPr>
          <w:rFonts w:ascii="Arial" w:cs="Arial" w:eastAsia="Arial" w:hAnsi="Arial"/>
          <w:b/>
          <w:bCs/>
          <w:color w:val="FC5810"/>
          <w:sz w:val="26"/>
          <w:szCs w:val="26"/>
        </w:rPr>
        <w:t xml:space="preserve">5. Verified on phones, in the dark, and in Arabic (Stage 5)</w:t>
      </w:r>
    </w:p>
    <w:p>
      <w:pPr>
        <w:spacing w:after="120"/>
      </w:pPr>
      <w:r>
        <w:rPr>
          <w:rFonts w:ascii="Arial" w:cs="Arial" w:eastAsia="Arial" w:hAnsi="Arial"/>
          <w:b w:val="false"/>
          <w:bCs w:val="false"/>
          <w:color w:val="222222"/>
          <w:sz w:val="22"/>
          <w:szCs w:val="22"/>
        </w:rPr>
        <w:t xml:space="preserve">We closed the wave with a systematic sweep rather than assumptions: all nine redesigned screens were exercised at phone width (390px) with zero horizontal overflow and zero errors; the key operator pages were checked in dark mode; and the core screens were verified in Arabic with a genuinely Arabic-language account confirming full right-to-left layout. No defects were found — the shared design system and direction-aware spacing used throughout the redesign are what made that possible. Screenshot evidence for every pass is saved alongside the per-screen captures from each stage.</w:t>
      </w:r>
    </w:p>
    <w:p>
      <w:pPr>
        <w:pStyle w:val="Heading1"/>
      </w:pPr>
      <w:r>
        <w:rPr>
          <w:rFonts w:ascii="Arial" w:cs="Arial" w:eastAsia="Arial" w:hAnsi="Arial"/>
          <w:b/>
          <w:bCs/>
          <w:color w:val="FC5810"/>
          <w:sz w:val="26"/>
          <w:szCs w:val="26"/>
        </w:rPr>
        <w:t xml:space="preserve">Also in this wave: QA quick wins and the flagged-report rule</w:t>
      </w:r>
    </w:p>
    <w:p>
      <w:pPr>
        <w:pStyle w:val="ListParagraph"/>
        <w:numPr>
          <w:ilvl w:val="0"/>
          <w:numId w:val="2"/>
        </w:numPr>
        <w:spacing w:after="80"/>
      </w:pPr>
      <w:r>
        <w:rPr>
          <w:rFonts w:ascii="Arial" w:cs="Arial" w:eastAsia="Arial" w:hAnsi="Arial"/>
          <w:b/>
          <w:bCs/>
          <w:color w:val="222222"/>
          <w:sz w:val="22"/>
          <w:szCs w:val="22"/>
        </w:rPr>
        <w:t xml:space="preserve">Flagged reports now pause the money-flow next step. </w:t>
      </w:r>
      <w:r>
        <w:rPr>
          <w:rFonts w:ascii="Arial" w:cs="Arial" w:eastAsia="Arial" w:hAnsi="Arial"/>
          <w:color w:val="222222"/>
          <w:sz w:val="22"/>
          <w:szCs w:val="22"/>
        </w:rPr>
        <w:t xml:space="preserve">If the Proximate team flags a partner report, the outcome check-in step is paused — the partner-facing page says so plainly — and it resumes automatically the moment the report is re-verified. This is now also a permanent check in the release gate.</w:t>
      </w:r>
    </w:p>
    <w:p>
      <w:pPr>
        <w:pStyle w:val="ListParagraph"/>
        <w:numPr>
          <w:ilvl w:val="0"/>
          <w:numId w:val="2"/>
        </w:numPr>
        <w:spacing w:after="80"/>
      </w:pPr>
      <w:r>
        <w:rPr>
          <w:rFonts w:ascii="Arial" w:cs="Arial" w:eastAsia="Arial" w:hAnsi="Arial"/>
          <w:b/>
          <w:bCs/>
          <w:color w:val="222222"/>
          <w:sz w:val="22"/>
          <w:szCs w:val="22"/>
        </w:rPr>
        <w:t xml:space="preserve">QA’s 18-July polish list. </w:t>
      </w:r>
      <w:r>
        <w:rPr>
          <w:rFonts w:ascii="Arial" w:cs="Arial" w:eastAsia="Arial" w:hAnsi="Arial"/>
          <w:color w:val="222222"/>
          <w:sz w:val="22"/>
          <w:szCs w:val="22"/>
        </w:rPr>
        <w:t xml:space="preserve">The green “Plan B” alert that should have been amber, a raw translation key on the donor page, donor-facing labels, and zero-state metrics were all fixed, and the AI report compiler’s instructions were hardened so internal review notes can never leak into donor narrative.</w:t>
      </w:r>
    </w:p>
    <w:p>
      <w:pPr>
        <w:pStyle w:val="Heading1"/>
      </w:pPr>
      <w:r>
        <w:rPr>
          <w:rFonts w:ascii="Arial" w:cs="Arial" w:eastAsia="Arial" w:hAnsi="Arial"/>
          <w:b/>
          <w:bCs/>
          <w:color w:val="FC5810"/>
          <w:sz w:val="26"/>
          <w:szCs w:val="26"/>
        </w:rPr>
        <w:t xml:space="preserve">What we deliberately did not change</w:t>
      </w:r>
    </w:p>
    <w:p>
      <w:pPr>
        <w:pStyle w:val="ListParagraph"/>
        <w:numPr>
          <w:ilvl w:val="0"/>
          <w:numId w:val="2"/>
        </w:numPr>
        <w:spacing w:after="80"/>
      </w:pPr>
      <w:r>
        <w:rPr>
          <w:rFonts w:ascii="Arial" w:cs="Arial" w:eastAsia="Arial" w:hAnsi="Arial"/>
          <w:b/>
          <w:bCs/>
          <w:color w:val="222222"/>
          <w:sz w:val="22"/>
          <w:szCs w:val="22"/>
        </w:rPr>
        <w:t xml:space="preserve">No business logic, no permissions, no records. </w:t>
      </w:r>
      <w:r>
        <w:rPr>
          <w:rFonts w:ascii="Arial" w:cs="Arial" w:eastAsia="Arial" w:hAnsi="Arial"/>
          <w:color w:val="222222"/>
          <w:sz w:val="22"/>
          <w:szCs w:val="22"/>
        </w:rPr>
        <w:t xml:space="preserve">Per the spec, this was presentation only: every workflow, approval rule, RBAC gate and audit behaviour works exactly as before, and no duplicate rounds, partners or disbursements were created.</w:t>
      </w:r>
    </w:p>
    <w:p>
      <w:pPr>
        <w:pStyle w:val="ListParagraph"/>
        <w:numPr>
          <w:ilvl w:val="0"/>
          <w:numId w:val="2"/>
        </w:numPr>
        <w:spacing w:after="80"/>
      </w:pPr>
      <w:r>
        <w:rPr>
          <w:rFonts w:ascii="Arial" w:cs="Arial" w:eastAsia="Arial" w:hAnsi="Arial"/>
          <w:b/>
          <w:bCs/>
          <w:color w:val="222222"/>
          <w:sz w:val="22"/>
          <w:szCs w:val="22"/>
        </w:rPr>
        <w:t xml:space="preserve">Real data untouched. </w:t>
      </w:r>
      <w:r>
        <w:rPr>
          <w:rFonts w:ascii="Arial" w:cs="Arial" w:eastAsia="Arial" w:hAnsi="Arial"/>
          <w:color w:val="222222"/>
          <w:sz w:val="22"/>
          <w:szCs w:val="22"/>
        </w:rPr>
        <w:t xml:space="preserve">All verification used demo rounds and demo accounts. The Blue Nile round and QA’s flagged test disbursement were left exactly as they were.</w:t>
      </w:r>
    </w:p>
    <w:p>
      <w:pPr>
        <w:pStyle w:val="Heading1"/>
      </w:pPr>
      <w:r>
        <w:rPr>
          <w:rFonts w:ascii="Arial" w:cs="Arial" w:eastAsia="Arial" w:hAnsi="Arial"/>
          <w:b/>
          <w:bCs/>
          <w:color w:val="FC5810"/>
          <w:sz w:val="26"/>
          <w:szCs w:val="26"/>
        </w:rPr>
        <w:t xml:space="preserve">Small items to know about</w:t>
      </w:r>
    </w:p>
    <w:p>
      <w:pPr>
        <w:pStyle w:val="ListParagraph"/>
        <w:numPr>
          <w:ilvl w:val="0"/>
          <w:numId w:val="2"/>
        </w:numPr>
        <w:spacing w:after="80"/>
      </w:pPr>
      <w:r>
        <w:rPr>
          <w:rFonts w:ascii="Arial" w:cs="Arial" w:eastAsia="Arial" w:hAnsi="Arial"/>
          <w:b/>
          <w:bCs/>
          <w:color w:val="222222"/>
          <w:sz w:val="22"/>
          <w:szCs w:val="22"/>
        </w:rPr>
        <w:t xml:space="preserve">Settings hub (deferred by design): </w:t>
      </w:r>
      <w:r>
        <w:rPr>
          <w:rFonts w:ascii="Arial" w:cs="Arial" w:eastAsia="Arial" w:hAnsi="Arial"/>
          <w:color w:val="222222"/>
          <w:sz w:val="22"/>
          <w:szCs w:val="22"/>
        </w:rPr>
        <w:t xml:space="preserve">the spec sketches a single Settings landing page; today language, theme and bandwidth live in the top bar and each settings page stands alone, which already matches the intended grouping. Noted in the backlog if the team wants the single page later.</w:t>
      </w:r>
    </w:p>
    <w:p>
      <w:pPr>
        <w:pStyle w:val="ListParagraph"/>
        <w:numPr>
          <w:ilvl w:val="0"/>
          <w:numId w:val="2"/>
        </w:numPr>
        <w:spacing w:after="80"/>
      </w:pPr>
      <w:r>
        <w:rPr>
          <w:rFonts w:ascii="Arial" w:cs="Arial" w:eastAsia="Arial" w:hAnsi="Arial"/>
          <w:b/>
          <w:bCs/>
          <w:color w:val="222222"/>
          <w:sz w:val="22"/>
          <w:szCs w:val="22"/>
        </w:rPr>
        <w:t xml:space="preserve">Crisis list on production is empty right now: </w:t>
      </w:r>
      <w:r>
        <w:rPr>
          <w:rFonts w:ascii="Arial" w:cs="Arial" w:eastAsia="Arial" w:hAnsi="Arial"/>
          <w:color w:val="222222"/>
          <w:sz w:val="22"/>
          <w:szCs w:val="22"/>
        </w:rPr>
        <w:t xml:space="preserve">the new severity badges and filters are proven and waiting; curated rows will appear when the next crisis monitoring report is published for the Proximate tenant.</w:t>
      </w:r>
    </w:p>
    <w:p>
      <w:pPr>
        <w:pStyle w:val="ListParagraph"/>
        <w:numPr>
          <w:ilvl w:val="0"/>
          <w:numId w:val="2"/>
        </w:numPr>
        <w:spacing w:after="80"/>
      </w:pPr>
      <w:r>
        <w:rPr>
          <w:rFonts w:ascii="Arial" w:cs="Arial" w:eastAsia="Arial" w:hAnsi="Arial"/>
          <w:b/>
          <w:bCs/>
          <w:color w:val="222222"/>
          <w:sz w:val="22"/>
          <w:szCs w:val="22"/>
        </w:rPr>
        <w:t xml:space="preserve">Standing human actions (unchanged from previous updates): </w:t>
      </w:r>
      <w:r>
        <w:rPr>
          <w:rFonts w:ascii="Arial" w:cs="Arial" w:eastAsia="Arial" w:hAnsi="Arial"/>
          <w:color w:val="222222"/>
          <w:sz w:val="22"/>
          <w:szCs w:val="22"/>
        </w:rPr>
        <w:t xml:space="preserve">Arabic native-speaker review of one generated PDF, the free SAM.gov key on Railway, QCF’s temporary password change, and WhatsApp reminders still pending Meta template approval.</w:t>
      </w:r>
    </w:p>
    <w:p>
      <w:pPr>
        <w:spacing w:before="240"/>
      </w:pPr>
      <w:r>
        <w:rPr>
          <w:rFonts w:ascii="Arial" w:cs="Arial" w:eastAsia="Arial" w:hAnsi="Arial"/>
          <w:color w:val="6B6B6B"/>
          <w:sz w:val="18"/>
          <w:szCs w:val="18"/>
        </w:rPr>
        <w:t xml:space="preserve">Production builds covered: 77c91ca0f (QA-18 + flagged-report rule), 2b79ba4fe (design system), ff6f65bf5 (shell), 409f27335 / c7ff60ee5 / dde4ce0c8 / c8fe52d39 / 957ae5791 / 9d9e682e3 / 513d30094 / 59d4fb8f6 (working screens), a257e27eb / adcb07591 / f518ecc97 (governance surfaces) — all live and browser-verified on production. Release gate: 94 automated checks, green throughout. Prepared 18 July 2026.</w:t>
      </w:r>
    </w:p>
    <w:sectPr>
      <w:pgSz w:w="12240" w:h="15840" w:orient="portrait"/>
      <w:pgMar w:top="1200" w:right="1300" w:bottom="12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FC5810" w:sz="6" w:space="2"/>
      </w:pBdr>
      <w:spacing w:after="100" w:before="280"/>
      <w:outlineLvl w:val="0"/>
    </w:pPr>
    <w:rPr>
      <w:rFonts w:ascii="Arial" w:cs="Arial" w:eastAsia="Arial" w:hAnsi="Arial"/>
      <w:b/>
      <w:bCs/>
      <w:color w:val="FC581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2026-07-18T21:39:11.061Z</dcterms:created>
  <dcterms:modified xsi:type="dcterms:W3CDTF">2026-07-18T21:39:11.064Z</dcterms:modified>
</cp:coreProperties>
</file>

<file path=docProps/custom.xml><?xml version="1.0" encoding="utf-8"?>
<Properties xmlns="http://schemas.openxmlformats.org/officeDocument/2006/custom-properties" xmlns:vt="http://schemas.openxmlformats.org/officeDocument/2006/docPropsVTypes"/>
</file>