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2"/>
          <w:szCs w:val="32"/>
        </w:rPr>
        <w:t xml:space="preserve">Platform Update — Proximate Console: Redesign Delivered &amp; UAT-Ready, 18–19 July 2026</w:t>
      </w:r>
    </w:p>
    <w:p>
      <w:pPr>
        <w:spacing w:after="120"/>
      </w:pPr>
      <w:r>
        <w:rPr>
          <w:rFonts w:ascii="Arial" w:cs="Arial" w:eastAsia="Arial" w:hAnsi="Arial"/>
          <w:b w:val="false"/>
          <w:bCs w:val="false"/>
          <w:color w:val="6B6B6B"/>
          <w:sz w:val="22"/>
          <w:szCs w:val="22"/>
        </w:rPr>
        <w:t xml:space="preserve">Two days, one arc: on 18 July the consolidated UI/UX redesign the team specified went fully live, was independently validated (8.8 → 9.4/10 after same-day fixes), and gained read-only observer access. On 19 July the platform was made UAT-ready: a complete 84-case test pack for the whole team, every external service verified live, a new payment-confirmation record for the hawala workflow, and governance mechanisms confirmed. This note supersedes the 18 July update.</w:t>
      </w:r>
    </w:p>
    <w:p>
      <w:pPr>
        <w:pStyle w:val="Heading1"/>
      </w:pPr>
      <w:r>
        <w:rPr>
          <w:rFonts w:ascii="Arial" w:cs="Arial" w:eastAsia="Arial" w:hAnsi="Arial"/>
          <w:b/>
          <w:bCs/>
          <w:color w:val="FC5810"/>
          <w:sz w:val="26"/>
          <w:szCs w:val="26"/>
        </w:rPr>
        <w:t xml:space="preserve">Part 1 — The redesign, delivered (18 July)</w:t>
      </w:r>
    </w:p>
    <w:p>
      <w:pPr>
        <w:spacing w:after="120"/>
      </w:pPr>
      <w:r>
        <w:rPr>
          <w:rFonts w:ascii="Arial" w:cs="Arial" w:eastAsia="Arial" w:hAnsi="Arial"/>
          <w:b w:val="false"/>
          <w:bCs w:val="false"/>
          <w:color w:val="222222"/>
          <w:sz w:val="22"/>
          <w:szCs w:val="22"/>
        </w:rPr>
        <w:t xml:space="preserve">We took the team’s “Consolidated UI/UX Redesign” document and delivered it stage by stage. Every deployment passed the automated release gate plus scripted browser tests on the live system, with screenshot evidence saved per screen. Business logic, permissions and the audit chain were not touched, exactly as the spec required.</w:t>
      </w:r>
    </w:p>
    <w:p>
      <w:pPr>
        <w:pStyle w:val="ListParagraph"/>
        <w:numPr>
          <w:ilvl w:val="0"/>
          <w:numId w:val="2"/>
        </w:numPr>
        <w:spacing w:after="80"/>
      </w:pPr>
      <w:r>
        <w:rPr>
          <w:rFonts w:ascii="Arial" w:cs="Arial" w:eastAsia="Arial" w:hAnsi="Arial"/>
          <w:b/>
          <w:bCs/>
          <w:color w:val="222222"/>
          <w:sz w:val="22"/>
          <w:szCs w:val="22"/>
        </w:rPr>
        <w:t xml:space="preserve">One design language. </w:t>
      </w:r>
      <w:r>
        <w:rPr>
          <w:rFonts w:ascii="Arial" w:cs="Arial" w:eastAsia="Arial" w:hAnsi="Arial"/>
          <w:color w:val="222222"/>
          <w:sz w:val="22"/>
          <w:szCs w:val="22"/>
        </w:rPr>
        <w:t xml:space="preserve">Every status badge on every Proximate page comes from a single shared palette — green means done, amber means waiting, red is reserved for genuinely critical things. Raw internal codes (dd_clear, pending_cosign) no longer appear anywhere a person reads, in all six languages.</w:t>
      </w:r>
    </w:p>
    <w:p>
      <w:pPr>
        <w:pStyle w:val="ListParagraph"/>
        <w:numPr>
          <w:ilvl w:val="0"/>
          <w:numId w:val="2"/>
        </w:numPr>
        <w:spacing w:after="80"/>
      </w:pPr>
      <w:r>
        <w:rPr>
          <w:rFonts w:ascii="Arial" w:cs="Arial" w:eastAsia="Arial" w:hAnsi="Arial"/>
          <w:b/>
          <w:bCs/>
          <w:color w:val="222222"/>
          <w:sz w:val="22"/>
          <w:szCs w:val="22"/>
        </w:rPr>
        <w:t xml:space="preserve">The console shell. </w:t>
      </w:r>
      <w:r>
        <w:rPr>
          <w:rFonts w:ascii="Arial" w:cs="Arial" w:eastAsia="Arial" w:hAnsi="Arial"/>
          <w:color w:val="222222"/>
          <w:sz w:val="22"/>
          <w:szCs w:val="22"/>
        </w:rPr>
        <w:t xml:space="preserve">Sidebar grouped Workspace / Operations / Governance; breadcrumbs on detail pages; shareable filtered views (filters live in the page address); Ctrl/Cmd-K offers Proximate destinations to Proximate users.</w:t>
      </w:r>
    </w:p>
    <w:p>
      <w:pPr>
        <w:pStyle w:val="ListParagraph"/>
        <w:numPr>
          <w:ilvl w:val="0"/>
          <w:numId w:val="2"/>
        </w:numPr>
        <w:spacing w:after="80"/>
      </w:pPr>
      <w:r>
        <w:rPr>
          <w:rFonts w:ascii="Arial" w:cs="Arial" w:eastAsia="Arial" w:hAnsi="Arial"/>
          <w:b/>
          <w:bCs/>
          <w:color w:val="222222"/>
          <w:sz w:val="22"/>
          <w:szCs w:val="22"/>
        </w:rPr>
        <w:t xml:space="preserve">The working screens. </w:t>
      </w:r>
      <w:r>
        <w:rPr>
          <w:rFonts w:ascii="Arial" w:cs="Arial" w:eastAsia="Arial" w:hAnsi="Arial"/>
          <w:color w:val="222222"/>
          <w:sz w:val="22"/>
          <w:szCs w:val="22"/>
        </w:rPr>
        <w:t xml:space="preserve">Donor round and report cards at donor grade; rounds register filter chips and five-tab round pages; operator dashboard leads with “Requires attention”; disbursements and partners registers filter, sort and paginate; partner pages organised into Overview / Endorsements / Due diligence / Disbursements tabs; endorser approvals became a real queue with names, screening flags and an explicit confirm step.</w:t>
      </w:r>
    </w:p>
    <w:p>
      <w:pPr>
        <w:pStyle w:val="ListParagraph"/>
        <w:numPr>
          <w:ilvl w:val="0"/>
          <w:numId w:val="2"/>
        </w:numPr>
        <w:spacing w:after="80"/>
      </w:pPr>
      <w:r>
        <w:rPr>
          <w:rFonts w:ascii="Arial" w:cs="Arial" w:eastAsia="Arial" w:hAnsi="Arial"/>
          <w:b/>
          <w:bCs/>
          <w:color w:val="222222"/>
          <w:sz w:val="22"/>
          <w:szCs w:val="22"/>
        </w:rPr>
        <w:t xml:space="preserve">Governance surfaces. </w:t>
      </w:r>
      <w:r>
        <w:rPr>
          <w:rFonts w:ascii="Arial" w:cs="Arial" w:eastAsia="Arial" w:hAnsi="Arial"/>
          <w:color w:val="222222"/>
          <w:sz w:val="22"/>
          <w:szCs w:val="22"/>
        </w:rPr>
        <w:t xml:space="preserve">Grants show funding periods on compact cards; crisis signals show severity bands; the audit chain reads at two levels — plain-language collapsed rows, full hashes and payload one click away; notification preferences collapsed into category groups.</w:t>
      </w:r>
    </w:p>
    <w:p>
      <w:pPr>
        <w:pStyle w:val="ListParagraph"/>
        <w:numPr>
          <w:ilvl w:val="0"/>
          <w:numId w:val="2"/>
        </w:numPr>
        <w:spacing w:after="80"/>
      </w:pPr>
      <w:r>
        <w:rPr>
          <w:rFonts w:ascii="Arial" w:cs="Arial" w:eastAsia="Arial" w:hAnsi="Arial"/>
          <w:b/>
          <w:bCs/>
          <w:color w:val="222222"/>
          <w:sz w:val="22"/>
          <w:szCs w:val="22"/>
        </w:rPr>
        <w:t xml:space="preserve">Verified on phones, in the dark, and in Arabic. </w:t>
      </w:r>
      <w:r>
        <w:rPr>
          <w:rFonts w:ascii="Arial" w:cs="Arial" w:eastAsia="Arial" w:hAnsi="Arial"/>
          <w:color w:val="222222"/>
          <w:sz w:val="22"/>
          <w:szCs w:val="22"/>
        </w:rPr>
        <w:t xml:space="preserve">All redesigned screens exercised at phone width with zero overflow, key pages checked in dark mode, core screens verified in Arabic with full right-to-left layout.</w:t>
      </w:r>
    </w:p>
    <w:p>
      <w:pPr>
        <w:pStyle w:val="Heading1"/>
      </w:pPr>
      <w:r>
        <w:rPr>
          <w:rFonts w:ascii="Arial" w:cs="Arial" w:eastAsia="Arial" w:hAnsi="Arial"/>
          <w:b/>
          <w:bCs/>
          <w:color w:val="FC5810"/>
          <w:sz w:val="26"/>
          <w:szCs w:val="26"/>
        </w:rPr>
        <w:t xml:space="preserve">Part 2 — Independent validation, and the fixes (18 July)</w:t>
      </w:r>
    </w:p>
    <w:p>
      <w:pPr>
        <w:spacing w:after="120"/>
      </w:pPr>
      <w:r>
        <w:rPr>
          <w:rFonts w:ascii="Arial" w:cs="Arial" w:eastAsia="Arial" w:hAnsi="Arial"/>
          <w:b w:val="false"/>
          <w:bCs w:val="false"/>
          <w:color w:val="222222"/>
          <w:sz w:val="22"/>
          <w:szCs w:val="22"/>
        </w:rPr>
        <w:t xml:space="preserve">The delivery was validated against live production the same day: 8.8/10 with two priority-one findings. Both were closed within hours and re-validated at 9.4/10.</w:t>
      </w:r>
    </w:p>
    <w:p>
      <w:pPr>
        <w:pStyle w:val="ListParagraph"/>
        <w:numPr>
          <w:ilvl w:val="0"/>
          <w:numId w:val="2"/>
        </w:numPr>
        <w:spacing w:after="80"/>
      </w:pPr>
      <w:r>
        <w:rPr>
          <w:rFonts w:ascii="Arial" w:cs="Arial" w:eastAsia="Arial" w:hAnsi="Arial"/>
          <w:b/>
          <w:bCs/>
          <w:color w:val="222222"/>
          <w:sz w:val="22"/>
          <w:szCs w:val="22"/>
        </w:rPr>
        <w:t xml:space="preserve">Marketplace banner removed from Proximate. </w:t>
      </w:r>
      <w:r>
        <w:rPr>
          <w:rFonts w:ascii="Arial" w:cs="Arial" w:eastAsia="Arial" w:hAnsi="Arial"/>
          <w:color w:val="222222"/>
          <w:sz w:val="22"/>
          <w:szCs w:val="22"/>
        </w:rPr>
        <w:t xml:space="preserve">The Kuja marketplace “what’s new” banner is suppressed on the Proximate tenant, and the backend feed itself returns an empty digest for any Proximate session — even a direct API call cannot pull marketplace data across the tenant boundary.</w:t>
      </w:r>
    </w:p>
    <w:p>
      <w:pPr>
        <w:pStyle w:val="ListParagraph"/>
        <w:numPr>
          <w:ilvl w:val="0"/>
          <w:numId w:val="2"/>
        </w:numPr>
        <w:spacing w:after="80"/>
      </w:pPr>
      <w:r>
        <w:rPr>
          <w:rFonts w:ascii="Arial" w:cs="Arial" w:eastAsia="Arial" w:hAnsi="Arial"/>
          <w:b/>
          <w:bCs/>
          <w:color w:val="222222"/>
          <w:sz w:val="22"/>
          <w:szCs w:val="22"/>
        </w:rPr>
        <w:t xml:space="preserve">Donor report page can never show internal review copy. </w:t>
      </w:r>
      <w:r>
        <w:rPr>
          <w:rFonts w:ascii="Arial" w:cs="Arial" w:eastAsia="Arial" w:hAnsi="Arial"/>
          <w:color w:val="222222"/>
          <w:sz w:val="22"/>
          <w:szCs w:val="22"/>
        </w:rPr>
        <w:t xml:space="preserve">The server now tells the page, with each response, whether the viewer is the Proximate team or a donor — internal copy renders only when the server says so. Verified live in the exact account-switching scenario that surfaced the bug.</w:t>
      </w:r>
    </w:p>
    <w:p>
      <w:pPr>
        <w:pStyle w:val="ListParagraph"/>
        <w:numPr>
          <w:ilvl w:val="0"/>
          <w:numId w:val="2"/>
        </w:numPr>
        <w:spacing w:after="80"/>
      </w:pPr>
      <w:r>
        <w:rPr>
          <w:rFonts w:ascii="Arial" w:cs="Arial" w:eastAsia="Arial" w:hAnsi="Arial"/>
          <w:b/>
          <w:bCs/>
          <w:color w:val="222222"/>
          <w:sz w:val="22"/>
          <w:szCs w:val="22"/>
        </w:rPr>
        <w:t xml:space="preserve">Testing got stricter. </w:t>
      </w:r>
      <w:r>
        <w:rPr>
          <w:rFonts w:ascii="Arial" w:cs="Arial" w:eastAsia="Arial" w:hAnsi="Arial"/>
          <w:color w:val="222222"/>
          <w:sz w:val="22"/>
          <w:szCs w:val="22"/>
        </w:rPr>
        <w:t xml:space="preserve">The release gate grew with leak-class checks (empty marketplace feed under Proximate sessions; read-only accounts blocked from every change), and the browser suite rehearses the account-switch scenario on every run.</w:t>
      </w:r>
    </w:p>
    <w:p>
      <w:pPr>
        <w:pStyle w:val="Heading1"/>
      </w:pPr>
      <w:r>
        <w:rPr>
          <w:rFonts w:ascii="Arial" w:cs="Arial" w:eastAsia="Arial" w:hAnsi="Arial"/>
          <w:b/>
          <w:bCs/>
          <w:color w:val="FC5810"/>
          <w:sz w:val="26"/>
          <w:szCs w:val="26"/>
        </w:rPr>
        <w:t xml:space="preserve">Part 3 — Read-only observer access (18 July)</w:t>
      </w:r>
    </w:p>
    <w:p>
      <w:pPr>
        <w:pStyle w:val="ListParagraph"/>
        <w:numPr>
          <w:ilvl w:val="0"/>
          <w:numId w:val="2"/>
        </w:numPr>
        <w:spacing w:after="80"/>
      </w:pPr>
      <w:r>
        <w:rPr>
          <w:rFonts w:ascii="Arial" w:cs="Arial" w:eastAsia="Arial" w:hAnsi="Arial"/>
          <w:b/>
          <w:bCs/>
          <w:color w:val="222222"/>
          <w:sz w:val="22"/>
          <w:szCs w:val="22"/>
        </w:rPr>
        <w:t xml:space="preserve">What it is. </w:t>
      </w:r>
      <w:r>
        <w:rPr>
          <w:rFonts w:ascii="Arial" w:cs="Arial" w:eastAsia="Arial" w:hAnsi="Arial"/>
          <w:color w:val="222222"/>
          <w:sz w:val="22"/>
          <w:szCs w:val="22"/>
        </w:rPr>
        <w:t xml:space="preserve">Accounts can be flagged read-only at the database level: they open every screen their role allows — across Kuja, NEAR and Proximate — but the server rejects any attempt to change anything. Enforced on every request, and the flag cannot be set from within the application.</w:t>
      </w:r>
    </w:p>
    <w:p>
      <w:pPr>
        <w:pStyle w:val="ListParagraph"/>
        <w:numPr>
          <w:ilvl w:val="0"/>
          <w:numId w:val="2"/>
        </w:numPr>
        <w:spacing w:after="80"/>
      </w:pPr>
      <w:r>
        <w:rPr>
          <w:rFonts w:ascii="Arial" w:cs="Arial" w:eastAsia="Arial" w:hAnsi="Arial"/>
          <w:b/>
          <w:bCs/>
          <w:color w:val="222222"/>
          <w:sz w:val="22"/>
          <w:szCs w:val="22"/>
        </w:rPr>
        <w:t xml:space="preserve">First account provisioned </w:t>
      </w:r>
      <w:r>
        <w:rPr>
          <w:rFonts w:ascii="Arial" w:cs="Arial" w:eastAsia="Arial" w:hAnsi="Arial"/>
          <w:color w:val="222222"/>
          <w:sz w:val="22"/>
          <w:szCs w:val="22"/>
        </w:rPr>
        <w:t xml:space="preserve">for Idiris, with full visibility. Useful for demos, board walk-throughs, and reviewing production with zero risk of altering records.</w:t>
      </w:r>
    </w:p>
    <w:p>
      <w:pPr>
        <w:pStyle w:val="Heading1"/>
      </w:pPr>
      <w:r>
        <w:rPr>
          <w:rFonts w:ascii="Arial" w:cs="Arial" w:eastAsia="Arial" w:hAnsi="Arial"/>
          <w:b/>
          <w:bCs/>
          <w:color w:val="FC5810"/>
          <w:sz w:val="26"/>
          <w:szCs w:val="26"/>
        </w:rPr>
        <w:t xml:space="preserve">Part 4 — Every remaining spec item, closed (18 July)</w:t>
      </w:r>
    </w:p>
    <w:p>
      <w:pPr>
        <w:pStyle w:val="ListParagraph"/>
        <w:numPr>
          <w:ilvl w:val="0"/>
          <w:numId w:val="2"/>
        </w:numPr>
        <w:spacing w:after="80"/>
      </w:pPr>
      <w:r>
        <w:rPr>
          <w:rFonts w:ascii="Arial" w:cs="Arial" w:eastAsia="Arial" w:hAnsi="Arial"/>
          <w:b/>
          <w:bCs/>
          <w:color w:val="222222"/>
          <w:sz w:val="22"/>
          <w:szCs w:val="22"/>
        </w:rPr>
        <w:t xml:space="preserve">Settings hub. </w:t>
      </w:r>
      <w:r>
        <w:rPr>
          <w:rFonts w:ascii="Arial" w:cs="Arial" w:eastAsia="Arial" w:hAnsi="Arial"/>
          <w:color w:val="222222"/>
          <w:sz w:val="22"/>
          <w:szCs w:val="22"/>
        </w:rPr>
        <w:t xml:space="preserve">One Settings landing page: profile, language, theme and low-bandwidth controls, notification and security links, role-appropriate extras. Every sidebar Settings link lands here.</w:t>
      </w:r>
    </w:p>
    <w:p>
      <w:pPr>
        <w:pStyle w:val="ListParagraph"/>
        <w:numPr>
          <w:ilvl w:val="0"/>
          <w:numId w:val="2"/>
        </w:numPr>
        <w:spacing w:after="80"/>
      </w:pPr>
      <w:r>
        <w:rPr>
          <w:rFonts w:ascii="Arial" w:cs="Arial" w:eastAsia="Arial" w:hAnsi="Arial"/>
          <w:b/>
          <w:bCs/>
          <w:color w:val="222222"/>
          <w:sz w:val="22"/>
          <w:szCs w:val="22"/>
        </w:rPr>
        <w:t xml:space="preserve">Mobile bottom navigation. </w:t>
      </w:r>
      <w:r>
        <w:rPr>
          <w:rFonts w:ascii="Arial" w:cs="Arial" w:eastAsia="Arial" w:hAnsi="Arial"/>
          <w:color w:val="222222"/>
          <w:sz w:val="22"/>
          <w:szCs w:val="22"/>
        </w:rPr>
        <w:t xml:space="preserve">Home, Rounds, Partners, Disbursements, More — for the Oversight Body persona on phone-width screens only.</w:t>
      </w:r>
    </w:p>
    <w:p>
      <w:pPr>
        <w:pStyle w:val="ListParagraph"/>
        <w:numPr>
          <w:ilvl w:val="0"/>
          <w:numId w:val="2"/>
        </w:numPr>
        <w:spacing w:after="80"/>
      </w:pPr>
      <w:r>
        <w:rPr>
          <w:rFonts w:ascii="Arial" w:cs="Arial" w:eastAsia="Arial" w:hAnsi="Arial"/>
          <w:b/>
          <w:bCs/>
          <w:color w:val="222222"/>
          <w:sz w:val="22"/>
          <w:szCs w:val="22"/>
        </w:rPr>
        <w:t xml:space="preserve">Saved filters and prev/next. </w:t>
      </w:r>
      <w:r>
        <w:rPr>
          <w:rFonts w:ascii="Arial" w:cs="Arial" w:eastAsia="Arial" w:hAnsi="Arial"/>
          <w:color w:val="222222"/>
          <w:sz w:val="22"/>
          <w:szCs w:val="22"/>
        </w:rPr>
        <w:t xml:space="preserve">The Partners register saves filtered views as one-tap chips, and reviewers step previous/next through partners without losing their tab.</w:t>
      </w:r>
    </w:p>
    <w:p>
      <w:pPr>
        <w:pStyle w:val="ListParagraph"/>
        <w:numPr>
          <w:ilvl w:val="0"/>
          <w:numId w:val="2"/>
        </w:numPr>
        <w:spacing w:after="80"/>
      </w:pPr>
      <w:r>
        <w:rPr>
          <w:rFonts w:ascii="Arial" w:cs="Arial" w:eastAsia="Arial" w:hAnsi="Arial"/>
          <w:b/>
          <w:bCs/>
          <w:color w:val="222222"/>
          <w:sz w:val="22"/>
          <w:szCs w:val="22"/>
        </w:rPr>
        <w:t xml:space="preserve">Tablet verified. </w:t>
      </w:r>
      <w:r>
        <w:rPr>
          <w:rFonts w:ascii="Arial" w:cs="Arial" w:eastAsia="Arial" w:hAnsi="Arial"/>
          <w:color w:val="222222"/>
          <w:sz w:val="22"/>
          <w:szCs w:val="22"/>
        </w:rPr>
        <w:t xml:space="preserve">Both tablet orientations across all redesigned screens: forty of forty checks, zero overflow, zero errors.</w:t>
      </w:r>
    </w:p>
    <w:p>
      <w:pPr>
        <w:pStyle w:val="Heading1"/>
      </w:pPr>
      <w:r>
        <w:rPr>
          <w:rFonts w:ascii="Arial" w:cs="Arial" w:eastAsia="Arial" w:hAnsi="Arial"/>
          <w:b/>
          <w:bCs/>
          <w:color w:val="FC5810"/>
          <w:sz w:val="26"/>
          <w:szCs w:val="26"/>
        </w:rPr>
        <w:t xml:space="preserve">Part 5 — UAT readiness (19 July)</w:t>
      </w:r>
    </w:p>
    <w:p>
      <w:pPr>
        <w:spacing w:after="120"/>
      </w:pPr>
      <w:r>
        <w:rPr>
          <w:rFonts w:ascii="Arial" w:cs="Arial" w:eastAsia="Arial" w:hAnsi="Arial"/>
          <w:b w:val="false"/>
          <w:bCs w:val="false"/>
          <w:color w:val="222222"/>
          <w:sz w:val="22"/>
          <w:szCs w:val="22"/>
        </w:rPr>
        <w:t xml:space="preserve">With the redesign closed, 19 July was about getting the Proximate team ready to test everything themselves — and closing the workflow gaps the preparation surfaced.</w:t>
      </w:r>
    </w:p>
    <w:p>
      <w:pPr>
        <w:pStyle w:val="ListParagraph"/>
        <w:numPr>
          <w:ilvl w:val="0"/>
          <w:numId w:val="2"/>
        </w:numPr>
        <w:spacing w:after="80"/>
      </w:pPr>
      <w:r>
        <w:rPr>
          <w:rFonts w:ascii="Arial" w:cs="Arial" w:eastAsia="Arial" w:hAnsi="Arial"/>
          <w:b/>
          <w:bCs/>
          <w:color w:val="222222"/>
          <w:sz w:val="22"/>
          <w:szCs w:val="22"/>
        </w:rPr>
        <w:t xml:space="preserve">A complete UAT pack. </w:t>
      </w:r>
      <w:r>
        <w:rPr>
          <w:rFonts w:ascii="Arial" w:cs="Arial" w:eastAsia="Arial" w:hAnsi="Arial"/>
          <w:color w:val="222222"/>
          <w:sz w:val="22"/>
          <w:szCs w:val="22"/>
        </w:rPr>
        <w:t xml:space="preserve">An 84-case Excel workbook walks every persona — Oversight Body, community endorser, partner, donor, platform admin, and the anonymous public pages — through every workflow end to end: grant intake with AI extraction, round opening with dual sign-off, nomination, endorsement, due diligence, disbursement with co-signing, partner reporting by token link, the donor report package, publication, outcome attestation, grievances, panel voting, audit chain and the transparency page. Each case says who logs in, the exact steps and data, and the expected result, with a Pass/Fail column and a defect log. Ten fictional sample files (PIF, certificates, grant agreement, evidence photos, voice note, video) ship alongside it, plus a one-page briefing. Estimated effort: one day for a pair of testers. Real data is walled off: the Blue Nile round is explicitly hands-off in every case.</w:t>
      </w:r>
    </w:p>
    <w:p>
      <w:pPr>
        <w:pStyle w:val="ListParagraph"/>
        <w:numPr>
          <w:ilvl w:val="0"/>
          <w:numId w:val="2"/>
        </w:numPr>
        <w:spacing w:after="80"/>
      </w:pPr>
      <w:r>
        <w:rPr>
          <w:rFonts w:ascii="Arial" w:cs="Arial" w:eastAsia="Arial" w:hAnsi="Arial"/>
          <w:b/>
          <w:bCs/>
          <w:color w:val="222222"/>
          <w:sz w:val="22"/>
          <w:szCs w:val="22"/>
        </w:rPr>
        <w:t xml:space="preserve">A dedicated UAT donor account </w:t>
      </w:r>
      <w:r>
        <w:rPr>
          <w:rFonts w:ascii="Arial" w:cs="Arial" w:eastAsia="Arial" w:hAnsi="Arial"/>
          <w:color w:val="222222"/>
          <w:sz w:val="22"/>
          <w:szCs w:val="22"/>
        </w:rPr>
        <w:t xml:space="preserve">was provisioned on production, scoped to demo data only — it automatically sees any round it funds, so the donor experience can be tested end to end without touching real donors.</w:t>
      </w:r>
    </w:p>
    <w:p>
      <w:pPr>
        <w:pStyle w:val="ListParagraph"/>
        <w:numPr>
          <w:ilvl w:val="0"/>
          <w:numId w:val="2"/>
        </w:numPr>
        <w:spacing w:after="80"/>
      </w:pPr>
      <w:r>
        <w:rPr>
          <w:rFonts w:ascii="Arial" w:cs="Arial" w:eastAsia="Arial" w:hAnsi="Arial"/>
          <w:b/>
          <w:bCs/>
          <w:color w:val="222222"/>
          <w:sz w:val="22"/>
          <w:szCs w:val="22"/>
        </w:rPr>
        <w:t xml:space="preserve">Every external service verified live. </w:t>
      </w:r>
      <w:r>
        <w:rPr>
          <w:rFonts w:ascii="Arial" w:cs="Arial" w:eastAsia="Arial" w:hAnsi="Arial"/>
          <w:color w:val="222222"/>
          <w:sz w:val="22"/>
          <w:szCs w:val="22"/>
        </w:rPr>
        <w:t xml:space="preserve">All four third-party integrations were probed from inside the production environment with real calls: the AI service (report compile, extraction, web checks), voice transcription, the sanctions/PEP screening database, and — new today — the US SAM.gov exclusions list, whose API key was finally added. The due-diligence exclusions check now screens for real instead of reporting “not configured”. That closes the last open integration item.</w:t>
      </w:r>
    </w:p>
    <w:p>
      <w:pPr>
        <w:pStyle w:val="ListParagraph"/>
        <w:numPr>
          <w:ilvl w:val="0"/>
          <w:numId w:val="2"/>
        </w:numPr>
        <w:spacing w:after="80"/>
      </w:pPr>
      <w:r>
        <w:rPr>
          <w:rFonts w:ascii="Arial" w:cs="Arial" w:eastAsia="Arial" w:hAnsi="Arial"/>
          <w:b/>
          <w:bCs/>
          <w:color w:val="222222"/>
          <w:sz w:val="22"/>
          <w:szCs w:val="22"/>
        </w:rPr>
        <w:t xml:space="preserve">New: payment confirmations on disbursements. </w:t>
      </w:r>
      <w:r>
        <w:rPr>
          <w:rFonts w:ascii="Arial" w:cs="Arial" w:eastAsia="Arial" w:hAnsi="Arial"/>
          <w:color w:val="222222"/>
          <w:sz w:val="22"/>
          <w:szCs w:val="22"/>
        </w:rPr>
        <w:t xml:space="preserve">The team’s real payment workflow — confirm the transfer with the hawala, then save the confirmation from the government payment app — now has a first-class home. Each disbursement page has a “Payment confirmations” section where the receipt (screenshot or PDF) is uploaded against the specific transfer it proves. Visible to the Oversight Body only, recorded in the audit chain, and pinned by two new release-gate checks (uploads round-trip; donors are refused). Live on production and covered by UAT case E-09.</w:t>
      </w:r>
    </w:p>
    <w:p>
      <w:pPr>
        <w:pStyle w:val="ListParagraph"/>
        <w:numPr>
          <w:ilvl w:val="0"/>
          <w:numId w:val="2"/>
        </w:numPr>
        <w:spacing w:after="80"/>
      </w:pPr>
      <w:r>
        <w:rPr>
          <w:rFonts w:ascii="Arial" w:cs="Arial" w:eastAsia="Arial" w:hAnsi="Arial"/>
          <w:b/>
          <w:bCs/>
          <w:color w:val="222222"/>
          <w:sz w:val="22"/>
          <w:szCs w:val="22"/>
        </w:rPr>
        <w:t xml:space="preserve">Confirmed for the team: opening a round is governed. </w:t>
      </w:r>
      <w:r>
        <w:rPr>
          <w:rFonts w:ascii="Arial" w:cs="Arial" w:eastAsia="Arial" w:hAnsi="Arial"/>
          <w:color w:val="222222"/>
          <w:sz w:val="22"/>
          <w:szCs w:val="22"/>
        </w:rPr>
        <w:t xml:space="preserve">A round cannot be opened by one person: it moves draft → in review → active only after two Oversight Body sign-offs with none rejecting. Each member’s decision is a permanent record — who, when, signed/recused/rejected, a conflict-of-interest declaration (skipping the declaration records a recusal, not an approval) and a note — all in the tamper-evident audit chain and visible as a signature roster on the round page. This was already built; the UAT pack now exercises it explicitly (case B-03).</w:t>
      </w:r>
    </w:p>
    <w:p>
      <w:pPr>
        <w:pStyle w:val="ListParagraph"/>
        <w:numPr>
          <w:ilvl w:val="0"/>
          <w:numId w:val="2"/>
        </w:numPr>
        <w:spacing w:after="80"/>
      </w:pPr>
      <w:r>
        <w:rPr>
          <w:rFonts w:ascii="Arial" w:cs="Arial" w:eastAsia="Arial" w:hAnsi="Arial"/>
          <w:b/>
          <w:bCs/>
          <w:color w:val="222222"/>
          <w:sz w:val="22"/>
          <w:szCs w:val="22"/>
        </w:rPr>
        <w:t xml:space="preserve">Confirmed for the team: social-media checks are human-led. </w:t>
      </w:r>
      <w:r>
        <w:rPr>
          <w:rFonts w:ascii="Arial" w:cs="Arial" w:eastAsia="Arial" w:hAnsi="Arial"/>
          <w:color w:val="222222"/>
          <w:sz w:val="22"/>
          <w:szCs w:val="22"/>
        </w:rPr>
        <w:t xml:space="preserve">The AI “web check” on partner media verification only drafts a starting point from the public web. The reviewer adds what only they know — links, community interactions, mentions of the organisation and its leadership — and chooses the verdict. The saved record is attributed to the named reviewer, with the AI-assisted origin noted.</w:t>
      </w:r>
    </w:p>
    <w:p>
      <w:pPr>
        <w:pStyle w:val="Heading1"/>
      </w:pPr>
      <w:r>
        <w:rPr>
          <w:rFonts w:ascii="Arial" w:cs="Arial" w:eastAsia="Arial" w:hAnsi="Arial"/>
          <w:b/>
          <w:bCs/>
          <w:color w:val="FC5810"/>
          <w:sz w:val="26"/>
          <w:szCs w:val="26"/>
        </w:rPr>
        <w:t xml:space="preserve">What we deliberately did not change</w:t>
      </w:r>
    </w:p>
    <w:p>
      <w:pPr>
        <w:pStyle w:val="ListParagraph"/>
        <w:numPr>
          <w:ilvl w:val="0"/>
          <w:numId w:val="2"/>
        </w:numPr>
        <w:spacing w:after="80"/>
      </w:pPr>
      <w:r>
        <w:rPr>
          <w:rFonts w:ascii="Arial" w:cs="Arial" w:eastAsia="Arial" w:hAnsi="Arial"/>
          <w:b/>
          <w:bCs/>
          <w:color w:val="222222"/>
          <w:sz w:val="22"/>
          <w:szCs w:val="22"/>
        </w:rPr>
        <w:t xml:space="preserve">No business logic rewrites, no records touched. </w:t>
      </w:r>
      <w:r>
        <w:rPr>
          <w:rFonts w:ascii="Arial" w:cs="Arial" w:eastAsia="Arial" w:hAnsi="Arial"/>
          <w:color w:val="222222"/>
          <w:sz w:val="22"/>
          <w:szCs w:val="22"/>
        </w:rPr>
        <w:t xml:space="preserve">The Blue Nile round, QA’s flagged test disbursement, and all prior validation artifacts remain exactly as they were. The one functional addition (payment confirmations) extends an existing, audited upload mechanism.</w:t>
      </w:r>
    </w:p>
    <w:p>
      <w:pPr>
        <w:pStyle w:val="Heading1"/>
      </w:pPr>
      <w:r>
        <w:rPr>
          <w:rFonts w:ascii="Arial" w:cs="Arial" w:eastAsia="Arial" w:hAnsi="Arial"/>
          <w:b/>
          <w:bCs/>
          <w:color w:val="FC5810"/>
          <w:sz w:val="26"/>
          <w:szCs w:val="26"/>
        </w:rPr>
        <w:t xml:space="preserve">Still open (tracked, unchanged)</w:t>
      </w:r>
    </w:p>
    <w:p>
      <w:pPr>
        <w:pStyle w:val="ListParagraph"/>
        <w:numPr>
          <w:ilvl w:val="0"/>
          <w:numId w:val="2"/>
        </w:numPr>
        <w:spacing w:after="80"/>
      </w:pPr>
      <w:r>
        <w:rPr>
          <w:rFonts w:ascii="Arial" w:cs="Arial" w:eastAsia="Arial" w:hAnsi="Arial"/>
          <w:b/>
          <w:bCs/>
          <w:color w:val="222222"/>
          <w:sz w:val="22"/>
          <w:szCs w:val="22"/>
        </w:rPr>
        <w:t xml:space="preserve">Arabic coverage: </w:t>
      </w:r>
      <w:r>
        <w:rPr>
          <w:rFonts w:ascii="Arial" w:cs="Arial" w:eastAsia="Arial" w:hAnsi="Arial"/>
          <w:color w:val="222222"/>
          <w:sz w:val="22"/>
          <w:szCs w:val="22"/>
        </w:rPr>
        <w:t xml:space="preserve">the newest operator and guidance copy is English-only — a dedicated Arabic wave is scoped in the backlog, alongside the standing Sudanese-Arabic native-speaker review of one generated report PDF.</w:t>
      </w:r>
    </w:p>
    <w:p>
      <w:pPr>
        <w:pStyle w:val="ListParagraph"/>
        <w:numPr>
          <w:ilvl w:val="0"/>
          <w:numId w:val="2"/>
        </w:numPr>
        <w:spacing w:after="80"/>
      </w:pPr>
      <w:r>
        <w:rPr>
          <w:rFonts w:ascii="Arial" w:cs="Arial" w:eastAsia="Arial" w:hAnsi="Arial"/>
          <w:b/>
          <w:bCs/>
          <w:color w:val="222222"/>
          <w:sz w:val="22"/>
          <w:szCs w:val="22"/>
        </w:rPr>
        <w:t xml:space="preserve">WhatsApp reminders: </w:t>
      </w:r>
      <w:r>
        <w:rPr>
          <w:rFonts w:ascii="Arial" w:cs="Arial" w:eastAsia="Arial" w:hAnsi="Arial"/>
          <w:color w:val="222222"/>
          <w:sz w:val="22"/>
          <w:szCs w:val="22"/>
        </w:rPr>
        <w:t xml:space="preserve">sender is live; the six message templates are still awaiting Meta approval, after which reminder sends get wired in.</w:t>
      </w:r>
    </w:p>
    <w:p>
      <w:pPr>
        <w:pStyle w:val="ListParagraph"/>
        <w:numPr>
          <w:ilvl w:val="0"/>
          <w:numId w:val="2"/>
        </w:numPr>
        <w:spacing w:after="80"/>
      </w:pPr>
      <w:r>
        <w:rPr>
          <w:rFonts w:ascii="Arial" w:cs="Arial" w:eastAsia="Arial" w:hAnsi="Arial"/>
          <w:b/>
          <w:bCs/>
          <w:color w:val="222222"/>
          <w:sz w:val="22"/>
          <w:szCs w:val="22"/>
        </w:rPr>
        <w:t xml:space="preserve">Small items: </w:t>
      </w:r>
      <w:r>
        <w:rPr>
          <w:rFonts w:ascii="Arial" w:cs="Arial" w:eastAsia="Arial" w:hAnsi="Arial"/>
          <w:color w:val="222222"/>
          <w:sz w:val="22"/>
          <w:szCs w:val="22"/>
        </w:rPr>
        <w:t xml:space="preserve">QCF temporary password change on first login; shared UAT passwords to be rotated after the UAT concludes.</w:t>
      </w:r>
    </w:p>
    <w:p>
      <w:pPr>
        <w:spacing w:before="240"/>
      </w:pPr>
      <w:r>
        <w:rPr>
          <w:rFonts w:ascii="Arial" w:cs="Arial" w:eastAsia="Arial" w:hAnsi="Arial"/>
          <w:color w:val="6B6B6B"/>
          <w:sz w:val="18"/>
          <w:szCs w:val="18"/>
        </w:rPr>
        <w:t xml:space="preserve">Production builds covered: 18 July — 77c91ca0f, 2b79ba4fe, ff6f65bf5, 409f27335, c7ff60ee5, dde4ce0c8, c8fe52d39, 957ae5791, 9d9e682e3, 513d30094, 59d4fb8f6, a257e27eb, adcb07591, f518ecc97, 131044a7d, e542ba716, a9a1a8684, 356ccf372. 19 July — 6283b2062 (UAT pack + assets), 29a798b2d / a95e619d7 (payment confirmations), all live and verified on production. Release gate: 98 automated checks, green. External APIs: 4/4 verified live. Prepared 19 July 2026; supersedes the 18 July update.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C5810" w:sz="6" w:space="2"/>
      </w:pBdr>
      <w:spacing w:after="100" w:before="280"/>
      <w:outlineLvl w:val="0"/>
    </w:pPr>
    <w:rPr>
      <w:rFonts w:ascii="Arial" w:cs="Arial" w:eastAsia="Arial" w:hAnsi="Arial"/>
      <w:b/>
      <w:bCs/>
      <w:color w:val="FC5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2026-07-19T19:00:46.104Z</dcterms:created>
  <dcterms:modified xsi:type="dcterms:W3CDTF">2026-07-19T19:00:46.107Z</dcterms:modified>
</cp:coreProperties>
</file>

<file path=docProps/custom.xml><?xml version="1.0" encoding="utf-8"?>
<Properties xmlns="http://schemas.openxmlformats.org/officeDocument/2006/custom-properties" xmlns:vt="http://schemas.openxmlformats.org/officeDocument/2006/docPropsVTypes"/>
</file>