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2222"/>
          <w:sz w:val="32"/>
          <w:szCs w:val="32"/>
        </w:rPr>
        <w:t xml:space="preserve">Platform Update — Partner Reporting Wave, 16–17 July 2026</w:t>
      </w:r>
    </w:p>
    <w:p>
      <w:pPr>
        <w:spacing w:after="120"/>
      </w:pPr>
      <w:r>
        <w:rPr>
          <w:rFonts w:ascii="Arial" w:cs="Arial" w:eastAsia="Arial" w:hAnsi="Arial"/>
          <w:b w:val="false"/>
          <w:bCs w:val="false"/>
          <w:color w:val="6B6B6B"/>
          <w:sz w:val="22"/>
          <w:szCs w:val="22"/>
        </w:rPr>
        <w:t xml:space="preserve">Six production releases since yesterday’s roundup — the donor reporting pipeline now runs end-to-end, from a partner’s phone in Blue Nile to the donor’s dashboard, in English and Arabic. Every change was verified on the live system before this doc was written.</w:t>
      </w:r>
    </w:p>
    <w:p>
      <w:pPr>
        <w:pStyle w:val="Heading1"/>
        <w:spacing w:after="100" w:before="280"/>
      </w:pPr>
      <w:r>
        <w:rPr>
          <w:rFonts w:ascii="Arial" w:cs="Arial" w:eastAsia="Arial" w:hAnsi="Arial"/>
          <w:b/>
          <w:bCs/>
          <w:color w:val="FC5810"/>
          <w:sz w:val="26"/>
          <w:szCs w:val="26"/>
        </w:rPr>
        <w:t xml:space="preserve">Summary</w:t>
      </w:r>
    </w:p>
    <w:p>
      <w:pPr>
        <w:spacing w:after="120"/>
      </w:pPr>
      <w:r>
        <w:rPr>
          <w:rFonts w:ascii="Arial" w:cs="Arial" w:eastAsia="Arial" w:hAnsi="Arial"/>
          <w:b w:val="false"/>
          <w:bCs w:val="false"/>
          <w:color w:val="222222"/>
          <w:sz w:val="22"/>
          <w:szCs w:val="22"/>
        </w:rPr>
        <w:t xml:space="preserve">The headline: a partner can now file their entire implementation report from a phone — numbers, voice notes spoken in Arabic, photos, receipts — and the system compiles it into a bilingual report. The Proximate team reviews it, approves each photo individually before a donor can ever see it, and publishes it to the donor’s dashboard with a branded PDF. Around that centerpiece: every tenant got its own visual identity and app icon, the external reviewer’s full fix list was closed the same morning it arrived, due-diligence gained SAM.gov screening and AI-drafted web checks, panel selection became a one-tap voting link, and Arabic now renders as proper connected script inside the PDF.</w:t>
      </w:r>
    </w:p>
    <w:p>
      <w:pPr>
        <w:pStyle w:val="Heading1"/>
        <w:spacing w:after="100" w:before="280"/>
      </w:pPr>
      <w:r>
        <w:rPr>
          <w:rFonts w:ascii="Arial" w:cs="Arial" w:eastAsia="Arial" w:hAnsi="Arial"/>
          <w:b/>
          <w:bCs/>
          <w:color w:val="FC5810"/>
          <w:sz w:val="26"/>
          <w:szCs w:val="26"/>
        </w:rPr>
        <w:t xml:space="preserve">1. Every tenant now looks like itself</w:t>
      </w:r>
    </w:p>
    <w:p>
      <w:pPr>
        <w:spacing w:after="120"/>
      </w:pPr>
      <w:r>
        <w:rPr>
          <w:rFonts w:ascii="Arial" w:cs="Arial" w:eastAsia="Arial" w:hAnsi="Arial"/>
          <w:b w:val="false"/>
          <w:bCs w:val="false"/>
          <w:color w:val="222222"/>
          <w:sz w:val="22"/>
          <w:szCs w:val="22"/>
        </w:rPr>
        <w:t xml:space="preserve">The platform serves multiple funds, and until now they shared one generic look. Each tenant now has its own colors, logo and phone/home-screen app icon — Proximate carries its official orange mark and brand palette from the PF brand guide, and Kuja and NEAR each keep theirs. A partner installing the reporting page on their phone sees the Proximate icon, not a black box.</w:t>
      </w:r>
    </w:p>
    <w:p>
      <w:pPr>
        <w:pStyle w:val="Heading1"/>
        <w:spacing w:after="100" w:before="280"/>
      </w:pPr>
      <w:r>
        <w:rPr>
          <w:rFonts w:ascii="Arial" w:cs="Arial" w:eastAsia="Arial" w:hAnsi="Arial"/>
          <w:b/>
          <w:bCs/>
          <w:color w:val="FC5810"/>
          <w:sz w:val="26"/>
          <w:szCs w:val="26"/>
        </w:rPr>
        <w:t xml:space="preserve">2. The reviewer’s fix list — closed the same morning</w:t>
      </w:r>
    </w:p>
    <w:p>
      <w:pPr>
        <w:spacing w:after="120"/>
      </w:pPr>
      <w:r>
        <w:rPr>
          <w:rFonts w:ascii="Arial" w:cs="Arial" w:eastAsia="Arial" w:hAnsi="Arial"/>
          <w:b w:val="false"/>
          <w:bCs w:val="false"/>
          <w:color w:val="222222"/>
          <w:sz w:val="22"/>
          <w:szCs w:val="22"/>
        </w:rPr>
        <w:t xml:space="preserve">The independent 9/10 review from 16 July flagged four software items. All four were fixed, deployed and re-verified on production the same morning:</w:t>
      </w:r>
    </w:p>
    <w:p>
      <w:pPr>
        <w:pStyle w:val="ListParagraph"/>
        <w:numPr>
          <w:ilvl w:val="0"/>
          <w:numId w:val="2"/>
        </w:numPr>
        <w:spacing w:after="80"/>
      </w:pPr>
      <w:r>
        <w:rPr>
          <w:rFonts w:ascii="Arial" w:cs="Arial" w:eastAsia="Arial" w:hAnsi="Arial"/>
          <w:b/>
          <w:bCs/>
          <w:color w:val="222222"/>
          <w:sz w:val="22"/>
          <w:szCs w:val="22"/>
        </w:rPr>
        <w:t xml:space="preserve">Search error gone. </w:t>
      </w:r>
      <w:r>
        <w:rPr>
          <w:rFonts w:ascii="Arial" w:cs="Arial" w:eastAsia="Arial" w:hAnsi="Arial"/>
          <w:color w:val="222222"/>
          <w:sz w:val="22"/>
          <w:szCs w:val="22"/>
        </w:rPr>
        <w:t xml:space="preserve">The search box logged a hidden error on every keystroke; it now queries the right endpoint cleanly.</w:t>
      </w:r>
    </w:p>
    <w:p>
      <w:pPr>
        <w:pStyle w:val="ListParagraph"/>
        <w:numPr>
          <w:ilvl w:val="0"/>
          <w:numId w:val="2"/>
        </w:numPr>
        <w:spacing w:after="80"/>
      </w:pPr>
      <w:r>
        <w:rPr>
          <w:rFonts w:ascii="Arial" w:cs="Arial" w:eastAsia="Arial" w:hAnsi="Arial"/>
          <w:b/>
          <w:bCs/>
          <w:color w:val="222222"/>
          <w:sz w:val="22"/>
          <w:szCs w:val="22"/>
        </w:rPr>
        <w:t xml:space="preserve">Plain-language statuses. </w:t>
      </w:r>
      <w:r>
        <w:rPr>
          <w:rFonts w:ascii="Arial" w:cs="Arial" w:eastAsia="Arial" w:hAnsi="Arial"/>
          <w:color w:val="222222"/>
          <w:sz w:val="22"/>
          <w:szCs w:val="22"/>
        </w:rPr>
        <w:t xml:space="preserve">Machine labels like PENDING_REPORT now read “Report due” everywhere.</w:t>
      </w:r>
    </w:p>
    <w:p>
      <w:pPr>
        <w:pStyle w:val="ListParagraph"/>
        <w:numPr>
          <w:ilvl w:val="0"/>
          <w:numId w:val="2"/>
        </w:numPr>
        <w:spacing w:after="80"/>
      </w:pPr>
      <w:r>
        <w:rPr>
          <w:rFonts w:ascii="Arial" w:cs="Arial" w:eastAsia="Arial" w:hAnsi="Arial"/>
          <w:b/>
          <w:bCs/>
          <w:color w:val="222222"/>
          <w:sz w:val="22"/>
          <w:szCs w:val="22"/>
        </w:rPr>
        <w:t xml:space="preserve">One-tap next step. </w:t>
      </w:r>
      <w:r>
        <w:rPr>
          <w:rFonts w:ascii="Arial" w:cs="Arial" w:eastAsia="Arial" w:hAnsi="Arial"/>
          <w:color w:val="222222"/>
          <w:sz w:val="22"/>
          <w:szCs w:val="22"/>
        </w:rPr>
        <w:t xml:space="preserve">When a round’s next step is endorsements, a “Start endorsements” button now sits right beside the guidance instead of making the operator hunt for the page.</w:t>
      </w:r>
    </w:p>
    <w:p>
      <w:pPr>
        <w:pStyle w:val="ListParagraph"/>
        <w:numPr>
          <w:ilvl w:val="0"/>
          <w:numId w:val="2"/>
        </w:numPr>
        <w:spacing w:after="80"/>
      </w:pPr>
      <w:r>
        <w:rPr>
          <w:rFonts w:ascii="Arial" w:cs="Arial" w:eastAsia="Arial" w:hAnsi="Arial"/>
          <w:b/>
          <w:bCs/>
          <w:color w:val="222222"/>
          <w:sz w:val="22"/>
          <w:szCs w:val="22"/>
        </w:rPr>
        <w:t xml:space="preserve">AI hiccups self-heal. </w:t>
      </w:r>
      <w:r>
        <w:rPr>
          <w:rFonts w:ascii="Arial" w:cs="Arial" w:eastAsia="Arial" w:hAnsi="Arial"/>
          <w:color w:val="222222"/>
          <w:sz w:val="22"/>
          <w:szCs w:val="22"/>
        </w:rPr>
        <w:t xml:space="preserve">Momentary AI service blips (the reviewer saw one 502) now retry automatically instead of surfacing an error.</w:t>
      </w:r>
    </w:p>
    <w:p>
      <w:pPr>
        <w:pStyle w:val="Heading1"/>
        <w:spacing w:after="100" w:before="280"/>
      </w:pPr>
      <w:r>
        <w:rPr>
          <w:rFonts w:ascii="Arial" w:cs="Arial" w:eastAsia="Arial" w:hAnsi="Arial"/>
          <w:b/>
          <w:bCs/>
          <w:color w:val="FC5810"/>
          <w:sz w:val="26"/>
          <w:szCs w:val="26"/>
        </w:rPr>
        <w:t xml:space="preserve">3. Due diligence: automated legwork, human decisions</w:t>
      </w:r>
    </w:p>
    <w:p>
      <w:pPr>
        <w:spacing w:after="120"/>
      </w:pPr>
      <w:r>
        <w:rPr>
          <w:rFonts w:ascii="Arial" w:cs="Arial" w:eastAsia="Arial" w:hAnsi="Arial"/>
          <w:b w:val="false"/>
          <w:bCs w:val="false"/>
          <w:color w:val="222222"/>
          <w:sz w:val="22"/>
          <w:szCs w:val="22"/>
        </w:rPr>
        <w:t xml:space="preserve">Three additions from our review of the Grant Making Process document, all designed so software gathers evidence and people decide:</w:t>
      </w:r>
    </w:p>
    <w:p>
      <w:pPr>
        <w:pStyle w:val="ListParagraph"/>
        <w:numPr>
          <w:ilvl w:val="0"/>
          <w:numId w:val="2"/>
        </w:numPr>
        <w:spacing w:after="80"/>
      </w:pPr>
      <w:r>
        <w:rPr>
          <w:rFonts w:ascii="Arial" w:cs="Arial" w:eastAsia="Arial" w:hAnsi="Arial"/>
          <w:b/>
          <w:bCs/>
          <w:color w:val="222222"/>
          <w:sz w:val="22"/>
          <w:szCs w:val="22"/>
        </w:rPr>
        <w:t xml:space="preserve">SAM.gov exclusions check. </w:t>
      </w:r>
      <w:r>
        <w:rPr>
          <w:rFonts w:ascii="Arial" w:cs="Arial" w:eastAsia="Arial" w:hAnsi="Arial"/>
          <w:color w:val="222222"/>
          <w:sz w:val="22"/>
          <w:szCs w:val="22"/>
        </w:rPr>
        <w:t xml:space="preserve">Every partner, endorser and financial-service-provider screening now also checks the U.S. SAM.gov exclusions list — the same source the team consulted manually. It activates when we add a free api.data.gov key (team action below).</w:t>
      </w:r>
    </w:p>
    <w:p>
      <w:pPr>
        <w:pStyle w:val="ListParagraph"/>
        <w:numPr>
          <w:ilvl w:val="0"/>
          <w:numId w:val="2"/>
        </w:numPr>
        <w:spacing w:after="80"/>
      </w:pPr>
      <w:r>
        <w:rPr>
          <w:rFonts w:ascii="Arial" w:cs="Arial" w:eastAsia="Arial" w:hAnsi="Arial"/>
          <w:b/>
          <w:bCs/>
          <w:color w:val="222222"/>
          <w:sz w:val="22"/>
          <w:szCs w:val="22"/>
        </w:rPr>
        <w:t xml:space="preserve">AI web check with a human gate. </w:t>
      </w:r>
      <w:r>
        <w:rPr>
          <w:rFonts w:ascii="Arial" w:cs="Arial" w:eastAsia="Arial" w:hAnsi="Arial"/>
          <w:color w:val="222222"/>
          <w:sz w:val="22"/>
          <w:szCs w:val="22"/>
        </w:rPr>
        <w:t xml:space="preserve">On a partner’s media-verification panel, “Run web check” has the AI search public web and news coverage and draft the verdict with sources. Nothing is saved until a team member reviews and confirms it.</w:t>
      </w:r>
    </w:p>
    <w:p>
      <w:pPr>
        <w:pStyle w:val="ListParagraph"/>
        <w:numPr>
          <w:ilvl w:val="0"/>
          <w:numId w:val="2"/>
        </w:numPr>
        <w:spacing w:after="80"/>
      </w:pPr>
      <w:r>
        <w:rPr>
          <w:rFonts w:ascii="Arial" w:cs="Arial" w:eastAsia="Arial" w:hAnsi="Arial"/>
          <w:b/>
          <w:bCs/>
          <w:color w:val="222222"/>
          <w:sz w:val="22"/>
          <w:szCs w:val="22"/>
        </w:rPr>
        <w:t xml:space="preserve">Leadership screening + a formal vetting record. </w:t>
      </w:r>
      <w:r>
        <w:rPr>
          <w:rFonts w:ascii="Arial" w:cs="Arial" w:eastAsia="Arial" w:hAnsi="Arial"/>
          <w:color w:val="222222"/>
          <w:sz w:val="22"/>
          <w:szCs w:val="22"/>
        </w:rPr>
        <w:t xml:space="preserve">Sanctions screening now also checks the leader/contact names from a partner’s intake form, not just the organization. And the OB can record a consolidated vetting assessment — one dated, audited record that says “we reviewed everything and here is our determination.” Panelists also gained a CV upload slot.</w:t>
      </w:r>
    </w:p>
    <w:p>
      <w:pPr>
        <w:pStyle w:val="Heading1"/>
        <w:spacing w:after="100" w:before="280"/>
      </w:pPr>
      <w:r>
        <w:rPr>
          <w:rFonts w:ascii="Arial" w:cs="Arial" w:eastAsia="Arial" w:hAnsi="Arial"/>
          <w:b/>
          <w:bCs/>
          <w:color w:val="FC5810"/>
          <w:sz w:val="26"/>
          <w:szCs w:val="26"/>
        </w:rPr>
        <w:t xml:space="preserve">4. Panel selection by link</w:t>
      </w:r>
    </w:p>
    <w:p>
      <w:pPr>
        <w:spacing w:after="120"/>
      </w:pPr>
      <w:r>
        <w:rPr>
          <w:rFonts w:ascii="Arial" w:cs="Arial" w:eastAsia="Arial" w:hAnsi="Arial"/>
          <w:b w:val="false"/>
          <w:bCs w:val="false"/>
          <w:color w:val="222222"/>
          <w:sz w:val="22"/>
          <w:szCs w:val="22"/>
        </w:rPr>
        <w:t xml:space="preserve">Selection meetings no longer need everyone in one room. The operator opens a vote on the round page and shares personal links by WhatsApp. Each panelist taps their link, sees the candidate partners, and votes once — no login, no app. Votes, the tally and the strict-majority outcome are recorded on the tamper-evident audit trail. Links are single-use; a second attempt is politely refused.</w:t>
      </w:r>
    </w:p>
    <w:p>
      <w:pPr>
        <w:pStyle w:val="Heading1"/>
        <w:spacing w:after="100" w:before="280"/>
      </w:pPr>
      <w:r>
        <w:rPr>
          <w:rFonts w:ascii="Arial" w:cs="Arial" w:eastAsia="Arial" w:hAnsi="Arial"/>
          <w:b/>
          <w:bCs/>
          <w:color w:val="FC5810"/>
          <w:sz w:val="26"/>
          <w:szCs w:val="26"/>
        </w:rPr>
        <w:t xml:space="preserve">5. The donor reporting pipeline (the big one)</w:t>
      </w:r>
    </w:p>
    <w:p>
      <w:pPr>
        <w:spacing w:after="120"/>
      </w:pPr>
      <w:r>
        <w:rPr>
          <w:rFonts w:ascii="Arial" w:cs="Arial" w:eastAsia="Arial" w:hAnsi="Arial"/>
          <w:b w:val="false"/>
          <w:bCs w:val="false"/>
          <w:color w:val="222222"/>
          <w:sz w:val="22"/>
          <w:szCs w:val="22"/>
        </w:rPr>
        <w:t xml:space="preserve">This replaces the Microsoft-Forms-plus-WhatsApp reporting from the pilot, where good answers arrived as unusable free text and photos arrived loose. The new flow:</w:t>
      </w:r>
    </w:p>
    <w:p>
      <w:pPr>
        <w:pStyle w:val="ListParagraph"/>
        <w:numPr>
          <w:ilvl w:val="0"/>
          <w:numId w:val="2"/>
        </w:numPr>
        <w:spacing w:after="80"/>
      </w:pPr>
      <w:r>
        <w:rPr>
          <w:rFonts w:ascii="Arial" w:cs="Arial" w:eastAsia="Arial" w:hAnsi="Arial"/>
          <w:b/>
          <w:bCs/>
          <w:color w:val="222222"/>
          <w:sz w:val="22"/>
          <w:szCs w:val="22"/>
        </w:rPr>
        <w:t xml:space="preserve">Partner, on a phone: </w:t>
      </w:r>
      <w:r>
        <w:rPr>
          <w:rFonts w:ascii="Arial" w:cs="Arial" w:eastAsia="Arial" w:hAnsi="Arial"/>
          <w:color w:val="222222"/>
          <w:sz w:val="22"/>
          <w:szCs w:val="22"/>
        </w:rPr>
        <w:t xml:space="preserve">one reusable link opens their report. They enter numbers against the approved activities (people reached, breakdown by women/men/girls/boys/disability, spend per approved budget line), answer five narrative questions by speaking voice notes (transcribed from Arabic automatically), and add photos, videos, receipts and documents to an evidence shelf with captions. Everything is labeled in English and Arabic, and the report can be filled over days — the same link always reopens their draft.</w:t>
      </w:r>
    </w:p>
    <w:p>
      <w:pPr>
        <w:pStyle w:val="ListParagraph"/>
        <w:numPr>
          <w:ilvl w:val="0"/>
          <w:numId w:val="2"/>
        </w:numPr>
        <w:spacing w:after="80"/>
      </w:pPr>
      <w:r>
        <w:rPr>
          <w:rFonts w:ascii="Arial" w:cs="Arial" w:eastAsia="Arial" w:hAnsi="Arial"/>
          <w:b/>
          <w:bCs/>
          <w:color w:val="222222"/>
          <w:sz w:val="22"/>
          <w:szCs w:val="22"/>
        </w:rPr>
        <w:t xml:space="preserve">The system: </w:t>
      </w:r>
      <w:r>
        <w:rPr>
          <w:rFonts w:ascii="Arial" w:cs="Arial" w:eastAsia="Arial" w:hAnsi="Arial"/>
          <w:color w:val="222222"/>
          <w:sz w:val="22"/>
          <w:szCs w:val="22"/>
        </w:rPr>
        <w:t xml:space="preserve">compiles a bilingual (English/Arabic) narrative report from the numbers, transcripts and captions. The AI compile runs in the background so a partner on a weak connection never waits on it.</w:t>
      </w:r>
    </w:p>
    <w:p>
      <w:pPr>
        <w:pStyle w:val="ListParagraph"/>
        <w:numPr>
          <w:ilvl w:val="0"/>
          <w:numId w:val="2"/>
        </w:numPr>
        <w:spacing w:after="80"/>
      </w:pPr>
      <w:r>
        <w:rPr>
          <w:rFonts w:ascii="Arial" w:cs="Arial" w:eastAsia="Arial" w:hAnsi="Arial"/>
          <w:b/>
          <w:bCs/>
          <w:color w:val="222222"/>
          <w:sz w:val="22"/>
          <w:szCs w:val="22"/>
        </w:rPr>
        <w:t xml:space="preserve">Proximate team: </w:t>
      </w:r>
      <w:r>
        <w:rPr>
          <w:rFonts w:ascii="Arial" w:cs="Arial" w:eastAsia="Arial" w:hAnsi="Arial"/>
          <w:color w:val="222222"/>
          <w:sz w:val="22"/>
          <w:szCs w:val="22"/>
        </w:rPr>
        <w:t xml:space="preserve">reviews on a single page — edit the narrative, see actual spend vs approved budget, listen to voice notes with transcripts. The safeguarding gate: every photo and video starts as internal-only, and the OB must approve each item individually before a donor can see it (this matters when photos show beneficiaries in a conflict zone). The OB then publishes, or requests changes — which reopens the partner’s same link with the notes.</w:t>
      </w:r>
    </w:p>
    <w:p>
      <w:pPr>
        <w:pStyle w:val="ListParagraph"/>
        <w:numPr>
          <w:ilvl w:val="0"/>
          <w:numId w:val="2"/>
        </w:numPr>
        <w:spacing w:after="80"/>
      </w:pPr>
      <w:r>
        <w:rPr>
          <w:rFonts w:ascii="Arial" w:cs="Arial" w:eastAsia="Arial" w:hAnsi="Arial"/>
          <w:b/>
          <w:bCs/>
          <w:color w:val="222222"/>
          <w:sz w:val="22"/>
          <w:szCs w:val="22"/>
        </w:rPr>
        <w:t xml:space="preserve">Donor: </w:t>
      </w:r>
      <w:r>
        <w:rPr>
          <w:rFonts w:ascii="Arial" w:cs="Arial" w:eastAsia="Arial" w:hAnsi="Arial"/>
          <w:color w:val="222222"/>
          <w:sz w:val="22"/>
          <w:szCs w:val="22"/>
        </w:rPr>
        <w:t xml:space="preserve">sees a “Partner reports” section on their dashboard, a clean report page with only approved media, and a branded PDF download.</w:t>
      </w:r>
    </w:p>
    <w:p>
      <w:pPr>
        <w:spacing w:after="120"/>
      </w:pPr>
      <w:r>
        <w:rPr>
          <w:rFonts w:ascii="Arial" w:cs="Arial" w:eastAsia="Arial" w:hAnsi="Arial"/>
          <w:b w:val="false"/>
          <w:bCs w:val="false"/>
          <w:color w:val="222222"/>
          <w:sz w:val="22"/>
          <w:szCs w:val="22"/>
        </w:rPr>
        <w:t xml:space="preserve">The whole journey — partner fill and submit, OB review and per-photo approval, publish, donor view — was exercised end-to-end on the live system using demo data. The Blue Nile round was not touched.</w:t>
      </w:r>
    </w:p>
    <w:p>
      <w:pPr>
        <w:pStyle w:val="Heading1"/>
        <w:spacing w:after="100" w:before="280"/>
      </w:pPr>
      <w:r>
        <w:rPr>
          <w:rFonts w:ascii="Arial" w:cs="Arial" w:eastAsia="Arial" w:hAnsi="Arial"/>
          <w:b/>
          <w:bCs/>
          <w:color w:val="FC5810"/>
          <w:sz w:val="26"/>
          <w:szCs w:val="26"/>
        </w:rPr>
        <w:t xml:space="preserve">6. Same-day refinements to reporting</w:t>
      </w:r>
    </w:p>
    <w:p>
      <w:pPr>
        <w:pStyle w:val="ListParagraph"/>
        <w:numPr>
          <w:ilvl w:val="0"/>
          <w:numId w:val="2"/>
        </w:numPr>
        <w:spacing w:after="80"/>
      </w:pPr>
      <w:r>
        <w:rPr>
          <w:rFonts w:ascii="Arial" w:cs="Arial" w:eastAsia="Arial" w:hAnsi="Arial"/>
          <w:b/>
          <w:bCs/>
          <w:color w:val="222222"/>
          <w:sz w:val="22"/>
          <w:szCs w:val="22"/>
        </w:rPr>
        <w:t xml:space="preserve">Videos scrub. </w:t>
      </w:r>
      <w:r>
        <w:rPr>
          <w:rFonts w:ascii="Arial" w:cs="Arial" w:eastAsia="Arial" w:hAnsi="Arial"/>
          <w:color w:val="222222"/>
          <w:sz w:val="22"/>
          <w:szCs w:val="22"/>
        </w:rPr>
        <w:t xml:space="preserve">Evidence videos and long voice notes now seek instantly instead of downloading whole — important for real field footage on slow connections.</w:t>
      </w:r>
    </w:p>
    <w:p>
      <w:pPr>
        <w:pStyle w:val="ListParagraph"/>
        <w:numPr>
          <w:ilvl w:val="0"/>
          <w:numId w:val="2"/>
        </w:numPr>
        <w:spacing w:after="80"/>
      </w:pPr>
      <w:r>
        <w:rPr>
          <w:rFonts w:ascii="Arial" w:cs="Arial" w:eastAsia="Arial" w:hAnsi="Arial"/>
          <w:b/>
          <w:bCs/>
          <w:color w:val="222222"/>
          <w:sz w:val="22"/>
          <w:szCs w:val="22"/>
        </w:rPr>
        <w:t xml:space="preserve">Currency conversion. </w:t>
      </w:r>
      <w:r>
        <w:rPr>
          <w:rFonts w:ascii="Arial" w:cs="Arial" w:eastAsia="Arial" w:hAnsi="Arial"/>
          <w:color w:val="222222"/>
          <w:sz w:val="22"/>
          <w:szCs w:val="22"/>
        </w:rPr>
        <w:t xml:space="preserve">Partners spend in Sudanese pounds; budgets are approved in dollars. The OB sets the exchange rate once on the review page and every spend line shows its dollar equivalent next to the approved amount, in the page and in the PDF.</w:t>
      </w:r>
    </w:p>
    <w:p>
      <w:pPr>
        <w:pStyle w:val="ListParagraph"/>
        <w:numPr>
          <w:ilvl w:val="0"/>
          <w:numId w:val="2"/>
        </w:numPr>
        <w:spacing w:after="80"/>
      </w:pPr>
      <w:r>
        <w:rPr>
          <w:rFonts w:ascii="Arial" w:cs="Arial" w:eastAsia="Arial" w:hAnsi="Arial"/>
          <w:b/>
          <w:bCs/>
          <w:color w:val="222222"/>
          <w:sz w:val="22"/>
          <w:szCs w:val="22"/>
        </w:rPr>
        <w:t xml:space="preserve">Per-item fix requests. </w:t>
      </w:r>
      <w:r>
        <w:rPr>
          <w:rFonts w:ascii="Arial" w:cs="Arial" w:eastAsia="Arial" w:hAnsi="Arial"/>
          <w:color w:val="222222"/>
          <w:sz w:val="22"/>
          <w:szCs w:val="22"/>
        </w:rPr>
        <w:t xml:space="preserve">Instead of bouncing a whole report, the OB can flag one photo (“please retake in daylight”). The note appears on the partner’s phone page in English and Arabic and clears automatically when they resubmit.</w:t>
      </w:r>
    </w:p>
    <w:p>
      <w:pPr>
        <w:pStyle w:val="ListParagraph"/>
        <w:numPr>
          <w:ilvl w:val="0"/>
          <w:numId w:val="2"/>
        </w:numPr>
        <w:spacing w:after="80"/>
      </w:pPr>
      <w:r>
        <w:rPr>
          <w:rFonts w:ascii="Arial" w:cs="Arial" w:eastAsia="Arial" w:hAnsi="Arial"/>
          <w:b/>
          <w:bCs/>
          <w:color w:val="222222"/>
          <w:sz w:val="22"/>
          <w:szCs w:val="22"/>
        </w:rPr>
        <w:t xml:space="preserve">Approved-activities editor. </w:t>
      </w:r>
      <w:r>
        <w:rPr>
          <w:rFonts w:ascii="Arial" w:cs="Arial" w:eastAsia="Arial" w:hAnsi="Arial"/>
          <w:color w:val="222222"/>
          <w:sz w:val="22"/>
          <w:szCs w:val="22"/>
        </w:rPr>
        <w:t xml:space="preserve">The round page now has a simple card where the team sets each partner’s funded activities and budget lines — the baseline partners report against.</w:t>
      </w:r>
    </w:p>
    <w:p>
      <w:pPr>
        <w:pStyle w:val="ListParagraph"/>
        <w:numPr>
          <w:ilvl w:val="0"/>
          <w:numId w:val="2"/>
        </w:numPr>
        <w:spacing w:after="80"/>
      </w:pPr>
      <w:r>
        <w:rPr>
          <w:rFonts w:ascii="Arial" w:cs="Arial" w:eastAsia="Arial" w:hAnsi="Arial"/>
          <w:b/>
          <w:bCs/>
          <w:color w:val="222222"/>
          <w:sz w:val="22"/>
          <w:szCs w:val="22"/>
        </w:rPr>
        <w:t xml:space="preserve">Branded PDF. </w:t>
      </w:r>
      <w:r>
        <w:rPr>
          <w:rFonts w:ascii="Arial" w:cs="Arial" w:eastAsia="Arial" w:hAnsi="Arial"/>
          <w:color w:val="222222"/>
          <w:sz w:val="22"/>
          <w:szCs w:val="22"/>
        </w:rPr>
        <w:t xml:space="preserve">The donor PDF opens with the Proximate orange header band and brand styling.</w:t>
      </w:r>
    </w:p>
    <w:p>
      <w:pPr>
        <w:pStyle w:val="Heading1"/>
        <w:spacing w:after="100" w:before="280"/>
      </w:pPr>
      <w:r>
        <w:rPr>
          <w:rFonts w:ascii="Arial" w:cs="Arial" w:eastAsia="Arial" w:hAnsi="Arial"/>
          <w:b/>
          <w:bCs/>
          <w:color w:val="FC5810"/>
          <w:sz w:val="26"/>
          <w:szCs w:val="26"/>
        </w:rPr>
        <w:t xml:space="preserve">7. Arabic in the PDF — done properly</w:t>
      </w:r>
    </w:p>
    <w:p>
      <w:pPr>
        <w:spacing w:after="120"/>
      </w:pPr>
      <w:r>
        <w:rPr>
          <w:rFonts w:ascii="Arial" w:cs="Arial" w:eastAsia="Arial" w:hAnsi="Arial"/>
          <w:b w:val="false"/>
          <w:bCs w:val="false"/>
          <w:color w:val="222222"/>
          <w:sz w:val="22"/>
          <w:szCs w:val="22"/>
        </w:rPr>
        <w:t xml:space="preserve">PDFs could previously only render Arabic as broken, disconnected letters, so they were English-only. We embedded the Amiri typeface (an open-licensed Arabic font) plus proper text shaping, and the PDF now renders the partner’s Arabic name, the Arabic summary and Arabic section text as connected, right-to-left script — verified visually on a page generated by the live system. One human step remains: our Arabic reviewer should eyeball one real PDF before Blue Nile reporting starts (see actions).</w:t>
      </w:r>
    </w:p>
    <w:p>
      <w:pPr>
        <w:pStyle w:val="Heading1"/>
        <w:spacing w:after="100" w:before="280"/>
      </w:pPr>
      <w:r>
        <w:rPr>
          <w:rFonts w:ascii="Arial" w:cs="Arial" w:eastAsia="Arial" w:hAnsi="Arial"/>
          <w:b/>
          <w:bCs/>
          <w:color w:val="FC5810"/>
          <w:sz w:val="26"/>
          <w:szCs w:val="26"/>
        </w:rPr>
        <w:t xml:space="preserve">How this was verified</w:t>
      </w:r>
    </w:p>
    <w:p>
      <w:pPr>
        <w:spacing w:after="120"/>
      </w:pPr>
      <w:r>
        <w:rPr>
          <w:rFonts w:ascii="Arial" w:cs="Arial" w:eastAsia="Arial" w:hAnsi="Arial"/>
          <w:b w:val="false"/>
          <w:bCs w:val="false"/>
          <w:color w:val="222222"/>
          <w:sz w:val="22"/>
          <w:szCs w:val="22"/>
        </w:rPr>
        <w:t xml:space="preserve">The automated regression gate grew from 89 to 93 checks across these releases — the new checks permanently pin the report lifecycle, the safeguarding gate (a donor can never see an unapproved photo or the partner’s link), the voting rules, the currency math and the Arabic font embedding. Every release was additionally walked through in a real browser locally, deployed, then re-verified against production using demo rounds only.</w:t>
      </w:r>
    </w:p>
    <w:p>
      <w:pPr>
        <w:pStyle w:val="Heading1"/>
        <w:spacing w:after="100" w:before="280"/>
      </w:pPr>
      <w:r>
        <w:rPr>
          <w:rFonts w:ascii="Arial" w:cs="Arial" w:eastAsia="Arial" w:hAnsi="Arial"/>
          <w:b/>
          <w:bCs/>
          <w:color w:val="FC5810"/>
          <w:sz w:val="26"/>
          <w:szCs w:val="26"/>
        </w:rPr>
        <w:t xml:space="preserve">What we need from the team</w:t>
      </w:r>
    </w:p>
    <w:p>
      <w:pPr>
        <w:pStyle w:val="ListParagraph"/>
        <w:numPr>
          <w:ilvl w:val="0"/>
          <w:numId w:val="2"/>
        </w:numPr>
        <w:spacing w:after="80"/>
      </w:pPr>
      <w:r>
        <w:rPr>
          <w:rFonts w:ascii="Arial" w:cs="Arial" w:eastAsia="Arial" w:hAnsi="Arial"/>
          <w:b/>
          <w:bCs/>
          <w:color w:val="222222"/>
          <w:sz w:val="22"/>
          <w:szCs w:val="22"/>
        </w:rPr>
        <w:t xml:space="preserve">SAM.gov key: </w:t>
      </w:r>
      <w:r>
        <w:rPr>
          <w:rFonts w:ascii="Arial" w:cs="Arial" w:eastAsia="Arial" w:hAnsi="Arial"/>
          <w:color w:val="222222"/>
          <w:sz w:val="22"/>
          <w:szCs w:val="22"/>
        </w:rPr>
        <w:t xml:space="preserve">create a free api.data.gov account and add SAM_GOV_API_KEY to the Railway web service — screening picks it up automatically.</w:t>
      </w:r>
    </w:p>
    <w:p>
      <w:pPr>
        <w:pStyle w:val="ListParagraph"/>
        <w:numPr>
          <w:ilvl w:val="0"/>
          <w:numId w:val="2"/>
        </w:numPr>
        <w:spacing w:after="80"/>
      </w:pPr>
      <w:r>
        <w:rPr>
          <w:rFonts w:ascii="Arial" w:cs="Arial" w:eastAsia="Arial" w:hAnsi="Arial"/>
          <w:b/>
          <w:bCs/>
          <w:color w:val="222222"/>
          <w:sz w:val="22"/>
          <w:szCs w:val="22"/>
        </w:rPr>
        <w:t xml:space="preserve">Arabic check: </w:t>
      </w:r>
      <w:r>
        <w:rPr>
          <w:rFonts w:ascii="Arial" w:cs="Arial" w:eastAsia="Arial" w:hAnsi="Arial"/>
          <w:color w:val="222222"/>
          <w:sz w:val="22"/>
          <w:szCs w:val="22"/>
        </w:rPr>
        <w:t xml:space="preserve">have our Arabic reviewer read one generated report PDF (word order and letter joining) before partners start reporting.</w:t>
      </w:r>
    </w:p>
    <w:p>
      <w:pPr>
        <w:pStyle w:val="ListParagraph"/>
        <w:numPr>
          <w:ilvl w:val="0"/>
          <w:numId w:val="2"/>
        </w:numPr>
        <w:spacing w:after="80"/>
      </w:pPr>
      <w:r>
        <w:rPr>
          <w:rFonts w:ascii="Arial" w:cs="Arial" w:eastAsia="Arial" w:hAnsi="Arial"/>
          <w:b/>
          <w:bCs/>
          <w:color w:val="222222"/>
          <w:sz w:val="22"/>
          <w:szCs w:val="22"/>
        </w:rPr>
        <w:t xml:space="preserve">DNS: </w:t>
      </w:r>
      <w:r>
        <w:rPr>
          <w:rFonts w:ascii="Arial" w:cs="Arial" w:eastAsia="Arial" w:hAnsi="Arial"/>
          <w:color w:val="222222"/>
          <w:sz w:val="22"/>
          <w:szCs w:val="22"/>
        </w:rPr>
        <w:t xml:space="preserve">if not done yet, add the two DNS records for proximate.kuja.org from the 16 July runbook.</w:t>
      </w:r>
    </w:p>
    <w:p>
      <w:pPr>
        <w:pStyle w:val="ListParagraph"/>
        <w:numPr>
          <w:ilvl w:val="0"/>
          <w:numId w:val="2"/>
        </w:numPr>
        <w:spacing w:after="80"/>
      </w:pPr>
      <w:r>
        <w:rPr>
          <w:rFonts w:ascii="Arial" w:cs="Arial" w:eastAsia="Arial" w:hAnsi="Arial"/>
          <w:b/>
          <w:bCs/>
          <w:color w:val="222222"/>
          <w:sz w:val="22"/>
          <w:szCs w:val="22"/>
        </w:rPr>
        <w:t xml:space="preserve">QCF password: </w:t>
      </w:r>
      <w:r>
        <w:rPr>
          <w:rFonts w:ascii="Arial" w:cs="Arial" w:eastAsia="Arial" w:hAnsi="Arial"/>
          <w:color w:val="222222"/>
          <w:sz w:val="22"/>
          <w:szCs w:val="22"/>
        </w:rPr>
        <w:t xml:space="preserve">reminder — QCF should change their temporary password on first login.</w:t>
      </w:r>
    </w:p>
    <w:p>
      <w:pPr>
        <w:pStyle w:val="ListParagraph"/>
        <w:numPr>
          <w:ilvl w:val="0"/>
          <w:numId w:val="2"/>
        </w:numPr>
        <w:spacing w:after="80"/>
      </w:pPr>
      <w:r>
        <w:rPr>
          <w:rFonts w:ascii="Arial" w:cs="Arial" w:eastAsia="Arial" w:hAnsi="Arial"/>
          <w:b/>
          <w:bCs/>
          <w:color w:val="222222"/>
          <w:sz w:val="22"/>
          <w:szCs w:val="22"/>
        </w:rPr>
        <w:t xml:space="preserve">WhatsApp reminders: </w:t>
      </w:r>
      <w:r>
        <w:rPr>
          <w:rFonts w:ascii="Arial" w:cs="Arial" w:eastAsia="Arial" w:hAnsi="Arial"/>
          <w:color w:val="222222"/>
          <w:sz w:val="22"/>
          <w:szCs w:val="22"/>
        </w:rPr>
        <w:t xml:space="preserve">automatic “report due” nudges remain waiting on Meta’s approval of our message templates; links are shared manually until then.</w:t>
      </w:r>
    </w:p>
    <w:p>
      <w:pPr>
        <w:pStyle w:val="Heading1"/>
        <w:spacing w:after="100" w:before="280"/>
      </w:pPr>
      <w:r>
        <w:rPr>
          <w:rFonts w:ascii="Arial" w:cs="Arial" w:eastAsia="Arial" w:hAnsi="Arial"/>
          <w:b/>
          <w:bCs/>
          <w:color w:val="FC5810"/>
          <w:sz w:val="26"/>
          <w:szCs w:val="26"/>
        </w:rPr>
        <w:t xml:space="preserve">Try it in two minutes</w:t>
      </w:r>
    </w:p>
    <w:p>
      <w:pPr>
        <w:spacing w:after="120"/>
      </w:pPr>
      <w:r>
        <w:rPr>
          <w:rFonts w:ascii="Arial" w:cs="Arial" w:eastAsia="Arial" w:hAnsi="Arial"/>
          <w:b w:val="false"/>
          <w:bCs w:val="false"/>
          <w:color w:val="222222"/>
          <w:sz w:val="22"/>
          <w:szCs w:val="22"/>
        </w:rPr>
        <w:t xml:space="preserve">Log in as the demo operator (ob@proximate.org — credentials in Proximate_Test_Access), open the UAT round, and use the “Partner reporting” card: Open reporting, then open the copied link on your phone. Fill a number, record a voice note, add a photo, submit — then publish it from the review page and view it as the demo donor. Please use the UAT round only; the Blue Nile Cycle carries real partner data.</w:t>
      </w:r>
    </w:p>
    <w:p>
      <w:pPr>
        <w:spacing w:before="240"/>
      </w:pPr>
      <w:r>
        <w:rPr>
          <w:rFonts w:ascii="Arial" w:cs="Arial" w:eastAsia="Arial" w:hAnsi="Arial"/>
          <w:color w:val="6B6B6B"/>
          <w:sz w:val="18"/>
          <w:szCs w:val="18"/>
        </w:rPr>
        <w:t xml:space="preserve">Production builds covered: 30047a920 · f8d3dd106 · 350295e02 · 575d321a5 · 82752d8d1 · 2931f20db (live now). Prepared 17 July 2026.</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C5810" w:sz="6" w:space="2"/>
      </w:pBdr>
      <w:spacing w:after="100" w:before="280"/>
      <w:outlineLvl w:val="0"/>
    </w:pPr>
    <w:rPr>
      <w:rFonts w:ascii="Arial" w:cs="Arial" w:eastAsia="Arial" w:hAnsi="Arial"/>
      <w:b/>
      <w:bCs/>
      <w:color w:val="FC58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2026-07-17T04:06:30.580Z</dcterms:created>
  <dcterms:modified xsi:type="dcterms:W3CDTF">2026-07-17T04:06:30.582Z</dcterms:modified>
</cp:coreProperties>
</file>

<file path=docProps/custom.xml><?xml version="1.0" encoding="utf-8"?>
<Properties xmlns="http://schemas.openxmlformats.org/officeDocument/2006/custom-properties" xmlns:vt="http://schemas.openxmlformats.org/officeDocument/2006/docPropsVTypes"/>
</file>