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Arial" w:cs="Arial" w:eastAsia="Arial" w:hAnsi="Arial"/>
          <w:b/>
          <w:bCs/>
          <w:color w:val="C2410C"/>
          <w:sz w:val="84"/>
          <w:szCs w:val="84"/>
        </w:rPr>
        <w:t xml:space="preserve">KUJA</w:t>
      </w:r>
    </w:p>
    <w:p>
      <w:pPr>
        <w:spacing w:after="0" w:before="80"/>
      </w:pPr>
      <w:r>
        <w:rPr>
          <w:rFonts w:ascii="Arial" w:cs="Arial" w:eastAsia="Arial" w:hAnsi="Arial"/>
          <w:b/>
          <w:bCs/>
          <w:color w:val="1A1410"/>
          <w:sz w:val="52"/>
          <w:szCs w:val="52"/>
        </w:rPr>
        <w:t xml:space="preserve">Product &amp; Market Analysis</w:t>
      </w:r>
    </w:p>
    <w:p>
      <w:pPr>
        <w:spacing w:after="0" w:before="200"/>
      </w:pPr>
      <w:r>
        <w:rPr>
          <w:rFonts w:ascii="Arial" w:cs="Arial" w:eastAsia="Arial" w:hAnsi="Arial"/>
          <w:i/>
          <w:iCs/>
          <w:color w:val="7C2D12"/>
          <w:sz w:val="30"/>
          <w:szCs w:val="30"/>
        </w:rPr>
        <w:t xml:space="preserve">One platform. Three products. One flywheel.</w:t>
      </w:r>
    </w:p>
    <w:p>
      <w:pPr>
        <w:spacing w:after="0" w:before="60"/>
      </w:pPr>
      <w:r>
        <w:rPr>
          <w:rFonts w:ascii="Arial" w:cs="Arial" w:eastAsia="Arial" w:hAnsi="Arial"/>
          <w:i/>
          <w:iCs/>
          <w:color w:val="6B6660"/>
          <w:sz w:val="24"/>
          <w:szCs w:val="24"/>
        </w:rPr>
        <w:t xml:space="preserve">The whole-suite view — Marketplace, Grant, and ERP</w:t>
      </w:r>
    </w:p>
    <w:p>
      <w:pPr>
        <w:spacing w:after="0" w:before="7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No competitor owns the full loop from discovery through funding through operations.</w:t>
            </w:r>
          </w:p>
          <w:p>
            <w:pPr>
              <w:spacing w:before="80"/>
            </w:pPr>
            <w:r>
              <w:rPr>
                <w:rFonts w:ascii="Arial" w:cs="Arial" w:eastAsia="Arial" w:hAnsi="Arial"/>
                <w:color w:val="1A1410"/>
                <w:sz w:val="22"/>
                <w:szCs w:val="22"/>
              </w:rPr>
              <w:t xml:space="preserve">Kuja is one platform sold as three products that sell each other. Marketplace creates the supply of trusted organizations; Grant monetizes the funding relationship; ERP deepens it and feeds live data back into the Trust Profile and grant compliance. One customer record, one Trust Profile, one AI memory, one audit chain — proven across four live tenants.</w:t>
            </w:r>
          </w:p>
        </w:tc>
      </w:tr>
    </w:tbl>
    <w:p>
      <w:pPr>
        <w:spacing w:after="0" w:before="700"/>
      </w:pPr>
      <w:r>
        <w:t xml:space="preserve"/>
      </w:r>
    </w:p>
    <w:p>
      <w:pPr>
        <w:spacing w:after="0" w:before="200"/>
      </w:pPr>
      <w:r>
        <w:rPr>
          <w:rFonts w:ascii="Arial" w:cs="Arial" w:eastAsia="Arial" w:hAnsi="Arial"/>
          <w:b/>
          <w:bCs/>
          <w:color w:val="6B6660"/>
          <w:sz w:val="22"/>
          <w:szCs w:val="22"/>
        </w:rPr>
        <w:t xml:space="preserve">July 2026 · Companion to Business Strategy V3.9, Pitch Deck V12, Grant Market Analysis (July 2026 R2), and the Strategy Cohesion Brief</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and network secretariats</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is the operating system for locally-led funding. Adeso — a Somali-founded, Nairobi-based social enterprise — has spent eighteen months building, in production, what the sector has argued about for a decade. This analysis takes the whole-suite view: not the grant product alone (covered in the companion Kuja Grant Market Analysis, July 2026 R2), but the three integrated products, the market each addresses, the competitors in each, and the flywheel that makes the combination something no single vendor can match.</w:t>
      </w:r>
    </w:p>
    <w:p>
      <w:pPr>
        <w:spacing w:after="80" w:before="60" w:line="300"/>
        <w:jc w:val="left"/>
      </w:pPr>
      <w:r>
        <w:rPr>
          <w:rFonts w:ascii="Arial" w:cs="Arial" w:eastAsia="Arial" w:hAnsi="Arial"/>
          <w:b/>
          <w:bCs/>
          <w:color w:val="1A1410"/>
          <w:sz w:val="22"/>
          <w:szCs w:val="22"/>
        </w:rPr>
        <w:t xml:space="preserve">The suite in one paragraph. </w:t>
      </w:r>
      <w:r>
        <w:rPr>
          <w:rFonts w:ascii="Arial" w:cs="Arial" w:eastAsia="Arial" w:hAnsi="Arial"/>
          <w:color w:val="1A1410"/>
          <w:sz w:val="22"/>
          <w:szCs w:val="22"/>
        </w:rPr>
        <w:t xml:space="preserve">Kuja Marketplace creates the supply of trusted Global South organizations and issues each one a portable Trust Profile. Kuja Grant runs the full grant lifecycle on that trust — one engine configured as four live tenants that span the entire trust spectrum. Kuja ERP is the nonprofit ledger that keeps the Trust Profile earned and current and gives donors real-time visibility into grant-scoped spend. All three share one customer record, one Trust Profile, one AI memory, and one hash-anchored audit chain. A feature shipped for one customer is available to every customer the next deploy.</w:t>
      </w:r>
    </w:p>
    <w:p>
      <w:pPr>
        <w:pStyle w:val="Heading2"/>
        <w:spacing w:after="140" w:before="280"/>
      </w:pPr>
      <w:r>
        <w:rPr>
          <w:rFonts w:ascii="Arial" w:cs="Arial" w:eastAsia="Arial" w:hAnsi="Arial"/>
          <w:b/>
          <w:bCs/>
          <w:color w:val="7C2D12"/>
          <w:sz w:val="28"/>
          <w:szCs w:val="28"/>
        </w:rPr>
        <w:t xml:space="preserve">1.1 Why now — the verified market opening</w:t>
      </w:r>
    </w:p>
    <w:p>
      <w:pPr>
        <w:pStyle w:val="ListParagraph"/>
        <w:numPr>
          <w:ilvl w:val="0"/>
          <w:numId w:val="2"/>
        </w:numPr>
        <w:spacing w:after="60" w:before="30" w:line="280"/>
      </w:pPr>
      <w:r>
        <w:rPr>
          <w:rFonts w:ascii="Arial" w:cs="Arial" w:eastAsia="Arial" w:hAnsi="Arial"/>
          <w:b/>
          <w:bCs/>
          <w:color w:val="1A1410"/>
          <w:sz w:val="22"/>
          <w:szCs w:val="22"/>
        </w:rPr>
        <w:t xml:space="preserve">The funding model has been dismantled and is being rebuilt. </w:t>
      </w:r>
      <w:r>
        <w:rPr>
          <w:rFonts w:ascii="Arial" w:cs="Arial" w:eastAsia="Arial" w:hAnsi="Arial"/>
          <w:color w:val="1A1410"/>
          <w:sz w:val="22"/>
          <w:szCs w:val="22"/>
        </w:rPr>
        <w:t xml:space="preserve">OECD ODA fell 23.1% in real terms in 2025 — the largest annual decline ever recorded (OECD, April 2026). USAID was officially closed on 1 July 2025; 86% of its programs — $75.9B in value — were terminated (Reuters/Donor Tracker, 2025–2026). The infrastructure that ran the old model is gone; the replacement is being chosen now.</w:t>
      </w:r>
    </w:p>
    <w:p>
      <w:pPr>
        <w:pStyle w:val="ListParagraph"/>
        <w:numPr>
          <w:ilvl w:val="0"/>
          <w:numId w:val="2"/>
        </w:numPr>
        <w:spacing w:after="60" w:before="30" w:line="280"/>
      </w:pPr>
      <w:r>
        <w:rPr>
          <w:rFonts w:ascii="Arial" w:cs="Arial" w:eastAsia="Arial" w:hAnsi="Arial"/>
          <w:b/>
          <w:bCs/>
          <w:color w:val="1A1410"/>
          <w:sz w:val="22"/>
          <w:szCs w:val="22"/>
        </w:rPr>
        <w:t xml:space="preserve">Localization is failing operationally, not politically. </w:t>
      </w:r>
      <w:r>
        <w:rPr>
          <w:rFonts w:ascii="Arial" w:cs="Arial" w:eastAsia="Arial" w:hAnsi="Arial"/>
          <w:color w:val="1A1410"/>
          <w:sz w:val="22"/>
          <w:szCs w:val="22"/>
        </w:rPr>
        <w:t xml:space="preserve">Total funding reaching local and national actors fell to 7.5% in 2024 (ALNAP GHA 2025) against a 25% Grand Bargain target; direct-only measures sit at roughly 3.1% across donors and 0.6% from Grand Bargain signatories. The diagnosis has shifted from "more political will" to "infrastructure local actors can use and donors will trust."</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architectural opening. </w:t>
      </w:r>
      <w:r>
        <w:rPr>
          <w:rFonts w:ascii="Arial" w:cs="Arial" w:eastAsia="Arial" w:hAnsi="Arial"/>
          <w:color w:val="1A1410"/>
          <w:sz w:val="22"/>
          <w:szCs w:val="22"/>
        </w:rPr>
        <w:t xml:space="preserve">92% of nonprofits report using AI, but only 7% report major organizational impact (Virtuous + Fundraising.AI, 2026); 97% of foundations are NOT yet using generative AI to screen applications (Candid, 2024). Legacy vendors are bolting AI onto rigid data models. The window for an AI-native, provenance-bearing challenger is open now and closes as incumbents re-architect.</w:t>
      </w:r>
    </w:p>
    <w:p>
      <w:pPr>
        <w:pStyle w:val="ListParagraph"/>
        <w:numPr>
          <w:ilvl w:val="0"/>
          <w:numId w:val="2"/>
        </w:numPr>
        <w:spacing w:after="60" w:before="30" w:line="280"/>
      </w:pPr>
      <w:r>
        <w:rPr>
          <w:rFonts w:ascii="Arial" w:cs="Arial" w:eastAsia="Arial" w:hAnsi="Arial"/>
          <w:b/>
          <w:bCs/>
          <w:color w:val="1A1410"/>
          <w:sz w:val="22"/>
          <w:szCs w:val="22"/>
        </w:rPr>
        <w:t xml:space="preserve">Trust-based capital needs a delivery vehicle. </w:t>
      </w:r>
      <w:r>
        <w:rPr>
          <w:rFonts w:ascii="Arial" w:cs="Arial" w:eastAsia="Arial" w:hAnsi="Arial"/>
          <w:color w:val="1A1410"/>
          <w:sz w:val="22"/>
          <w:szCs w:val="22"/>
        </w:rPr>
        <w:t xml:space="preserve">MacKenzie Scott gave $7.1B in 2025 alone ($19B+ cumulative); Ford BUILD has committed $1.6B across 600 grants in 45 countries; IKEA Foundation paid out €349M in 2024. Unrestricted operational-strengthening capital is flowing into exactly the segment Kuja serves — faster than supply-side maturity can absorb it.</w:t>
      </w:r>
    </w:p>
    <w:p>
      <w:pPr>
        <w:pStyle w:val="Heading2"/>
        <w:spacing w:after="140" w:before="280"/>
      </w:pPr>
      <w:r>
        <w:rPr>
          <w:rFonts w:ascii="Arial" w:cs="Arial" w:eastAsia="Arial" w:hAnsi="Arial"/>
          <w:b/>
          <w:bCs/>
          <w:color w:val="7C2D12"/>
          <w:sz w:val="28"/>
          <w:szCs w:val="28"/>
        </w:rPr>
        <w:t xml:space="preserve">1.2 What the suite is worth reading for</w:t>
      </w:r>
    </w:p>
    <w:p>
      <w:pPr>
        <w:spacing w:after="80" w:before="60" w:line="300"/>
        <w:jc w:val="left"/>
      </w:pPr>
      <w:r>
        <w:rPr>
          <w:rFonts w:ascii="Arial" w:cs="Arial" w:eastAsia="Arial" w:hAnsi="Arial"/>
          <w:color w:val="1A1410"/>
          <w:sz w:val="22"/>
          <w:szCs w:val="22"/>
        </w:rPr>
        <w:t xml:space="preserve">Sections 2–3 set out the market moment and the three-product suite with its flywheel and its four live tenants. Section 4 sizes the market across all three products (TAM/SAM/SOM) with an explicit note on which figures are sourced and which are directional. Sections 5–6 map the six customer segments and the competitor set product by product, ending in the integrated moat. Sections 7–8 cover trust and AI — the two properties that cut across every product. Section 9 is the honest traction picture: four tenants live in production, two of them (Proximate and Saxansaxo) at opposite extremes of the control spectrum, plus the gaps we have not yet closed. Sections 10–12 summarise go-to-market and pricing (developed in full in Strategy V3.9), risks,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single most important claim in this document: the product is the linkage. </w:t>
            </w:r>
          </w:p>
          <w:p>
            <w:pPr>
              <w:spacing w:before="80"/>
            </w:pPr>
            <w:r>
              <w:rPr>
                <w:rFonts w:ascii="Arial" w:cs="Arial" w:eastAsia="Arial" w:hAnsi="Arial"/>
                <w:color w:val="1A1410"/>
                <w:sz w:val="22"/>
                <w:szCs w:val="22"/>
              </w:rPr>
              <w:t xml:space="preserve">Every competitor in Section 6 wins a box in a feature grid. None owns discovery → funding → operations as one data model where each step makes the next more valuable. Replicating any one product is an engineering project; replicating the loop is an architectural rebuild the incumbents have not started.</w:t>
            </w:r>
          </w:p>
        </w:tc>
      </w:tr>
    </w:tbl>
    <w:p>
      <w:pPr>
        <w:pStyle w:val="Heading1"/>
        <w:pageBreakBefore/>
        <w:spacing w:after="200" w:before="320"/>
      </w:pPr>
      <w:r>
        <w:rPr>
          <w:rFonts w:ascii="Arial" w:cs="Arial" w:eastAsia="Arial" w:hAnsi="Arial"/>
          <w:b/>
          <w:bCs/>
          <w:color w:val="C2410C"/>
          <w:sz w:val="36"/>
          <w:szCs w:val="36"/>
        </w:rPr>
        <w:t xml:space="preserve">2. The Market Moment</w:t>
      </w:r>
    </w:p>
    <w:p>
      <w:pPr>
        <w:spacing w:after="80" w:before="60" w:line="300"/>
        <w:jc w:val="left"/>
      </w:pPr>
      <w:r>
        <w:rPr>
          <w:rFonts w:ascii="Arial" w:cs="Arial" w:eastAsia="Arial" w:hAnsi="Arial"/>
          <w:color w:val="1A1410"/>
          <w:sz w:val="22"/>
          <w:szCs w:val="22"/>
        </w:rPr>
        <w:t xml:space="preserve">The aid system has been reshaped in real time over the last twenty-four months. Six trend lines are converging — each verified against the most authoritative public source available. They are developed in full in Business Strategy V3.9 Section 2; the compressed version follows because they define the demand this suite is built for.</w:t>
      </w:r>
    </w:p>
    <w:p>
      <w:pPr>
        <w:pStyle w:val="Heading2"/>
        <w:spacing w:after="140" w:before="280"/>
      </w:pPr>
      <w:r>
        <w:rPr>
          <w:rFonts w:ascii="Arial" w:cs="Arial" w:eastAsia="Arial" w:hAnsi="Arial"/>
          <w:b/>
          <w:bCs/>
          <w:color w:val="7C2D12"/>
          <w:sz w:val="28"/>
          <w:szCs w:val="28"/>
        </w:rPr>
        <w:t xml:space="preserve">2.1 The post-USAID funding shock</w:t>
      </w:r>
    </w:p>
    <w:p>
      <w:pPr>
        <w:spacing w:after="80" w:before="60" w:line="300"/>
        <w:jc w:val="left"/>
      </w:pPr>
      <w:r>
        <w:rPr>
          <w:rFonts w:ascii="Arial" w:cs="Arial" w:eastAsia="Arial" w:hAnsi="Arial"/>
          <w:color w:val="1A1410"/>
          <w:sz w:val="22"/>
          <w:szCs w:val="22"/>
        </w:rPr>
        <w:t xml:space="preserve">USAID was officially closed on 1 July 2025, staffing reduced to a statutory minimum, remaining programs transferred to the State Department (Donor Tracker, 2025). Later figures show 86% of programs terminated — 5,341 contracts representing $75.9B in program value (Reuters via Malay Mail, 2025). Total 2025 ODA from DAC donors was $174.3B, down 23.1% in real terms — the largest annual decline ever recorded; Germany overtook the United States as the largest DAC donor (OECD, April 2026). The cuts are systemic, not USAID-only: FCDO, BMZ, Sida, and GAC have all cut or re-based.</w:t>
      </w:r>
    </w:p>
    <w:p>
      <w:pPr>
        <w:pStyle w:val="Heading2"/>
        <w:spacing w:after="140" w:before="280"/>
      </w:pPr>
      <w:r>
        <w:rPr>
          <w:rFonts w:ascii="Arial" w:cs="Arial" w:eastAsia="Arial" w:hAnsi="Arial"/>
          <w:b/>
          <w:bCs/>
          <w:color w:val="7C2D12"/>
          <w:sz w:val="28"/>
          <w:szCs w:val="28"/>
        </w:rPr>
        <w:t xml:space="preserve">2.2 Localization is stuck after a decade of pledges</w:t>
      </w:r>
    </w:p>
    <w:p>
      <w:pPr>
        <w:spacing w:after="80" w:before="60" w:line="300"/>
        <w:jc w:val="left"/>
      </w:pPr>
      <w:r>
        <w:rPr>
          <w:rFonts w:ascii="Arial" w:cs="Arial" w:eastAsia="Arial" w:hAnsi="Arial"/>
          <w:color w:val="1A1410"/>
          <w:sz w:val="22"/>
          <w:szCs w:val="22"/>
        </w:rPr>
        <w:t xml:space="preserve">Total funding (direct + indirect) reaching local and national actors fell to 7.5% in 2024 — characterised by ALNAP as "stagnation and reversal" (Global Humanitarian Assistance Report 2025). Direct-only measures are lower still: roughly 3.1% across all donors and 0.6% from Grand Bargain signatories. All sit far below the 25% target signed in 2016. The bright spot proves the point: OCHA Country-Based Pooled Funds lifted local-NGO share from 22.8% (2016) to 34% (2021) — the gap is operational, not aspirational.</w:t>
      </w:r>
    </w:p>
    <w:p>
      <w:pPr>
        <w:pStyle w:val="Heading2"/>
        <w:spacing w:after="140" w:before="280"/>
      </w:pPr>
      <w:r>
        <w:rPr>
          <w:rFonts w:ascii="Arial" w:cs="Arial" w:eastAsia="Arial" w:hAnsi="Arial"/>
          <w:b/>
          <w:bCs/>
          <w:color w:val="7C2D12"/>
          <w:sz w:val="28"/>
          <w:szCs w:val="28"/>
        </w:rPr>
        <w:t xml:space="preserve">2.3 Foundations pivot to direct and unrestricted</w:t>
      </w:r>
    </w:p>
    <w:p>
      <w:pPr>
        <w:spacing w:after="80" w:before="60" w:line="300"/>
        <w:jc w:val="left"/>
      </w:pPr>
      <w:r>
        <w:rPr>
          <w:rFonts w:ascii="Arial" w:cs="Arial" w:eastAsia="Arial" w:hAnsi="Arial"/>
          <w:color w:val="1A1410"/>
          <w:sz w:val="22"/>
          <w:szCs w:val="22"/>
        </w:rPr>
        <w:t xml:space="preserve">OECD reports private philanthropy to developing countries at $68.2B over 2020–2023, of which only 11% reached local entities directly (Private Philanthropy for Development, 3rd Edition, Dec 2025). The trust-based funders closing that gap — MacKenzie Scott ($7.1B in 2025; $19B+ cumulative to 2,000+ nonprofits), Ford BUILD ($1.6B/600 grants/45 countries), IKEA Foundation (€349M in 2024), Co-Impact — are funding unrestricted operational strengthening. That capital needs a vehicle that makes funded organizations verifiably stronger and keeps their trust standing current. That is the flywheel.</w:t>
      </w:r>
    </w:p>
    <w:p>
      <w:pPr>
        <w:pStyle w:val="Heading2"/>
        <w:spacing w:after="140" w:before="280"/>
      </w:pPr>
      <w:r>
        <w:rPr>
          <w:rFonts w:ascii="Arial" w:cs="Arial" w:eastAsia="Arial" w:hAnsi="Arial"/>
          <w:b/>
          <w:bCs/>
          <w:color w:val="7C2D12"/>
          <w:sz w:val="28"/>
          <w:szCs w:val="28"/>
        </w:rPr>
        <w:t xml:space="preserve">2.4 AI is the architectural opportunity — and multilingual is a moat</w:t>
      </w:r>
    </w:p>
    <w:p>
      <w:pPr>
        <w:spacing w:after="80" w:before="60" w:line="300"/>
        <w:jc w:val="left"/>
      </w:pPr>
      <w:r>
        <w:rPr>
          <w:rFonts w:ascii="Arial" w:cs="Arial" w:eastAsia="Arial" w:hAnsi="Arial"/>
          <w:color w:val="1A1410"/>
          <w:sz w:val="22"/>
          <w:szCs w:val="22"/>
        </w:rPr>
        <w:t xml:space="preserve">AI adoption is universal but impact is not: 92% of nonprofits use AI, 7% report major impact (Virtuous + Fundraising.AI, 2026). On the grantmaker side it is earlier still — 97% of foundations are not using generative AI to screen applications, and only 1 in 10 funders would accept AI-generated proposal content (Candid, 2024). Two governance tailwinds — Humanity AI ($500M / 5 years; Ford, MacArthur, and 8 funders, Oct 2025) and the Gates Foundation AI Principles plus a $200M / 4-year Anthropic partnership (2026) — push toward grounded, auditable, citation-bearing AI. Meanwhile more than 98% of African languages remain unsupported by mainstream LLMs (arXiv:2502.19582), and LLMs systematically score non-Western entities lower (Invisible Filters, AIES 2025). Kuja’s six-language parity (EN, FR, AR, SW, SO, ES), Whisper fallback for Somali/Swahili/Arabic, and grounded-with-citation architecture were designed for exactly this gap.</w:t>
      </w:r>
    </w:p>
    <w:p>
      <w:pPr>
        <w:pStyle w:val="Heading1"/>
        <w:pageBreakBefore/>
        <w:spacing w:after="200" w:before="320"/>
      </w:pPr>
      <w:r>
        <w:rPr>
          <w:rFonts w:ascii="Arial" w:cs="Arial" w:eastAsia="Arial" w:hAnsi="Arial"/>
          <w:b/>
          <w:bCs/>
          <w:color w:val="C2410C"/>
          <w:sz w:val="36"/>
          <w:szCs w:val="36"/>
        </w:rPr>
        <w:t xml:space="preserve">3. The Product Suite — Three Products, One Flywheel</w:t>
      </w:r>
    </w:p>
    <w:p>
      <w:pPr>
        <w:spacing w:after="80" w:before="60" w:line="300"/>
        <w:jc w:val="left"/>
      </w:pPr>
      <w:r>
        <w:rPr>
          <w:rFonts w:ascii="Arial" w:cs="Arial" w:eastAsia="Arial" w:hAnsi="Arial"/>
          <w:color w:val="1A1410"/>
          <w:sz w:val="22"/>
          <w:szCs w:val="22"/>
        </w:rPr>
        <w:t xml:space="preserve">Kuja is one platform sold as three products that sell each other. Talking about them as separate pillars undersells the offer: the end-to-end integration is the unique value proposition. What follows is what each product is, who buys it, and how the linkage compounds.</w:t>
      </w:r>
    </w:p>
    <w:p>
      <w:pPr>
        <w:pStyle w:val="Heading2"/>
        <w:spacing w:after="140" w:before="280"/>
      </w:pPr>
      <w:r>
        <w:rPr>
          <w:rFonts w:ascii="Arial" w:cs="Arial" w:eastAsia="Arial" w:hAnsi="Arial"/>
          <w:b/>
          <w:bCs/>
          <w:color w:val="7C2D12"/>
          <w:sz w:val="28"/>
          <w:szCs w:val="28"/>
        </w:rPr>
        <w:t xml:space="preserve">3.1 Kuja Marketplace — discovery, networking, and the Trust Profile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freemium for CSOs and CSO networks; a paid full Trust Profile for organizations that want verified standing; a paid discovery subscription for donors and intermediaries.</w:t>
      </w:r>
    </w:p>
    <w:p>
      <w:pPr>
        <w:spacing w:after="80" w:before="60" w:line="300"/>
        <w:jc w:val="left"/>
      </w:pPr>
      <w:r>
        <w:rPr>
          <w:rFonts w:ascii="Arial" w:cs="Arial" w:eastAsia="Arial" w:hAnsi="Arial"/>
          <w:color w:val="1A1410"/>
          <w:sz w:val="22"/>
          <w:szCs w:val="22"/>
        </w:rPr>
        <w:t xml:space="preserve">The Marketplace is the front door and the supply side of the flywheel. A free networking layer — public profile, discussion spaces, resource library, free grant listings — is open to any organization. On top of it sits the paid full Trust Profile: verification across identity, registration, sanctions, adverse media, banking, and capacity; a verification mark; guided improvement recommendations; and active surfacing to donors whose criteria the organization fits. The Trust Profile is portable — verified due-diligence travels with the organization to any donor and any grant on the platform. Donors discover organizations matched to their criteria through AI-grounded recommendations that cite actual evidence.</w:t>
      </w:r>
    </w:p>
    <w:p>
      <w:pPr>
        <w:pStyle w:val="Heading2"/>
        <w:spacing w:after="140" w:before="280"/>
      </w:pPr>
      <w:r>
        <w:rPr>
          <w:rFonts w:ascii="Arial" w:cs="Arial" w:eastAsia="Arial" w:hAnsi="Arial"/>
          <w:b/>
          <w:bCs/>
          <w:color w:val="7C2D12"/>
          <w:sz w:val="28"/>
          <w:szCs w:val="28"/>
        </w:rPr>
        <w:t xml:space="preserve">3.2 Kuja Grant — one engine, the full trust spectrum, four live tenants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INGOs, family offices, bilateral donors, donor-advised funds, and network secretariats. SaaS tier by organization type and workflow volume.</w:t>
      </w:r>
    </w:p>
    <w:p>
      <w:pPr>
        <w:spacing w:after="80" w:before="60" w:line="300"/>
        <w:jc w:val="left"/>
      </w:pPr>
      <w:r>
        <w:rPr>
          <w:rFonts w:ascii="Arial" w:cs="Arial" w:eastAsia="Arial" w:hAnsi="Arial"/>
          <w:color w:val="1A1410"/>
          <w:sz w:val="22"/>
          <w:szCs w:val="22"/>
        </w:rPr>
        <w:t xml:space="preserve">Kuja Grant runs the full lifecycle from grant design to compliance close-out: donors design grants in a wizard with AI grounded in their own program documents; NGOs apply with AI assistance; reviewer panels are auto-assigned, calibrated, anonymous to the applicant, and surfaced with per-criterion evidence citations; reporting is AI-evaluated against the agreement, per requirement, with structured compliance signals. It is a single product that ships in four operating modes the product team calls "flavors" — all sharing one lifecycle engine, one set of 35+ AI surfaces, one Trust Profile, and one hash-anchored audit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Flavor (tenant)</w:t>
            </w:r>
          </w:p>
        </w:tc>
        <w:tc>
          <w:tcPr>
            <w:tcW w:type="dxa" w:w="363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Trust model</w:t>
            </w:r>
          </w:p>
        </w:tc>
        <w:tc>
          <w:tcPr>
            <w:tcW w:type="dxa" w:w="363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Live proof</w:t>
            </w:r>
          </w:p>
        </w:tc>
      </w:tr>
      <w:tr>
        <w:tc>
          <w:tcPr>
            <w:tcW w:type="dxa" w:w="2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Open Marketplace</w:t>
            </w:r>
          </w:p>
        </w:tc>
        <w:tc>
          <w:tcPr>
            <w:tcW w:type="dxa" w:w="363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Self-registration; document-based Trust Profile any Global South NGO can build.</w:t>
            </w:r>
          </w:p>
        </w:tc>
        <w:tc>
          <w:tcPr>
            <w:tcW w:type="dxa" w:w="363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Live — the open supply tier feeding every other flavor.</w:t>
            </w:r>
          </w:p>
        </w:tc>
      </w:tr>
      <w:tr>
        <w:tc>
          <w:tcPr>
            <w:tcW w:type="dxa" w:w="2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Closed Network (NEAR)</w:t>
            </w:r>
          </w:p>
        </w:tc>
        <w:tc>
          <w:tcPr>
            <w:tcW w:type="dxa" w:w="363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Formal vetting: registration verification, a mandatory capacity gate, multi-sig Oversight-Body governance.</w:t>
            </w:r>
          </w:p>
        </w:tc>
        <w:tc>
          <w:tcPr>
            <w:tcW w:type="dxa" w:w="363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Reference architecture; NEAR is the lead Motion D prospect.</w:t>
            </w:r>
          </w:p>
        </w:tc>
      </w:tr>
      <w:tr>
        <w:tc>
          <w:tcPr>
            <w:tcW w:type="dxa" w:w="2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Crisis-Context Fund (Proximate, Sudan)</w:t>
            </w:r>
          </w:p>
        </w:tc>
        <w:tc>
          <w:tcPr>
            <w:tcW w:type="dxa" w:w="363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Relational validation replaces registration where civil registries have collapsed; community endorsers vouch while COI, reputation weighting, and sanctions screening run underneath; hawala + mobile money as first-class rails; zero-login Arabic voice onboarding.</w:t>
            </w:r>
          </w:p>
        </w:tc>
        <w:tc>
          <w:tcPr>
            <w:tcW w:type="dxa" w:w="363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Live since July 2026 — more control than any incumbent offers.</w:t>
            </w:r>
          </w:p>
        </w:tc>
      </w:tr>
      <w:tr>
        <w:tc>
          <w:tcPr>
            <w:tcW w:type="dxa" w:w="2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Community-Led / SCLR (Saxansaxo, Somalia)</w:t>
            </w:r>
          </w:p>
        </w:tc>
        <w:tc>
          <w:tcPr>
            <w:tcW w:type="dxa" w:w="363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Deliberately minimal oversight: an eight-step SCLR cycle, a 10-day clock from selection to money in hand, no receipts and no spend policing — with only a sanctions screen on the signatory and a record of who was paid running invisibly underneath.</w:t>
            </w:r>
          </w:p>
        </w:tc>
        <w:tc>
          <w:tcPr>
            <w:tcW w:type="dxa" w:w="363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Live since 20 July 2026 — signed design to live tenant in fifteen days.</w:t>
            </w:r>
          </w:p>
        </w:tc>
      </w:tr>
    </w:tbl>
    <w:p>
      <w:pPr>
        <w:spacing w:after="80" w:before="60" w:line="300"/>
        <w:jc w:val="left"/>
      </w:pPr>
      <w:r>
        <w:rPr>
          <w:rFonts w:ascii="Arial" w:cs="Arial" w:eastAsia="Arial" w:hAnsi="Arial"/>
          <w:b/>
          <w:bCs/>
          <w:color w:val="1A1410"/>
          <w:sz w:val="22"/>
          <w:szCs w:val="22"/>
        </w:rPr>
        <w:t xml:space="preserve">The market significance: </w:t>
      </w:r>
      <w:r>
        <w:rPr>
          <w:rFonts w:ascii="Arial" w:cs="Arial" w:eastAsia="Arial" w:hAnsi="Arial"/>
          <w:color w:val="1A1410"/>
          <w:sz w:val="22"/>
          <w:szCs w:val="22"/>
        </w:rPr>
        <w:t xml:space="preserve">Proximate demanded more control than any incumbent grant system offers; Saxansaxo demanded less than any of them would tolerate. Both run as configurations of the same engine, shipped without a fork, in two of the hardest operating environments on earth. No incumbent can serve both clients on one product; Kuja serves both on one codebase.</w:t>
      </w:r>
    </w:p>
    <w:p>
      <w:pPr>
        <w:spacing w:after="80" w:before="60" w:line="300"/>
        <w:jc w:val="left"/>
      </w:pPr>
      <w:r>
        <w:rPr>
          <w:rFonts w:ascii="Arial" w:cs="Arial" w:eastAsia="Arial" w:hAnsi="Arial"/>
          <w:b/>
          <w:bCs/>
          <w:color w:val="1A1410"/>
          <w:sz w:val="22"/>
          <w:szCs w:val="22"/>
        </w:rPr>
        <w:t xml:space="preserve">The donor-compliance loop. </w:t>
      </w:r>
      <w:r>
        <w:rPr>
          <w:rFonts w:ascii="Arial" w:cs="Arial" w:eastAsia="Arial" w:hAnsi="Arial"/>
          <w:color w:val="1A1410"/>
          <w:sz w:val="22"/>
          <w:szCs w:val="22"/>
        </w:rPr>
        <w:t xml:space="preserve">Kuja Grant closes the loop upstream as well as down. The operator uploads a signed grant agreement; AI extracts amounts, dates, reporting cadence, deliverables, and restrictions into a human-confirmed record; from then on the system enforces the agreement — a disbursement that would breach a geographic or co-funding restriction is refused automatically, citing the clause. AI drafts each donor report from real allocation and outcome data under a no-invented-numbers rule; every report is scored per requirement; a one-click donor-pack PDF assembles the reconciliation, deliverables, and narrative with an audit-chain anchor. Adeso is its own first customer — it manages its obligations to the donors funding Proximate on the very engine it sells.</w:t>
      </w:r>
    </w:p>
    <w:p>
      <w:pPr>
        <w:pStyle w:val="Heading2"/>
        <w:spacing w:after="140" w:before="280"/>
      </w:pPr>
      <w:r>
        <w:rPr>
          <w:rFonts w:ascii="Arial" w:cs="Arial" w:eastAsia="Arial" w:hAnsi="Arial"/>
          <w:b/>
          <w:bCs/>
          <w:color w:val="7C2D12"/>
          <w:sz w:val="28"/>
          <w:szCs w:val="28"/>
        </w:rPr>
        <w:t xml:space="preserve">3.3 Kuja ERP — the ledger that feeds the flywheel</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and INGOs paying for their grantees under the donor-sponsorship model (primary); mid-to-large NGOs buying an enterprise-grade backbone directly, and network secretariats for their own operations (secondary).</w:t>
      </w:r>
    </w:p>
    <w:p>
      <w:pPr>
        <w:spacing w:after="80" w:before="60" w:line="300"/>
        <w:jc w:val="left"/>
      </w:pPr>
      <w:r>
        <w:rPr>
          <w:rFonts w:ascii="Arial" w:cs="Arial" w:eastAsia="Arial" w:hAnsi="Arial"/>
          <w:color w:val="1A1410"/>
          <w:sz w:val="22"/>
          <w:szCs w:val="22"/>
        </w:rPr>
        <w:t xml:space="preserve">Kuja ERP is Odoo 17 configured for nonprofits. Three modules are live in UAT today (Finance, Accounting, Grant Budgeting). Procurement and HR ship Q3 2026; Payroll with country adapters (Kenya, Uganda, Nigeria, South Africa first) in Q1 2027; Asset Management and Inventory in Q2 2027. ERP does not replace the AI compliance workflow that every NGO on Kuja Grant already has — it makes the financial data underneath that workflow real-time. Its strategic role is the lowest land-rate of the three products and the highest retention: once an NGO runs its chart of accounts, payroll, and audit trail on Kuja, switching cost is high. ERP is what turns a one-year customer into a five-year one.</w:t>
      </w:r>
    </w:p>
    <w:p>
      <w:pPr>
        <w:spacing w:after="80" w:before="60" w:line="300"/>
        <w:jc w:val="left"/>
      </w:pPr>
      <w:r>
        <w:rPr>
          <w:rFonts w:ascii="Arial" w:cs="Arial" w:eastAsia="Arial" w:hAnsi="Arial"/>
          <w:b/>
          <w:bCs/>
          <w:color w:val="1A1410"/>
          <w:sz w:val="22"/>
          <w:szCs w:val="22"/>
        </w:rPr>
        <w:t xml:space="preserve">The multi-tenant donor-visibility wedge. </w:t>
      </w:r>
      <w:r>
        <w:rPr>
          <w:rFonts w:ascii="Arial" w:cs="Arial" w:eastAsia="Arial" w:hAnsi="Arial"/>
          <w:color w:val="1A1410"/>
          <w:sz w:val="22"/>
          <w:szCs w:val="22"/>
        </w:rPr>
        <w:t xml:space="preserve">A donor sponsoring ERP for its grantees sees live, read-only, grant-scoped spend across all of them — a capability verified absent in every competitor searched. The donor gets the visibility benefit without ever adopting the ERP itself; the grantee gets the operational backbone; Kuja gets a multi-year retention curve.</w:t>
      </w:r>
    </w:p>
    <w:p>
      <w:pPr>
        <w:pStyle w:val="Heading2"/>
        <w:spacing w:after="140" w:before="280"/>
      </w:pPr>
      <w:r>
        <w:rPr>
          <w:rFonts w:ascii="Arial" w:cs="Arial" w:eastAsia="Arial" w:hAnsi="Arial"/>
          <w:b/>
          <w:bCs/>
          <w:color w:val="7C2D12"/>
          <w:sz w:val="28"/>
          <w:szCs w:val="28"/>
        </w:rPr>
        <w:t xml:space="preserve">3.4 The flywheel — why the linkage is the product</w:t>
      </w:r>
    </w:p>
    <w:p>
      <w:pPr>
        <w:spacing w:after="80" w:before="60" w:line="300"/>
        <w:jc w:val="left"/>
      </w:pPr>
      <w:r>
        <w:rPr>
          <w:rFonts w:ascii="Arial" w:cs="Arial" w:eastAsia="Arial" w:hAnsi="Arial"/>
          <w:color w:val="1A1410"/>
          <w:sz w:val="22"/>
          <w:szCs w:val="22"/>
        </w:rPr>
        <w:t xml:space="preserve">Marketplace builds the supply of trusted organizations. Grant monetizes the funding relationship built on that trust. ERP deepens the relationship and feeds live operational and financial data back into the Trust Profile and grant compliance. Every grant, every report, every ledger entry strengthens the shared corpus and the organization’s standing. Legacy NGO software vendors cannot replicate this without rebuilding their data model, because the compounding is a property of the single shared record, not of any one feature.</w:t>
      </w:r>
    </w:p>
    <w:p>
      <w:pPr>
        <w:spacing w:after="80" w:before="60" w:line="300"/>
        <w:jc w:val="left"/>
      </w:pPr>
      <w:r>
        <w:rPr>
          <w:rFonts w:ascii="Arial" w:cs="Arial" w:eastAsia="Arial" w:hAnsi="Arial"/>
          <w:b/>
          <w:bCs/>
          <w:color w:val="1A1410"/>
          <w:sz w:val="22"/>
          <w:szCs w:val="22"/>
        </w:rPr>
        <w:t xml:space="preserve">Partnership-led implementation. </w:t>
      </w:r>
      <w:r>
        <w:rPr>
          <w:rFonts w:ascii="Arial" w:cs="Arial" w:eastAsia="Arial" w:hAnsi="Arial"/>
          <w:color w:val="1A1410"/>
          <w:sz w:val="22"/>
          <w:szCs w:val="22"/>
        </w:rPr>
        <w:t xml:space="preserve">Kuja does not build an in-house advisory arm. Implementation, training, and operational-strengthening services are delivered through regional BPO and advisory partners who use Kuja software with every client under a non-compete on the software layer, keep the services revenue, and can run their own Motion D white-label tenant. This gives regional delivery capacity without scaling Kuja headcount, on aligned incentives.</w:t>
      </w:r>
    </w:p>
    <w:p>
      <w:pPr>
        <w:pStyle w:val="Heading1"/>
        <w:pageBreakBefore/>
        <w:spacing w:after="200" w:before="320"/>
      </w:pPr>
      <w:r>
        <w:rPr>
          <w:rFonts w:ascii="Arial" w:cs="Arial" w:eastAsia="Arial" w:hAnsi="Arial"/>
          <w:b/>
          <w:bCs/>
          <w:color w:val="C2410C"/>
          <w:sz w:val="36"/>
          <w:szCs w:val="36"/>
        </w:rPr>
        <w:t xml:space="preserve">4. Market Sizing — TAM / SAM / SOM</w:t>
      </w:r>
    </w:p>
    <w:p>
      <w:pPr>
        <w:spacing w:after="80" w:before="60" w:line="300"/>
        <w:jc w:val="left"/>
      </w:pPr>
      <w:r>
        <w:rPr>
          <w:rFonts w:ascii="Arial" w:cs="Arial" w:eastAsia="Arial" w:hAnsi="Arial"/>
          <w:color w:val="1A1410"/>
          <w:sz w:val="22"/>
          <w:szCs w:val="22"/>
        </w:rPr>
        <w:t xml:space="preserve">Kuja sells into three overlapping software markets plus one uncontested category. There is no single clean market figure for "the whole suite," so this section sizes each addressable market from published sources, marks every directional figure as such, and then states a conservative served-market and near-term capture. The honesty posture matches Strategy V3.9: where a figure could not be verified from a primary source it is flagged, not smoothed.</w:t>
      </w:r>
    </w:p>
    <w:p>
      <w:pPr>
        <w:pStyle w:val="Heading2"/>
        <w:spacing w:after="140" w:before="280"/>
      </w:pPr>
      <w:r>
        <w:rPr>
          <w:rFonts w:ascii="Arial" w:cs="Arial" w:eastAsia="Arial" w:hAnsi="Arial"/>
          <w:b/>
          <w:bCs/>
          <w:color w:val="7C2D12"/>
          <w:sz w:val="28"/>
          <w:szCs w:val="28"/>
        </w:rPr>
        <w:t xml:space="preserve">4.1 Grant management software (Kuja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c>
          <w:tcPr>
            <w:tcW w:type="dxa" w:w="3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Market size</w:t>
            </w:r>
          </w:p>
        </w:tc>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Trajectory</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Mordor Intelligence</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$2.56B (2025)</w:t>
            </w:r>
          </w:p>
        </w:tc>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$4.23B (2030) at 10.57% CAGR; North America = 45.12% of 2024 revenue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Grand View Research</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$2.66B (2024)</w:t>
            </w:r>
          </w:p>
        </w:tc>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$6.19B (2033) at 10.0% CAGR</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Precedence Research</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$3.38B (2026)</w:t>
            </w:r>
          </w:p>
        </w:tc>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$8.09B (2035)</w:t>
            </w:r>
          </w:p>
        </w:tc>
      </w:tr>
    </w:tbl>
    <w:p>
      <w:pPr>
        <w:spacing w:after="80" w:before="60" w:line="300"/>
        <w:jc w:val="left"/>
      </w:pPr>
      <w:r>
        <w:rPr>
          <w:rFonts w:ascii="Arial" w:cs="Arial" w:eastAsia="Arial" w:hAnsi="Arial"/>
          <w:b/>
          <w:bCs/>
          <w:color w:val="1A1410"/>
          <w:sz w:val="22"/>
          <w:szCs w:val="22"/>
        </w:rPr>
        <w:t xml:space="preserve">Nonprofit/NGO share and Kuja’s frame. </w:t>
      </w:r>
      <w:r>
        <w:rPr>
          <w:rFonts w:ascii="Arial" w:cs="Arial" w:eastAsia="Arial" w:hAnsi="Arial"/>
          <w:color w:val="1A1410"/>
          <w:sz w:val="22"/>
          <w:szCs w:val="22"/>
        </w:rPr>
        <w:t xml:space="preserve">The nonprofit segment is roughly 58% of the grant-management software market (prior Kuja product analysis, 2026). Two structural facts define the opening: the verified GMS customer base is 80%+ US/Canada/UK across all seven mainstream vendors, and North America alone is ~45% of revenue — so the Global-South, multi-donor, multilingual segment Kuja is built for is precisely where the incumbents are thinnest.</w:t>
      </w:r>
    </w:p>
    <w:p>
      <w:pPr>
        <w:pStyle w:val="Heading2"/>
        <w:spacing w:after="140" w:before="280"/>
      </w:pPr>
      <w:r>
        <w:rPr>
          <w:rFonts w:ascii="Arial" w:cs="Arial" w:eastAsia="Arial" w:hAnsi="Arial"/>
          <w:b/>
          <w:bCs/>
          <w:color w:val="7C2D12"/>
          <w:sz w:val="28"/>
          <w:szCs w:val="28"/>
        </w:rPr>
        <w:t xml:space="preserve">4.2 NGO ERP and operations software (Kuja ERP)</w:t>
      </w:r>
    </w:p>
    <w:p>
      <w:pPr>
        <w:spacing w:after="80" w:before="60" w:line="300"/>
        <w:jc w:val="left"/>
      </w:pPr>
      <w:r>
        <w:rPr>
          <w:rFonts w:ascii="Arial" w:cs="Arial" w:eastAsia="Arial" w:hAnsi="Arial"/>
          <w:color w:val="1A1410"/>
          <w:sz w:val="22"/>
          <w:szCs w:val="22"/>
        </w:rPr>
        <w:t xml:space="preserve">Nonprofit finance/ERP is a larger adjacency than grant management, but published NGO-specific market totals are unreliable, so we anchor on verified per-unit pricing rather than a headline TAM. Sage Intacct Nonprofit runs $15K–$50K/year subscription plus $30K–$75K implementation (BT Partners 2025; ERP Research 2025); NetSuite Social Impact typically prices 1.5×–2.5× Sage Intacct (ERP Research 2025); QuickBooks dominates SMB nonprofit accounting but hits limits on multi-fund restricted accounting. The implication is a pricing headroom, not a TAM claim: most Global South NGOs are priced out of the incumbents, which is why the donor-sponsored grantee model — a donor pays Year 1, the grantee transitions to grantee-paid by Year 3 — is the primary ERP motion rather than direct sale.</w:t>
      </w:r>
    </w:p>
    <w:p>
      <w:pPr>
        <w:spacing w:after="80" w:before="60" w:line="300"/>
        <w:jc w:val="left"/>
      </w:pPr>
      <w:r>
        <w:rPr>
          <w:rFonts w:ascii="Arial" w:cs="Arial" w:eastAsia="Arial" w:hAnsi="Arial"/>
          <w:i/>
          <w:iCs/>
          <w:color w:val="6B6660"/>
          <w:sz w:val="18"/>
          <w:szCs w:val="18"/>
        </w:rPr>
        <w:t xml:space="preserve">Directional only: a precise, defensible global NGO-ERP market total could not be verified from a primary source and is deliberately omitted rather than estimated.</w:t>
      </w:r>
    </w:p>
    <w:p>
      <w:pPr>
        <w:pStyle w:val="Heading2"/>
        <w:spacing w:after="140" w:before="280"/>
      </w:pPr>
      <w:r>
        <w:rPr>
          <w:rFonts w:ascii="Arial" w:cs="Arial" w:eastAsia="Arial" w:hAnsi="Arial"/>
          <w:b/>
          <w:bCs/>
          <w:color w:val="7C2D12"/>
          <w:sz w:val="28"/>
          <w:szCs w:val="28"/>
        </w:rPr>
        <w:t xml:space="preserve">4.3 Discovery and marketplaces (Kuja Marketplace)</w:t>
      </w:r>
    </w:p>
    <w:p>
      <w:pPr>
        <w:spacing w:after="80" w:before="60" w:line="300"/>
        <w:jc w:val="left"/>
      </w:pPr>
      <w:r>
        <w:rPr>
          <w:rFonts w:ascii="Arial" w:cs="Arial" w:eastAsia="Arial" w:hAnsi="Arial"/>
          <w:color w:val="1A1410"/>
          <w:sz w:val="22"/>
          <w:szCs w:val="22"/>
        </w:rPr>
        <w:t xml:space="preserve">The discovery/marketplace adjacency is populated by retail crowdfunding and foundation databases, not two-sided institutional grant marketplaces. GlobalGiving charges a 5–12% nonprofit support fee plus ~3% payment processing (GlobalGiving 2025) on a retail-donor model; Candid Foundation Directory sells discovery-only access at $54.99–$219.99/month (Candid 2025); Instrumentl runs $299–$999/month for grant-seeker matching. None combines verified NGO capacity with donor requirements in a workflow-integrated, two-sided marketplace — the Marketplace is a category definition more than a share-capture play, and it is monetised through the freemium-to-Trust-Profile and donor-discovery-subscription motions rather than transaction take-rates.</w:t>
      </w:r>
    </w:p>
    <w:p>
      <w:pPr>
        <w:pStyle w:val="Heading2"/>
        <w:spacing w:after="140" w:before="280"/>
      </w:pPr>
      <w:r>
        <w:rPr>
          <w:rFonts w:ascii="Arial" w:cs="Arial" w:eastAsia="Arial" w:hAnsi="Arial"/>
          <w:b/>
          <w:bCs/>
          <w:color w:val="7C2D12"/>
          <w:sz w:val="28"/>
          <w:szCs w:val="28"/>
        </w:rPr>
        <w:t xml:space="preserve">4.4 Pooled-fund / network platforms — an uncontested category</w:t>
      </w:r>
    </w:p>
    <w:p>
      <w:pPr>
        <w:spacing w:after="80" w:before="60" w:line="300"/>
        <w:jc w:val="left"/>
      </w:pPr>
      <w:r>
        <w:rPr>
          <w:rFonts w:ascii="Arial" w:cs="Arial" w:eastAsia="Arial" w:hAnsi="Arial"/>
          <w:color w:val="1A1410"/>
          <w:sz w:val="22"/>
          <w:szCs w:val="22"/>
        </w:rPr>
        <w:t xml:space="preserve">Searches across grant management software, pooled-fund infrastructure, and NGO SaaS located no commercial peer-governed pooled-fund SaaS competitor. Start Network operates its Start Fund infrastructure internally and does not sell it to other networks (Start Network, 2025); other regional consortia run on Salesforce + spreadsheets + custom code. This is the least commercialised space in the sector and the one Kuja is actively defining through Motion D (closed, white-labeled tenants) — now proven at both extremes of the control spectrum by Proximate and Saxansaxo.</w:t>
      </w:r>
    </w:p>
    <w:p>
      <w:pPr>
        <w:pStyle w:val="Heading2"/>
        <w:spacing w:after="140" w:before="280"/>
      </w:pPr>
      <w:r>
        <w:rPr>
          <w:rFonts w:ascii="Arial" w:cs="Arial" w:eastAsia="Arial" w:hAnsi="Arial"/>
          <w:b/>
          <w:bCs/>
          <w:color w:val="7C2D12"/>
          <w:sz w:val="28"/>
          <w:szCs w:val="28"/>
        </w:rPr>
        <w:t xml:space="preserve">4.5 Blended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Layer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Estimate</w:t>
            </w:r>
          </w:p>
        </w:tc>
        <w:tc>
          <w:tcPr>
            <w:tcW w:type="dxa" w:w="54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Basis</w:t>
            </w:r>
          </w:p>
        </w:tc>
      </w:tr>
      <w:tr>
        <w:tc>
          <w:tcPr>
            <w:tcW w:type="dxa" w:w="1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TAM</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~$2.6B–$3.4B (2025–26), → $4B–$8B by 2030–35</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management software (sourced), plus the NGO-ERP and discovery adjacencies (directional). Grant management is the only leg with a defensible published market total; the suite TAM is larger but not precisely quantifiable from primary sources.</w:t>
            </w:r>
          </w:p>
        </w:tc>
      </w:tr>
      <w:tr>
        <w:tc>
          <w:tcPr>
            <w:tcW w:type="dxa" w:w="15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Global South, multi-donor, multilingual NGO + intermediary segment</w:t>
            </w:r>
          </w:p>
        </w:tc>
        <w:tc>
          <w:tcPr>
            <w:tcW w:type="dxa" w:w="54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The ~58% nonprofit slice of GMS, narrowed to Africa / MENA / Asia-Pacific / LatAm re-granting funds, donors, and mid-to-large CSOs — the segment where incumbents are 80%+ absent and where ERP and Marketplace attach onto the same customer record.</w:t>
            </w:r>
          </w:p>
        </w:tc>
      </w:tr>
      <w:tr>
        <w:tc>
          <w:tcPr>
            <w:tcW w:type="dxa" w:w="1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SOM (near-term)</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&gt;$2.5M revenue in 2028 (Conservative); &gt;$4M (Ambitious)</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Bottom-up from Strategy V3.9 Section 11 — pilot-stage 2026, scaling through 2028, break-even H2 2029 (H1 2028 Ambitious), profitable 2030. Requires a fraction of a percent of the addressable base.</w:t>
            </w:r>
          </w:p>
        </w:tc>
      </w:tr>
    </w:tbl>
    <w:p>
      <w:pPr>
        <w:spacing w:after="80" w:before="60" w:line="300"/>
        <w:jc w:val="left"/>
      </w:pPr>
      <w:r>
        <w:rPr>
          <w:rFonts w:ascii="Arial" w:cs="Arial" w:eastAsia="Arial" w:hAnsi="Arial"/>
          <w:i/>
          <w:iCs/>
          <w:color w:val="6B6660"/>
          <w:sz w:val="18"/>
          <w:szCs w:val="18"/>
        </w:rPr>
        <w:t xml:space="preserve">All pricing and revenue figures are hypotheses pending pilot validation (Strategy V3.9 Section 10.6). Willingness-to-pay is being validated against corrected NGO country-level budget bands during the 2026–2027 pilots; pilot pricing may be materially discounted from list.</w:t>
      </w:r>
    </w:p>
    <w:p>
      <w:pPr>
        <w:pStyle w:val="Heading1"/>
        <w:pageBreakBefore/>
        <w:spacing w:after="200" w:before="320"/>
      </w:pPr>
      <w:r>
        <w:rPr>
          <w:rFonts w:ascii="Arial" w:cs="Arial" w:eastAsia="Arial" w:hAnsi="Arial"/>
          <w:b/>
          <w:bCs/>
          <w:color w:val="C2410C"/>
          <w:sz w:val="36"/>
          <w:szCs w:val="36"/>
        </w:rPr>
        <w:t xml:space="preserve">5. Market Segmentation — Who Buys the Suite</w:t>
      </w:r>
    </w:p>
    <w:p>
      <w:pPr>
        <w:spacing w:after="80" w:before="60" w:line="300"/>
        <w:jc w:val="left"/>
      </w:pPr>
      <w:r>
        <w:rPr>
          <w:rFonts w:ascii="Arial" w:cs="Arial" w:eastAsia="Arial" w:hAnsi="Arial"/>
          <w:color w:val="1A1410"/>
          <w:sz w:val="22"/>
          <w:szCs w:val="22"/>
        </w:rPr>
        <w:t xml:space="preserve">Kuja sells into six segments. Segments marked PRIORITY are where the 2026–2027 pipeline is focused; the rest are served near-passively through the freemium motions until the priority pipeline is converting. The segmentation is developed in full in Strategy V3.9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Segment</w:t>
            </w:r>
          </w:p>
        </w:tc>
        <w:tc>
          <w:tcPr>
            <w:tcW w:type="dxa" w:w="1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Priority</w:t>
            </w:r>
          </w:p>
        </w:tc>
        <w:tc>
          <w:tcPr>
            <w:tcW w:type="dxa" w:w="56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they need / which products</w:t>
            </w:r>
          </w:p>
        </w:tc>
      </w:tr>
      <w:tr>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Intermediary re-granting funds</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PRIORITY</w:t>
            </w:r>
          </w:p>
        </w:tc>
        <w:tc>
          <w:tcPr>
            <w:tcW w:type="dxa" w:w="56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INGOs re-granting to local partners, women’s/thematic funds, and CSO networks running pooled funds. Need sub-grant discovery (Marketplace), a deployable local-partner workflow (Grant), upstream compliance evidence for their own donors, ERP sponsorship for partners, and — for pooled funds — multi-sig declarations, COI recusal, and an audit trail. Motions C and D. 3–9 month cycles.</w:t>
            </w:r>
          </w:p>
        </w:tc>
      </w:tr>
      <w:tr>
        <w:tc>
          <w:tcPr>
            <w:tcW w:type="dxa" w:w="25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Donors</w:t>
            </w:r>
          </w:p>
        </w:tc>
        <w:tc>
          <w:tcPr>
            <w:tcW w:type="dxa" w:w="1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PRIORITY (foundations, corporate foundations, DAFs/HNWI, pooled funds)</w:t>
            </w:r>
          </w:p>
        </w:tc>
        <w:tc>
          <w:tcPr>
            <w:tcW w:type="dxa" w:w="56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Philanthropic and corporate foundations, MacKenzie-Scott-style DAF/HNWI vehicles, and collaborative pooled funds. Need defensible decisions, lower-overhead due diligence, structured reporting, multi-jurisdiction sanctions screening, and — where they sponsor ERP — real-time grant-scoped spend visibility. Motion B discovery then Motion C; branded programs fit Motion D. Bilaterals are a deliberate 2028+ target.</w:t>
            </w:r>
          </w:p>
        </w:tc>
      </w:tr>
      <w:tr>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CSOs by size</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Medium &amp; large</w:t>
            </w:r>
          </w:p>
        </w:tc>
        <w:tc>
          <w:tcPr>
            <w:tcW w:type="dxa" w:w="56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Country-level budgets are the realistic unit (not INGO consolidated budgets). Need an affordable operational backbone (ERP), trust signals that travel across donors (Trust Profile), and native-language proposal assistance. Priced out of Sage Intacct/NetSuite today.</w:t>
            </w:r>
          </w:p>
        </w:tc>
      </w:tr>
      <w:tr>
        <w:tc>
          <w:tcPr>
            <w:tcW w:type="dxa" w:w="25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CSO networks (non-granting)</w:t>
            </w:r>
          </w:p>
        </w:tc>
        <w:tc>
          <w:tcPr>
            <w:tcW w:type="dxa" w:w="1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Medium &amp; large</w:t>
            </w:r>
          </w:p>
        </w:tc>
        <w:tc>
          <w:tcPr>
            <w:tcW w:type="dxa" w:w="56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Convene, advocate, build capacity but do not run pooled funds. Need member discovery (Marketplace), collective trust signalling, and — for institutional networks — a branded closed member space (Motion D1/D2). A network that starts a pooled fund moves to segment 1.</w:t>
            </w:r>
          </w:p>
        </w:tc>
      </w:tr>
      <w:tr>
        <w:tc>
          <w:tcPr>
            <w:tcW w:type="dxa" w:w="25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Due-diligence providers</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Exploratory (Motion E)</w:t>
            </w:r>
          </w:p>
        </w:tc>
        <w:tc>
          <w:tcPr>
            <w:tcW w:type="dxa" w:w="56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The NGOsource / TechSoup / GlobalGiving class. Addressed only if the Motion E feasibility study supports it; the offer would be API access to Trust Profile data, not a white-label.</w:t>
            </w:r>
          </w:p>
        </w:tc>
      </w:tr>
      <w:tr>
        <w:tc>
          <w:tcPr>
            <w:tcW w:type="dxa" w:w="25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BPO providers, fund managers, fiscal sponsors</w:t>
            </w:r>
          </w:p>
        </w:tc>
        <w:tc>
          <w:tcPr>
            <w:tcW w:type="dxa" w:w="1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Channel</w:t>
            </w:r>
          </w:p>
        </w:tc>
        <w:tc>
          <w:tcPr>
            <w:tcW w:type="dxa" w:w="56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Regional providers already serving NGOs. Consume Motion D white-label tenants for their portfolios plus the implementation-channel partnership — delivering ERP and onboarding on Kuja software under a software-layer non-compete, referrals both ways.</w:t>
            </w:r>
          </w:p>
        </w:tc>
      </w:tr>
    </w:tbl>
    <w:p>
      <w:pPr>
        <w:pStyle w:val="Heading1"/>
        <w:pageBreakBefore/>
        <w:spacing w:after="200" w:before="320"/>
      </w:pPr>
      <w:r>
        <w:rPr>
          <w:rFonts w:ascii="Arial" w:cs="Arial" w:eastAsia="Arial" w:hAnsi="Arial"/>
          <w:b/>
          <w:bCs/>
          <w:color w:val="C2410C"/>
          <w:sz w:val="36"/>
          <w:szCs w:val="36"/>
        </w:rPr>
        <w:t xml:space="preserve">6. Competitive Landscape</w:t>
      </w:r>
    </w:p>
    <w:p>
      <w:pPr>
        <w:spacing w:after="80" w:before="60" w:line="300"/>
        <w:jc w:val="left"/>
      </w:pPr>
      <w:r>
        <w:rPr>
          <w:rFonts w:ascii="Arial" w:cs="Arial" w:eastAsia="Arial" w:hAnsi="Arial"/>
          <w:color w:val="1A1410"/>
          <w:sz w:val="22"/>
          <w:szCs w:val="22"/>
        </w:rPr>
        <w:t xml:space="preserve">Kuja competes against different vendors in different products. The integrated moat — the flywheel across all three — is the proposition no single vendor can match without years of architectural rebuild. Every claim below is sourced; the full seven-vendor grant landscape is in the companion Kuja Grant Market Analysis (July 2026 R2).</w:t>
      </w:r>
    </w:p>
    <w:p>
      <w:pPr>
        <w:pStyle w:val="Heading2"/>
        <w:spacing w:after="140" w:before="280"/>
      </w:pPr>
      <w:r>
        <w:rPr>
          <w:rFonts w:ascii="Arial" w:cs="Arial" w:eastAsia="Arial" w:hAnsi="Arial"/>
          <w:b/>
          <w:bCs/>
          <w:color w:val="7C2D12"/>
          <w:sz w:val="28"/>
          <w:szCs w:val="28"/>
        </w:rPr>
        <w:t xml:space="preserve">6.1 Grant management — vs Submittable, Foundant + SmartSimple, Fluxx, Salesforce, Blackbaud, GivingData, Instrumentl</w:t>
      </w:r>
    </w:p>
    <w:p>
      <w:pPr>
        <w:spacing w:after="80" w:before="60" w:line="300"/>
        <w:jc w:val="left"/>
      </w:pPr>
      <w:r>
        <w:rPr>
          <w:rFonts w:ascii="Arial" w:cs="Arial" w:eastAsia="Arial" w:hAnsi="Arial"/>
          <w:color w:val="1A1410"/>
          <w:sz w:val="22"/>
          <w:szCs w:val="22"/>
        </w:rPr>
        <w:t xml:space="preserve">The mid-2026 market: Foundant acquired SmartSimple and sells them side-by-side (GLM for small/mid foundations, SmartSimple Cloud for enterprise). Submittable Review AI ships rubric-based scoring; SmartSimple Cloud +AI ships the broadest lifecycle AI set; Fluxx runs a native AI suite on AWS Bedrock; Salesforce Nonprofit Cloud for Grantmaking ships Einstein Grantmaking Summaries at $175–$225/user/month; Blackbaud rolled out 70+ mostly-fundraising AI capabilities; GivingData (from $9,950/year) ships sparsely documented AI; Instrumentl is the AI-native grant-seeker tool ($299–$999/month, US-funder-centric).</w:t>
      </w:r>
    </w:p>
    <w:p>
      <w:pPr>
        <w:pStyle w:val="ListParagraph"/>
        <w:numPr>
          <w:ilvl w:val="0"/>
          <w:numId w:val="2"/>
        </w:numPr>
        <w:spacing w:after="60" w:before="30" w:line="280"/>
      </w:pPr>
      <w:r>
        <w:rPr>
          <w:rFonts w:ascii="Arial" w:cs="Arial" w:eastAsia="Arial" w:hAnsi="Arial"/>
          <w:b/>
          <w:bCs/>
          <w:color w:val="1A1410"/>
          <w:sz w:val="22"/>
          <w:szCs w:val="22"/>
        </w:rPr>
        <w:t xml:space="preserve">Where all seven fall short: </w:t>
      </w:r>
      <w:r>
        <w:rPr>
          <w:rFonts w:ascii="Arial" w:cs="Arial" w:eastAsia="Arial" w:hAnsi="Arial"/>
          <w:color w:val="1A1410"/>
          <w:sz w:val="22"/>
          <w:szCs w:val="22"/>
        </w:rPr>
        <w:t xml:space="preserve">none ships AI per-requirement evaluation of NGO reports against the grant agreement with citations; none ships native WhatsApp in the grants workflow, voice-to-report, or photo-as-evidence; the verified customer base is 80%+ US/Canada/UK. Submittable’s 50-language UI is the closest accessibility credential but is paywalled, UI-only, and RTL Arabic is incomplete.</w:t>
      </w:r>
    </w:p>
    <w:p>
      <w:pPr>
        <w:pStyle w:val="ListParagraph"/>
        <w:numPr>
          <w:ilvl w:val="0"/>
          <w:numId w:val="2"/>
        </w:numPr>
        <w:spacing w:after="60" w:before="30" w:line="280"/>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six-language workflow parity (not just translation); AI grounded in the donor’s own documents with citations; per-criterion reviewer evidence; mobile-first NGO experience; tenant-aware/multi-network from day one; audit-grade governance primitives (multi-sig, COI, audit chain); native sanctions screening plus seven-country African registry verification — verified absent in all incumbents searched.</w:t>
      </w:r>
    </w:p>
    <w:p>
      <w:pPr>
        <w:pStyle w:val="Heading2"/>
        <w:spacing w:after="140" w:before="280"/>
      </w:pPr>
      <w:r>
        <w:rPr>
          <w:rFonts w:ascii="Arial" w:cs="Arial" w:eastAsia="Arial" w:hAnsi="Arial"/>
          <w:b/>
          <w:bCs/>
          <w:color w:val="7C2D12"/>
          <w:sz w:val="28"/>
          <w:szCs w:val="28"/>
        </w:rPr>
        <w:t xml:space="preserve">6.2 NGO ERP — vs Sage Intacct, NetSuite, QuickBooks, Odoo-for-NGOs</w:t>
      </w:r>
    </w:p>
    <w:p>
      <w:pPr>
        <w:spacing w:after="80" w:before="60" w:line="300"/>
        <w:jc w:val="left"/>
      </w:pPr>
      <w:r>
        <w:rPr>
          <w:rFonts w:ascii="Arial" w:cs="Arial" w:eastAsia="Arial" w:hAnsi="Arial"/>
          <w:color w:val="1A1410"/>
          <w:sz w:val="22"/>
          <w:szCs w:val="22"/>
        </w:rPr>
        <w:t xml:space="preserve">Sage Intacct Nonprofit ($15K–$50K/year + $30K–$75K implementation) has strong fund accounting but is priced out of most Global South NGOs and has no donor-portal layer. NetSuite Social Impact prices 1.5×–2.5× Sage. QuickBooks dominates SMB but hits multi-fund limits. Odoo NGO templates exist (Odoo4NGOs, Mainsail, the Virunga Foundation case study) but are implementation-partner-led with no native multi-tenant donor visibility.</w:t>
      </w:r>
    </w:p>
    <w:p>
      <w:pPr>
        <w:pStyle w:val="ListParagraph"/>
        <w:numPr>
          <w:ilvl w:val="0"/>
          <w:numId w:val="2"/>
        </w:numPr>
        <w:spacing w:after="60" w:before="30" w:line="280"/>
      </w:pPr>
      <w:r>
        <w:rPr>
          <w:rFonts w:ascii="Arial" w:cs="Arial" w:eastAsia="Arial" w:hAnsi="Arial"/>
          <w:b/>
          <w:bCs/>
          <w:color w:val="1A1410"/>
          <w:sz w:val="22"/>
          <w:szCs w:val="22"/>
        </w:rPr>
        <w:t xml:space="preserve">Where Kuja ERP wins: </w:t>
      </w:r>
      <w:r>
        <w:rPr>
          <w:rFonts w:ascii="Arial" w:cs="Arial" w:eastAsia="Arial" w:hAnsi="Arial"/>
          <w:color w:val="1A1410"/>
          <w:sz w:val="22"/>
          <w:szCs w:val="22"/>
        </w:rPr>
        <w:t xml:space="preserve">the flywheel first — it is the only ERP whose ledger feeds grant-compliance reporting automatically and whose operational data keeps the Trust Profile current, so donors get the benefit without adopting it. Then: multi-tenant donor visibility (the wedge — verified absent in every competitor searched); six-language parity; country-specific payroll on roadmap; the donor-sponsored grantee model; and an Odoo 17 base that is modular and partner-extendable.</w:t>
      </w:r>
    </w:p>
    <w:p>
      <w:pPr>
        <w:pStyle w:val="Heading2"/>
        <w:spacing w:after="140" w:before="280"/>
      </w:pPr>
      <w:r>
        <w:rPr>
          <w:rFonts w:ascii="Arial" w:cs="Arial" w:eastAsia="Arial" w:hAnsi="Arial"/>
          <w:b/>
          <w:bCs/>
          <w:color w:val="7C2D12"/>
          <w:sz w:val="28"/>
          <w:szCs w:val="28"/>
        </w:rPr>
        <w:t xml:space="preserve">6.3 NGO / donor marketplaces — vs GlobalGiving, Candid, Instrumentl</w:t>
      </w:r>
    </w:p>
    <w:p>
      <w:pPr>
        <w:spacing w:after="80" w:before="60" w:line="300"/>
        <w:jc w:val="left"/>
      </w:pPr>
      <w:r>
        <w:rPr>
          <w:rFonts w:ascii="Arial" w:cs="Arial" w:eastAsia="Arial" w:hAnsi="Arial"/>
          <w:color w:val="1A1410"/>
          <w:sz w:val="22"/>
          <w:szCs w:val="22"/>
        </w:rPr>
        <w:t xml:space="preserve">GlobalGiving is retail crowdfunding (5–12% support fee + ~3% processing), not institutional. Candid Foundation Directory is discovery-only ($54.99–$219.99/month), US-centric, with no workflow. Bond, InterAction, and NEAR are advocacy/peer-learning networks, not transactional marketplaces.</w:t>
      </w:r>
    </w:p>
    <w:p>
      <w:pPr>
        <w:pStyle w:val="ListParagraph"/>
        <w:numPr>
          <w:ilvl w:val="0"/>
          <w:numId w:val="2"/>
        </w:numPr>
        <w:spacing w:after="60" w:before="30" w:line="280"/>
      </w:pPr>
      <w:r>
        <w:rPr>
          <w:rFonts w:ascii="Arial" w:cs="Arial" w:eastAsia="Arial" w:hAnsi="Arial"/>
          <w:b/>
          <w:bCs/>
          <w:color w:val="1A1410"/>
          <w:sz w:val="22"/>
          <w:szCs w:val="22"/>
        </w:rPr>
        <w:t xml:space="preserve">Where Kuja Marketplace wins: </w:t>
      </w:r>
      <w:r>
        <w:rPr>
          <w:rFonts w:ascii="Arial" w:cs="Arial" w:eastAsia="Arial" w:hAnsi="Arial"/>
          <w:color w:val="1A1410"/>
          <w:sz w:val="22"/>
          <w:szCs w:val="22"/>
        </w:rPr>
        <w:t xml:space="preserve">a two-sided institutional grant marketplace where donor requirements and verified NGO capacity meet — bidirectional matching, Trust Profile portability, workflow-integrated (a match becomes an application in one click), and a freemium networking layer that builds the supply side near-passively.</w:t>
      </w:r>
    </w:p>
    <w:p>
      <w:pPr>
        <w:pStyle w:val="Heading2"/>
        <w:spacing w:after="140" w:before="280"/>
      </w:pPr>
      <w:r>
        <w:rPr>
          <w:rFonts w:ascii="Arial" w:cs="Arial" w:eastAsia="Arial" w:hAnsi="Arial"/>
          <w:b/>
          <w:bCs/>
          <w:color w:val="7C2D12"/>
          <w:sz w:val="28"/>
          <w:szCs w:val="28"/>
        </w:rPr>
        <w:t xml:space="preserve">6.4 Pooled-fund / network platforms — uncontested</w:t>
      </w:r>
    </w:p>
    <w:p>
      <w:pPr>
        <w:spacing w:after="80" w:before="60" w:line="300"/>
        <w:jc w:val="left"/>
      </w:pPr>
      <w:r>
        <w:rPr>
          <w:rFonts w:ascii="Arial" w:cs="Arial" w:eastAsia="Arial" w:hAnsi="Arial"/>
          <w:color w:val="1A1410"/>
          <w:sz w:val="22"/>
          <w:szCs w:val="22"/>
        </w:rPr>
        <w:t xml:space="preserve">No commercial peer-governed pooled-fund SaaS competitor exists. Start Network’s Start Fund is internal; other networks run on Salesforce + spreadsheets + custom code. Kuja is defining the category: first-mover, unlimited-tenant architecture, data-portable spin-out from Year 2 — and the claim is now proven at both extremes of the control spectrum (Proximate’s relational validation and hawala rails on one end, Saxansaxo’s deliberately light community-led model on the other), same engine, configured not rebuilt.</w:t>
      </w:r>
    </w:p>
    <w:p>
      <w:pPr>
        <w:pStyle w:val="Heading2"/>
        <w:spacing w:after="140" w:before="280"/>
      </w:pPr>
      <w:r>
        <w:rPr>
          <w:rFonts w:ascii="Arial" w:cs="Arial" w:eastAsia="Arial" w:hAnsi="Arial"/>
          <w:b/>
          <w:bCs/>
          <w:color w:val="7C2D12"/>
          <w:sz w:val="28"/>
          <w:szCs w:val="28"/>
        </w:rPr>
        <w:t xml:space="preserve">6.5 The integrated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Each competitor wins a box in a feature grid. None owns the loop.</w:t>
            </w:r>
          </w:p>
          <w:p>
            <w:pPr>
              <w:spacing w:before="80"/>
            </w:pPr>
            <w:r>
              <w:rPr>
                <w:rFonts w:ascii="Arial" w:cs="Arial" w:eastAsia="Arial" w:hAnsi="Arial"/>
                <w:color w:val="1A1410"/>
                <w:sz w:val="22"/>
                <w:szCs w:val="22"/>
              </w:rPr>
              <w:t xml:space="preserve">Submittable/Fluxx/Salesforce win grant-workflow boxes. Sage/NetSuite win ledger boxes. GlobalGiving/Candid win discovery boxes. No vendor connects discovery → funding → operations on one customer record, one Trust Profile, one AI memory, and one audit chain — so no vendor can offer a donor live grant-scoped spend visibility across sponsored grantees, or keep an NGO’s trust standing current from its own operational data. That linkage is the moat, and it deepens with every grant, report, and ledger entry on the shared corpus.</w:t>
            </w:r>
          </w:p>
        </w:tc>
      </w:tr>
    </w:tbl>
    <w:p>
      <w:pPr>
        <w:pStyle w:val="Heading1"/>
        <w:pageBreakBefore/>
        <w:spacing w:after="200" w:before="320"/>
      </w:pPr>
      <w:r>
        <w:rPr>
          <w:rFonts w:ascii="Arial" w:cs="Arial" w:eastAsia="Arial" w:hAnsi="Arial"/>
          <w:b/>
          <w:bCs/>
          <w:color w:val="C2410C"/>
          <w:sz w:val="36"/>
          <w:szCs w:val="36"/>
        </w:rPr>
        <w:t xml:space="preserve">7. Trust Is the Product</w:t>
      </w:r>
    </w:p>
    <w:p>
      <w:pPr>
        <w:spacing w:after="80" w:before="60" w:line="300"/>
        <w:jc w:val="left"/>
      </w:pPr>
      <w:r>
        <w:rPr>
          <w:rFonts w:ascii="Arial" w:cs="Arial" w:eastAsia="Arial" w:hAnsi="Arial"/>
          <w:color w:val="1A1410"/>
          <w:sz w:val="22"/>
          <w:szCs w:val="22"/>
        </w:rPr>
        <w:t xml:space="preserve">Every funder asks the same question in different words: how do I know I can trust this organization with this grant? Kuja’s answer is a structured, hash-anchored, multi-tenant Trust Profile that travels with the organization across every donor and every grant — one profile per organization, used by all five go-to-market motions and all three products.</w:t>
      </w:r>
    </w:p>
    <w:p>
      <w:pPr>
        <w:pStyle w:val="ListParagraph"/>
        <w:numPr>
          <w:ilvl w:val="0"/>
          <w:numId w:val="2"/>
        </w:numPr>
        <w:spacing w:after="60" w:before="30" w:line="280"/>
      </w:pPr>
      <w:r>
        <w:rPr>
          <w:rFonts w:ascii="Arial" w:cs="Arial" w:eastAsia="Arial" w:hAnsi="Arial"/>
          <w:b/>
          <w:bCs/>
          <w:color w:val="1A1410"/>
          <w:sz w:val="22"/>
          <w:szCs w:val="22"/>
        </w:rPr>
        <w:t xml:space="preserve">Six pillars of trust. </w:t>
      </w:r>
      <w:r>
        <w:rPr>
          <w:rFonts w:ascii="Arial" w:cs="Arial" w:eastAsia="Arial" w:hAnsi="Arial"/>
          <w:color w:val="1A1410"/>
          <w:sz w:val="22"/>
          <w:szCs w:val="22"/>
        </w:rPr>
        <w:t xml:space="preserve">Identity, registration, sanctions, adverse media, banking, and capacity — consolidated in production today, with overall status reconciled to the worst pillar rather than an average, and network-specific framework labels.</w:t>
      </w:r>
    </w:p>
    <w:p>
      <w:pPr>
        <w:pStyle w:val="ListParagraph"/>
        <w:numPr>
          <w:ilvl w:val="0"/>
          <w:numId w:val="2"/>
        </w:numPr>
        <w:spacing w:after="60" w:before="30" w:line="280"/>
      </w:pPr>
      <w:r>
        <w:rPr>
          <w:rFonts w:ascii="Arial" w:cs="Arial" w:eastAsia="Arial" w:hAnsi="Arial"/>
          <w:b/>
          <w:bCs/>
          <w:color w:val="1A1410"/>
          <w:sz w:val="22"/>
          <w:szCs w:val="22"/>
        </w:rPr>
        <w:t xml:space="preserve">The audit chain — compliance currency. </w:t>
      </w:r>
      <w:r>
        <w:rPr>
          <w:rFonts w:ascii="Arial" w:cs="Arial" w:eastAsia="Arial" w:hAnsi="Arial"/>
          <w:color w:val="1A1410"/>
          <w:sz w:val="22"/>
          <w:szCs w:val="22"/>
        </w:rPr>
        <w:t xml:space="preserve">Every governance transition writes an AuditChainEntry whose prev_hash links to the previous row’s payload hash; tamper an entry and every row after it breaks. Membership decisions, emergency declarations (multi-sig with COI recusal), award decisions, Oversight-Body seat changes, and crisis-monitoring publications are all anchored. The answer to "how do you know?" is a URL.</w:t>
      </w:r>
    </w:p>
    <w:p>
      <w:pPr>
        <w:pStyle w:val="ListParagraph"/>
        <w:numPr>
          <w:ilvl w:val="0"/>
          <w:numId w:val="2"/>
        </w:numPr>
        <w:spacing w:after="60" w:before="30" w:line="280"/>
      </w:pPr>
      <w:r>
        <w:rPr>
          <w:rFonts w:ascii="Arial" w:cs="Arial" w:eastAsia="Arial" w:hAnsi="Arial"/>
          <w:b/>
          <w:bCs/>
          <w:color w:val="1A1410"/>
          <w:sz w:val="22"/>
          <w:szCs w:val="22"/>
        </w:rPr>
        <w:t xml:space="preserve">The trust loop. </w:t>
      </w:r>
      <w:r>
        <w:rPr>
          <w:rFonts w:ascii="Arial" w:cs="Arial" w:eastAsia="Arial" w:hAnsi="Arial"/>
          <w:color w:val="1A1410"/>
          <w:sz w:val="22"/>
          <w:szCs w:val="22"/>
        </w:rPr>
        <w:t xml:space="preserve">Trust is not earned once at award and it is not a self-declared PDF that goes stale on upload. Grant activity — applications, reports, per-requirement compliance scores — and ERP operational and financial data update the Trust Profile as they happen. This is the property competitors cannot replicate without rebuilding their data model.</w:t>
      </w:r>
    </w:p>
    <w:p>
      <w:pPr>
        <w:spacing w:after="80" w:before="60" w:line="300"/>
        <w:jc w:val="left"/>
      </w:pPr>
      <w:r>
        <w:rPr>
          <w:rFonts w:ascii="Arial" w:cs="Arial" w:eastAsia="Arial" w:hAnsi="Arial"/>
          <w:b/>
          <w:bCs/>
          <w:color w:val="1A1410"/>
          <w:sz w:val="22"/>
          <w:szCs w:val="22"/>
        </w:rPr>
        <w:t xml:space="preserve">Passportable by design. </w:t>
      </w:r>
      <w:r>
        <w:rPr>
          <w:rFonts w:ascii="Arial" w:cs="Arial" w:eastAsia="Arial" w:hAnsi="Arial"/>
          <w:color w:val="1A1410"/>
          <w:sz w:val="22"/>
          <w:szCs w:val="22"/>
        </w:rPr>
        <w:t xml:space="preserve">The Trust Profile is the platform’s moat, which is why Motion E (licensing to due-diligence providers) is framed as API access rather than a white-label — extending the asset’s reach without handing it over. That option is exploratory, pending a dedicated market and feasibility analysis.</w:t>
      </w:r>
    </w:p>
    <w:p>
      <w:pPr>
        <w:pStyle w:val="Heading1"/>
        <w:pageBreakBefore/>
        <w:spacing w:after="200" w:before="320"/>
      </w:pPr>
      <w:r>
        <w:rPr>
          <w:rFonts w:ascii="Arial" w:cs="Arial" w:eastAsia="Arial" w:hAnsi="Arial"/>
          <w:b/>
          <w:bCs/>
          <w:color w:val="C2410C"/>
          <w:sz w:val="36"/>
          <w:szCs w:val="36"/>
        </w:rPr>
        <w:t xml:space="preserve">8. AI as the Operating System</w:t>
      </w:r>
    </w:p>
    <w:p>
      <w:pPr>
        <w:spacing w:after="80" w:before="60" w:line="300"/>
        <w:jc w:val="left"/>
      </w:pPr>
      <w:r>
        <w:rPr>
          <w:rFonts w:ascii="Arial" w:cs="Arial" w:eastAsia="Arial" w:hAnsi="Arial"/>
          <w:color w:val="1A1410"/>
          <w:sz w:val="22"/>
          <w:szCs w:val="22"/>
        </w:rPr>
        <w:t xml:space="preserve">Kuja AI is the operating system, not a chat widget. As of mid-2026 the platform runs more than 50 distinct AI surfaces, every one grounded, tenant-specific, action-oriented, fallback-aware, and telemetered — every output cites its source and every workflow has a manual path.</w:t>
      </w:r>
    </w:p>
    <w:p>
      <w:pPr>
        <w:pStyle w:val="ListParagraph"/>
        <w:numPr>
          <w:ilvl w:val="0"/>
          <w:numId w:val="2"/>
        </w:numPr>
        <w:spacing w:after="60" w:before="30" w:line="280"/>
      </w:pPr>
      <w:r>
        <w:rPr>
          <w:rFonts w:ascii="Arial" w:cs="Arial" w:eastAsia="Arial" w:hAnsi="Arial"/>
          <w:b/>
          <w:bCs/>
          <w:color w:val="1A1410"/>
          <w:sz w:val="22"/>
          <w:szCs w:val="22"/>
        </w:rPr>
        <w:t xml:space="preserve">Kuja Grant (35+ surfaces): </w:t>
      </w:r>
      <w:r>
        <w:rPr>
          <w:rFonts w:ascii="Arial" w:cs="Arial" w:eastAsia="Arial" w:hAnsi="Arial"/>
          <w:color w:val="1A1410"/>
          <w:sz w:val="22"/>
          <w:szCs w:val="22"/>
        </w:rPr>
        <w:t xml:space="preserve">rubric scoring, budget classifier, voice-to-report, photo-as-evidence, AI-drafts-application, reviewer summaries, criteria suggestion, compliance explainer, plain-language compliance flags, smart deadline negotiation, why-rejected feedback, six-language translation, and an NGO readiness coach.</w:t>
      </w:r>
    </w:p>
    <w:p>
      <w:pPr>
        <w:pStyle w:val="ListParagraph"/>
        <w:numPr>
          <w:ilvl w:val="0"/>
          <w:numId w:val="2"/>
        </w:numPr>
        <w:spacing w:after="60" w:before="30" w:line="280"/>
      </w:pPr>
      <w:r>
        <w:rPr>
          <w:rFonts w:ascii="Arial" w:cs="Arial" w:eastAsia="Arial" w:hAnsi="Arial"/>
          <w:b/>
          <w:bCs/>
          <w:color w:val="1A1410"/>
          <w:sz w:val="22"/>
          <w:szCs w:val="22"/>
        </w:rPr>
        <w:t xml:space="preserve">Kuja ERP (in design): </w:t>
      </w:r>
      <w:r>
        <w:rPr>
          <w:rFonts w:ascii="Arial" w:cs="Arial" w:eastAsia="Arial" w:hAnsi="Arial"/>
          <w:color w:val="1A1410"/>
          <w:sz w:val="22"/>
          <w:szCs w:val="22"/>
        </w:rPr>
        <w:t xml:space="preserve">continuous ledger variance flags, compliance-report auto-drafting from live financial data, procurement anomaly detection, budget-forecast assistance.</w:t>
      </w:r>
    </w:p>
    <w:p>
      <w:pPr>
        <w:pStyle w:val="ListParagraph"/>
        <w:numPr>
          <w:ilvl w:val="0"/>
          <w:numId w:val="2"/>
        </w:numPr>
        <w:spacing w:after="60" w:before="30" w:line="280"/>
      </w:pPr>
      <w:r>
        <w:rPr>
          <w:rFonts w:ascii="Arial" w:cs="Arial" w:eastAsia="Arial" w:hAnsi="Arial"/>
          <w:b/>
          <w:bCs/>
          <w:color w:val="1A1410"/>
          <w:sz w:val="22"/>
          <w:szCs w:val="22"/>
        </w:rPr>
        <w:t xml:space="preserve">Network tenants (7) and cross-product: </w:t>
      </w:r>
      <w:r>
        <w:rPr>
          <w:rFonts w:ascii="Arial" w:cs="Arial" w:eastAsia="Arial" w:hAnsi="Arial"/>
          <w:color w:val="1A1410"/>
          <w:sz w:val="22"/>
          <w:szCs w:val="22"/>
        </w:rPr>
        <w:t xml:space="preserve">crisis-monitoring narrative drafting, top-risks identification, declaration parsing, signature-pace coaching; plus the central co-pilot rail with citations, context-aware suggestions, and trust-claim explanations.</w:t>
      </w:r>
    </w:p>
    <w:p>
      <w:pPr>
        <w:spacing w:after="80" w:before="60" w:line="300"/>
        <w:jc w:val="left"/>
      </w:pPr>
      <w:r>
        <w:rPr>
          <w:rFonts w:ascii="Arial" w:cs="Arial" w:eastAsia="Arial" w:hAnsi="Arial"/>
          <w:b/>
          <w:bCs/>
          <w:color w:val="1A1410"/>
          <w:sz w:val="22"/>
          <w:szCs w:val="22"/>
        </w:rPr>
        <w:t xml:space="preserve">Why no competitor matches this. </w:t>
      </w:r>
      <w:r>
        <w:rPr>
          <w:rFonts w:ascii="Arial" w:cs="Arial" w:eastAsia="Arial" w:hAnsi="Arial"/>
          <w:color w:val="1A1410"/>
          <w:sz w:val="22"/>
          <w:szCs w:val="22"/>
        </w:rPr>
        <w:t xml:space="preserve">Mainstream vendors are bolting AI on, not rebuilding — Submittable’s Review AI layers over its form engine, Salesforce Einstein rides the same NPSP data shape, Bonterra adds prediction over historical grant tables. Foundation AI adoption is near-zero (97% not screening with GenAI). And multilingual Global-South coverage is a structural moat: 98%+ of African languages are unsupported by mainstream LLMs, so Kuja’s six-language parity, Whisper fallback, and confidence-band UI for low-resource languages are a capability incumbents cannot quickly copy.</w:t>
      </w:r>
    </w:p>
    <w:p>
      <w:pPr>
        <w:spacing w:after="80" w:before="60" w:line="300"/>
        <w:jc w:val="left"/>
      </w:pPr>
      <w:r>
        <w:rPr>
          <w:rFonts w:ascii="Arial" w:cs="Arial" w:eastAsia="Arial" w:hAnsi="Arial"/>
          <w:i/>
          <w:iCs/>
          <w:color w:val="6B6660"/>
          <w:sz w:val="18"/>
          <w:szCs w:val="18"/>
        </w:rPr>
        <w:t xml:space="preserve">Cost discipline: Anthropic prompt caching plus per-organization AI budget gates keep AI spend predictable; translation runs on Haiku, reasoning on Sonnet-class models; target AI cost as a share of revenue is under 12%.</w:t>
      </w:r>
    </w:p>
    <w:p>
      <w:pPr>
        <w:pStyle w:val="Heading1"/>
        <w:pageBreakBefore/>
        <w:spacing w:after="200" w:before="320"/>
      </w:pPr>
      <w:r>
        <w:rPr>
          <w:rFonts w:ascii="Arial" w:cs="Arial" w:eastAsia="Arial" w:hAnsi="Arial"/>
          <w:b/>
          <w:bCs/>
          <w:color w:val="C2410C"/>
          <w:sz w:val="36"/>
          <w:szCs w:val="36"/>
        </w:rPr>
        <w:t xml:space="preserve">9. Traction and Proof</w:t>
      </w:r>
    </w:p>
    <w:p>
      <w:pPr>
        <w:spacing w:after="80" w:before="60" w:line="300"/>
        <w:jc w:val="left"/>
      </w:pPr>
      <w:r>
        <w:rPr>
          <w:rFonts w:ascii="Arial" w:cs="Arial" w:eastAsia="Arial" w:hAnsi="Arial"/>
          <w:color w:val="1A1410"/>
          <w:sz w:val="22"/>
          <w:szCs w:val="22"/>
        </w:rPr>
        <w:t xml:space="preserve">The platform is production-deployed, not a roadmap. This section is the honest picture — what is live and verified, and what is not yet closed.</w:t>
      </w:r>
    </w:p>
    <w:p>
      <w:pPr>
        <w:pStyle w:val="Heading2"/>
        <w:spacing w:after="140" w:before="280"/>
      </w:pPr>
      <w:r>
        <w:rPr>
          <w:rFonts w:ascii="Arial" w:cs="Arial" w:eastAsia="Arial" w:hAnsi="Arial"/>
          <w:b/>
          <w:bCs/>
          <w:color w:val="7C2D12"/>
          <w:sz w:val="28"/>
          <w:szCs w:val="28"/>
        </w:rPr>
        <w:t xml:space="preserve">9.1 Live and verified</w:t>
      </w:r>
    </w:p>
    <w:p>
      <w:pPr>
        <w:pStyle w:val="ListParagraph"/>
        <w:numPr>
          <w:ilvl w:val="0"/>
          <w:numId w:val="2"/>
        </w:numPr>
        <w:spacing w:after="60" w:before="30" w:line="280"/>
      </w:pPr>
      <w:r>
        <w:rPr>
          <w:rFonts w:ascii="Arial" w:cs="Arial" w:eastAsia="Arial" w:hAnsi="Arial"/>
          <w:b/>
          <w:bCs/>
          <w:color w:val="1A1410"/>
          <w:sz w:val="22"/>
          <w:szCs w:val="22"/>
        </w:rPr>
        <w:t xml:space="preserve">Four live tenants on one codebase: </w:t>
      </w:r>
      <w:r>
        <w:rPr>
          <w:rFonts w:ascii="Arial" w:cs="Arial" w:eastAsia="Arial" w:hAnsi="Arial"/>
          <w:color w:val="1A1410"/>
          <w:sz w:val="22"/>
          <w:szCs w:val="22"/>
        </w:rPr>
        <w:t xml:space="preserve">the open Marketplace, the NEAR closed-network reference, the Proximate Fund (Sudan crisis-context, live July 2026), and Saxansaxo (Somalia SCLR, live 20 July 2026 — signed design to live tenant in fifteen days).</w:t>
      </w:r>
    </w:p>
    <w:p>
      <w:pPr>
        <w:pStyle w:val="ListParagraph"/>
        <w:numPr>
          <w:ilvl w:val="0"/>
          <w:numId w:val="2"/>
        </w:numPr>
        <w:spacing w:after="60" w:before="30" w:line="280"/>
      </w:pPr>
      <w:r>
        <w:rPr>
          <w:rFonts w:ascii="Arial" w:cs="Arial" w:eastAsia="Arial" w:hAnsi="Arial"/>
          <w:b/>
          <w:bCs/>
          <w:color w:val="1A1410"/>
          <w:sz w:val="22"/>
          <w:szCs w:val="22"/>
        </w:rPr>
        <w:t xml:space="preserve">Verified test coverage: </w:t>
      </w:r>
      <w:r>
        <w:rPr>
          <w:rFonts w:ascii="Arial" w:cs="Arial" w:eastAsia="Arial" w:hAnsi="Arial"/>
          <w:color w:val="1A1410"/>
          <w:sz w:val="22"/>
          <w:szCs w:val="22"/>
        </w:rPr>
        <w:t xml:space="preserve">54/54 full E2E regression PASS, 19/19 NEAR UAT PASS, 67/67 logic invariants PASS, 50/50 sustained health probes PASS, 7/7 live AI surface health checks PASS. 130+ numbered phases shipped in roughly six months; production deploys daily.</w:t>
      </w:r>
    </w:p>
    <w:p>
      <w:pPr>
        <w:pStyle w:val="ListParagraph"/>
        <w:numPr>
          <w:ilvl w:val="0"/>
          <w:numId w:val="2"/>
        </w:numPr>
        <w:spacing w:after="60" w:before="30" w:line="280"/>
      </w:pPr>
      <w:r>
        <w:rPr>
          <w:rFonts w:ascii="Arial" w:cs="Arial" w:eastAsia="Arial" w:hAnsi="Arial"/>
          <w:b/>
          <w:bCs/>
          <w:color w:val="1A1410"/>
          <w:sz w:val="22"/>
          <w:szCs w:val="22"/>
        </w:rPr>
        <w:t xml:space="preserve">Products: </w:t>
      </w:r>
      <w:r>
        <w:rPr>
          <w:rFonts w:ascii="Arial" w:cs="Arial" w:eastAsia="Arial" w:hAnsi="Arial"/>
          <w:color w:val="1A1410"/>
          <w:sz w:val="22"/>
          <w:szCs w:val="22"/>
        </w:rPr>
        <w:t xml:space="preserve">Marketplace operational (profile publishing, Trust Profile portability, donor discovery); Grant operational (application wizard, AI rubric scoring, reviewer panels, AI-evaluated reporting, voice and photo evidence); ERP in UAT (Finance, Accounting, Grant Budgeting live; Procurement + HR Q3 2026); 50+ AI surfaces in production, telemetered, with verified fallback paths.</w:t>
      </w:r>
    </w:p>
    <w:p>
      <w:pPr>
        <w:pStyle w:val="Heading2"/>
        <w:spacing w:after="140" w:before="280"/>
      </w:pPr>
      <w:r>
        <w:rPr>
          <w:rFonts w:ascii="Arial" w:cs="Arial" w:eastAsia="Arial" w:hAnsi="Arial"/>
          <w:b/>
          <w:bCs/>
          <w:color w:val="7C2D12"/>
          <w:sz w:val="28"/>
          <w:szCs w:val="28"/>
        </w:rPr>
        <w:t xml:space="preserve">9.2 The control-spectrum proof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Two Adeso-operated clients, at opposite ends of the control spectrum, on the same engine.</w:t>
            </w:r>
          </w:p>
          <w:p>
            <w:pPr>
              <w:spacing w:before="80"/>
            </w:pPr>
            <w:r>
              <w:rPr>
                <w:rFonts w:ascii="Arial" w:cs="Arial" w:eastAsia="Arial" w:hAnsi="Arial"/>
                <w:color w:val="1A1410"/>
                <w:sz w:val="22"/>
                <w:szCs w:val="22"/>
              </w:rPr>
              <w:t xml:space="preserve">Proximate demanded more control than any incumbent offers — relational validation, multi-signature co-sign ladders, hawala rails, zero-login Arabic voice flows. Saxansaxo demanded less than any incumbent tolerates — a 10-day disbursement clock, no receipts, no spend policing, only two quiet legal non-negotiables underneath. Both are configurations, not forks. The flexibility claim is production-proven, not asserted.</w:t>
            </w:r>
          </w:p>
        </w:tc>
      </w:tr>
    </w:tbl>
    <w:p>
      <w:pPr>
        <w:pStyle w:val="Heading2"/>
        <w:spacing w:after="140" w:before="280"/>
      </w:pPr>
      <w:r>
        <w:rPr>
          <w:rFonts w:ascii="Arial" w:cs="Arial" w:eastAsia="Arial" w:hAnsi="Arial"/>
          <w:b/>
          <w:bCs/>
          <w:color w:val="7C2D12"/>
          <w:sz w:val="28"/>
          <w:szCs w:val="28"/>
        </w:rPr>
        <w:t xml:space="preserve">9.3 Honest gaps</w:t>
      </w:r>
    </w:p>
    <w:p>
      <w:pPr>
        <w:spacing w:after="80" w:before="60" w:line="300"/>
        <w:jc w:val="left"/>
      </w:pPr>
      <w:r>
        <w:rPr>
          <w:rFonts w:ascii="Arial" w:cs="Arial" w:eastAsia="Arial" w:hAnsi="Arial"/>
          <w:color w:val="1A1410"/>
          <w:sz w:val="22"/>
          <w:szCs w:val="22"/>
        </w:rPr>
        <w:t xml:space="preserve">Tracked openly in the repo backlog and available to any customer under NDA:</w:t>
      </w:r>
    </w:p>
    <w:p>
      <w:pPr>
        <w:pStyle w:val="ListParagraph"/>
        <w:numPr>
          <w:ilvl w:val="0"/>
          <w:numId w:val="2"/>
        </w:numPr>
        <w:spacing w:after="60" w:before="30" w:line="280"/>
      </w:pPr>
      <w:r>
        <w:rPr>
          <w:rFonts w:ascii="Arial" w:cs="Arial" w:eastAsia="Arial" w:hAnsi="Arial"/>
          <w:color w:val="1A1410"/>
          <w:sz w:val="22"/>
          <w:szCs w:val="22"/>
        </w:rPr>
        <w:t xml:space="preserve">Production email transport not yet wired on Railway — transactional emails log-only until configured.</w:t>
      </w:r>
    </w:p>
    <w:p>
      <w:pPr>
        <w:pStyle w:val="ListParagraph"/>
        <w:numPr>
          <w:ilvl w:val="0"/>
          <w:numId w:val="2"/>
        </w:numPr>
        <w:spacing w:after="60" w:before="30" w:line="280"/>
      </w:pPr>
      <w:r>
        <w:rPr>
          <w:rFonts w:ascii="Arial" w:cs="Arial" w:eastAsia="Arial" w:hAnsi="Arial"/>
          <w:color w:val="1A1410"/>
          <w:sz w:val="22"/>
          <w:szCs w:val="22"/>
        </w:rPr>
        <w:t xml:space="preserve">Whisper API key not yet set on production — Somali/Swahili/Arabic voice users currently rely on the listen-back-and-type fallback.</w:t>
      </w:r>
    </w:p>
    <w:p>
      <w:pPr>
        <w:pStyle w:val="ListParagraph"/>
        <w:numPr>
          <w:ilvl w:val="0"/>
          <w:numId w:val="2"/>
        </w:numPr>
        <w:spacing w:after="60" w:before="30" w:line="280"/>
      </w:pPr>
      <w:r>
        <w:rPr>
          <w:rFonts w:ascii="Arial" w:cs="Arial" w:eastAsia="Arial" w:hAnsi="Arial"/>
          <w:color w:val="1A1410"/>
          <w:sz w:val="22"/>
          <w:szCs w:val="22"/>
        </w:rPr>
        <w:t xml:space="preserve">Cross-tenant penetration test scheduled for Q3 2026 before the second paid network tenant signs.</w:t>
      </w:r>
    </w:p>
    <w:p>
      <w:pPr>
        <w:pStyle w:val="ListParagraph"/>
        <w:numPr>
          <w:ilvl w:val="0"/>
          <w:numId w:val="2"/>
        </w:numPr>
        <w:spacing w:after="60" w:before="30" w:line="280"/>
      </w:pPr>
      <w:r>
        <w:rPr>
          <w:rFonts w:ascii="Arial" w:cs="Arial" w:eastAsia="Arial" w:hAnsi="Arial"/>
          <w:color w:val="1A1410"/>
          <w:sz w:val="22"/>
          <w:szCs w:val="22"/>
        </w:rPr>
        <w:t xml:space="preserve">Native-language user testing on real low-cost Android devices — recruitment pending.</w:t>
      </w:r>
    </w:p>
    <w:p>
      <w:pPr>
        <w:pStyle w:val="Heading1"/>
        <w:pageBreakBefore/>
        <w:spacing w:after="200" w:before="320"/>
      </w:pPr>
      <w:r>
        <w:rPr>
          <w:rFonts w:ascii="Arial" w:cs="Arial" w:eastAsia="Arial" w:hAnsi="Arial"/>
          <w:b/>
          <w:bCs/>
          <w:color w:val="C2410C"/>
          <w:sz w:val="36"/>
          <w:szCs w:val="36"/>
        </w:rPr>
        <w:t xml:space="preserve">10. Go-to-Market and Pricing</w:t>
      </w:r>
    </w:p>
    <w:p>
      <w:pPr>
        <w:spacing w:after="80" w:before="60" w:line="300"/>
        <w:jc w:val="left"/>
      </w:pPr>
      <w:r>
        <w:rPr>
          <w:rFonts w:ascii="Arial" w:cs="Arial" w:eastAsia="Arial" w:hAnsi="Arial"/>
          <w:color w:val="1A1410"/>
          <w:sz w:val="22"/>
          <w:szCs w:val="22"/>
        </w:rPr>
        <w:t xml:space="preserve">Same platform, three products, five distinct ways they get bought. The architecture never changes; what changes is who signs, what they pay for, and which product they land on. Motions and pricing are developed in full in Strategy V3.9 Sections 7, 9, and 10; the summary follows.</w:t>
      </w:r>
    </w:p>
    <w:p>
      <w:pPr>
        <w:pStyle w:val="Heading2"/>
        <w:spacing w:after="140" w:before="280"/>
      </w:pPr>
      <w:r>
        <w:rPr>
          <w:rFonts w:ascii="Arial" w:cs="Arial" w:eastAsia="Arial" w:hAnsi="Arial"/>
          <w:b/>
          <w:bCs/>
          <w:color w:val="7C2D12"/>
          <w:sz w:val="28"/>
          <w:szCs w:val="28"/>
        </w:rPr>
        <w:t xml:space="preserve">10.1 Five motions</w:t>
      </w:r>
    </w:p>
    <w:p>
      <w:pPr>
        <w:pStyle w:val="ListParagraph"/>
        <w:numPr>
          <w:ilvl w:val="0"/>
          <w:numId w:val="2"/>
        </w:numPr>
        <w:spacing w:after="60" w:before="30" w:line="280"/>
      </w:pPr>
      <w:r>
        <w:rPr>
          <w:rFonts w:ascii="Arial" w:cs="Arial" w:eastAsia="Arial" w:hAnsi="Arial"/>
          <w:b/>
          <w:bCs/>
          <w:color w:val="1A1410"/>
          <w:sz w:val="22"/>
          <w:szCs w:val="22"/>
        </w:rPr>
        <w:t xml:space="preserve">A — Marketplace for NGOs/networks: </w:t>
      </w:r>
      <w:r>
        <w:rPr>
          <w:rFonts w:ascii="Arial" w:cs="Arial" w:eastAsia="Arial" w:hAnsi="Arial"/>
          <w:color w:val="1A1410"/>
          <w:sz w:val="22"/>
          <w:szCs w:val="22"/>
        </w:rPr>
        <w:t xml:space="preserve">freemium networking plus a paid full Trust Profile. Product-led; builds the supply side.</w:t>
      </w:r>
    </w:p>
    <w:p>
      <w:pPr>
        <w:pStyle w:val="ListParagraph"/>
        <w:numPr>
          <w:ilvl w:val="0"/>
          <w:numId w:val="2"/>
        </w:numPr>
        <w:spacing w:after="60" w:before="30" w:line="280"/>
      </w:pPr>
      <w:r>
        <w:rPr>
          <w:rFonts w:ascii="Arial" w:cs="Arial" w:eastAsia="Arial" w:hAnsi="Arial"/>
          <w:b/>
          <w:bCs/>
          <w:color w:val="1A1410"/>
          <w:sz w:val="22"/>
          <w:szCs w:val="22"/>
        </w:rPr>
        <w:t xml:space="preserve">B — Marketplace for donors/intermediaries: </w:t>
      </w:r>
      <w:r>
        <w:rPr>
          <w:rFonts w:ascii="Arial" w:cs="Arial" w:eastAsia="Arial" w:hAnsi="Arial"/>
          <w:color w:val="1A1410"/>
          <w:sz w:val="22"/>
          <w:szCs w:val="22"/>
        </w:rPr>
        <w:t xml:space="preserve">paid AI-driven portfolio discovery on verified organizations. Builds the demand side and solves the chicken-and-egg problem.</w:t>
      </w:r>
    </w:p>
    <w:p>
      <w:pPr>
        <w:pStyle w:val="ListParagraph"/>
        <w:numPr>
          <w:ilvl w:val="0"/>
          <w:numId w:val="2"/>
        </w:numPr>
        <w:spacing w:after="60" w:before="30" w:line="280"/>
      </w:pPr>
      <w:r>
        <w:rPr>
          <w:rFonts w:ascii="Arial" w:cs="Arial" w:eastAsia="Arial" w:hAnsi="Arial"/>
          <w:b/>
          <w:bCs/>
          <w:color w:val="1A1410"/>
          <w:sz w:val="22"/>
          <w:szCs w:val="22"/>
        </w:rPr>
        <w:t xml:space="preserve">C — Marketplace + Grant, land-and-expand: </w:t>
      </w:r>
      <w:r>
        <w:rPr>
          <w:rFonts w:ascii="Arial" w:cs="Arial" w:eastAsia="Arial" w:hAnsi="Arial"/>
          <w:color w:val="1A1410"/>
          <w:sz w:val="22"/>
          <w:szCs w:val="22"/>
        </w:rPr>
        <w:t xml:space="preserve">the core revenue engine. Four rungs — Grant (C1), + ERP grantee sponsorship (C2), + the customer’s own-org ERP (C3), + both (C4). Each rung is a separate, independently usable buying decision.</w:t>
      </w:r>
    </w:p>
    <w:p>
      <w:pPr>
        <w:pStyle w:val="ListParagraph"/>
        <w:numPr>
          <w:ilvl w:val="0"/>
          <w:numId w:val="2"/>
        </w:numPr>
        <w:spacing w:after="60" w:before="30" w:line="280"/>
      </w:pPr>
      <w:r>
        <w:rPr>
          <w:rFonts w:ascii="Arial" w:cs="Arial" w:eastAsia="Arial" w:hAnsi="Arial"/>
          <w:b/>
          <w:bCs/>
          <w:color w:val="1A1410"/>
          <w:sz w:val="22"/>
          <w:szCs w:val="22"/>
        </w:rPr>
        <w:t xml:space="preserve">D — Closed, white-labeled tenants: </w:t>
      </w:r>
      <w:r>
        <w:rPr>
          <w:rFonts w:ascii="Arial" w:cs="Arial" w:eastAsia="Arial" w:hAnsi="Arial"/>
          <w:color w:val="1A1410"/>
          <w:sz w:val="22"/>
          <w:szCs w:val="22"/>
        </w:rPr>
        <w:t xml:space="preserve">live in production today (NEAR, Proximate, Saxansaxo). Annual hosted-tenant fee plus per-grant transaction fee; data-portable spin-out from Year 2.</w:t>
      </w:r>
    </w:p>
    <w:p>
      <w:pPr>
        <w:pStyle w:val="ListParagraph"/>
        <w:numPr>
          <w:ilvl w:val="0"/>
          <w:numId w:val="2"/>
        </w:numPr>
        <w:spacing w:after="60" w:before="30" w:line="280"/>
      </w:pPr>
      <w:r>
        <w:rPr>
          <w:rFonts w:ascii="Arial" w:cs="Arial" w:eastAsia="Arial" w:hAnsi="Arial"/>
          <w:b/>
          <w:bCs/>
          <w:color w:val="1A1410"/>
          <w:sz w:val="22"/>
          <w:szCs w:val="22"/>
        </w:rPr>
        <w:t xml:space="preserve">E — Trust Profile licensing to due-diligence providers: </w:t>
      </w:r>
      <w:r>
        <w:rPr>
          <w:rFonts w:ascii="Arial" w:cs="Arial" w:eastAsia="Arial" w:hAnsi="Arial"/>
          <w:color w:val="1A1410"/>
          <w:sz w:val="22"/>
          <w:szCs w:val="22"/>
        </w:rPr>
        <w:t xml:space="preserve">exploratory; API-access preference; pending a feasibility study.</w:t>
      </w:r>
    </w:p>
    <w:p>
      <w:pPr>
        <w:pStyle w:val="Heading2"/>
        <w:spacing w:after="140" w:before="280"/>
      </w:pPr>
      <w:r>
        <w:rPr>
          <w:rFonts w:ascii="Arial" w:cs="Arial" w:eastAsia="Arial" w:hAnsi="Arial"/>
          <w:b/>
          <w:bCs/>
          <w:color w:val="7C2D12"/>
          <w:sz w:val="28"/>
          <w:szCs w:val="28"/>
        </w:rPr>
        <w:t xml:space="preserve">10.2 Pricing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Offer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Indicative price</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pilot (Path 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$25K–$50K all-in, 90–120 days</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One end-to-end program; foundation pays; lowest-cost entry to the Motion C ladder.</w:t>
            </w:r>
          </w:p>
        </w:tc>
      </w:tr>
      <w:tr>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cohort pilot (Path B)</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$40K–$200K Year 1</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Five grantees; Grant only (~$40K), ERP sponsorship (~$160K), or both (~$200K).</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tenant (Path C / Motion D)</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~$60K–$150K annual + $200–$500 per grant</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Hosted tenant, configured rubrics/OB roster, audit chain from day one; optional secretariat ERP.</w:t>
            </w:r>
          </w:p>
        </w:tc>
      </w:tr>
      <w:tr>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Trust Profile &amp; donor discovery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Freemium → paid subscription</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Free networking + basic profile; paid full Trust Profile and paid donor discovery.</w:t>
            </w:r>
          </w:p>
        </w:tc>
      </w:tr>
    </w:tbl>
    <w:p>
      <w:pPr>
        <w:spacing w:after="80" w:before="60" w:line="300"/>
        <w:jc w:val="left"/>
      </w:pPr>
      <w:r>
        <w:rPr>
          <w:rFonts w:ascii="Arial" w:cs="Arial" w:eastAsia="Arial" w:hAnsi="Arial"/>
          <w:i/>
          <w:iCs/>
          <w:color w:val="6B6660"/>
          <w:sz w:val="18"/>
          <w:szCs w:val="18"/>
        </w:rPr>
        <w:t xml:space="preserve">Every price point is a hypothesis pending pilot validation (Strategy V3.9 Section 10.6). Revenue projections: Conservative &gt;$2.5M (2028) and ~$5.6M (2029), break-even H2 2029, profitable 2030; Ambitious &gt;$4M (2028), break-even H1 2028. The three-product, services-light mix carries structurally higher gross margin than the prior plan.</w:t>
      </w:r>
    </w:p>
    <w:p>
      <w:pPr>
        <w:pStyle w:val="Heading1"/>
        <w:pageBreakBefore/>
        <w:spacing w:after="200" w:before="320"/>
      </w:pPr>
      <w:r>
        <w:rPr>
          <w:rFonts w:ascii="Arial" w:cs="Arial" w:eastAsia="Arial" w:hAnsi="Arial"/>
          <w:b/>
          <w:bCs/>
          <w:color w:val="C2410C"/>
          <w:sz w:val="36"/>
          <w:szCs w:val="36"/>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Risk</w:t>
            </w:r>
          </w:p>
        </w:tc>
        <w:tc>
          <w:tcPr>
            <w:tcW w:type="dxa" w:w="5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Mitigation</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Partner-led implementation quality — a weak regional partner damages the brand; one Adeso proof point may not generalise.</w:t>
            </w:r>
          </w:p>
        </w:tc>
        <w:tc>
          <w:tcPr>
            <w:tcW w:type="dxa" w:w="5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Partner certification with structured playbooks; software-layer non-compete keeps incentives aligned; joint delivery on first engagements; five-grantee pilots before scaling; open backlog with every customer.</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Customer concentration in Years 1–2 — revenue heavy in 2–3 customers.</w:t>
            </w:r>
          </w:p>
        </w:tc>
        <w:tc>
          <w:tcPr>
            <w:tcW w:type="dxa" w:w="5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Diversify the pilot pipeline across five motions in parallel; land-and-expand up the Motion C ladder within each customer; annual contracts with quarterly value reviews.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Platform adoption — new software is a behaviour change.</w:t>
            </w:r>
          </w:p>
        </w:tc>
        <w:tc>
          <w:tcPr>
            <w:tcW w:type="dxa" w:w="5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Six months of support in every implementation; voice and photo input reduce typing burden; six-language parity removes the English barrier; mobile-first.</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AI cost spike or hallucination.</w:t>
            </w:r>
          </w:p>
        </w:tc>
        <w:tc>
          <w:tcPr>
            <w:tcW w:type="dxa" w:w="5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Prompt caching, model tiering (Haiku for translation, Sonnet-class for reasoning), per-org budget gates, daily cost projection; every output grounded with citations, every workflow with a deterministic fallback, telemetry per endpoint.</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Cross-tenant security review — multi-tenant architecture not yet independently pen-tested.</w:t>
            </w:r>
          </w:p>
        </w:tc>
        <w:tc>
          <w:tcPr>
            <w:tcW w:type="dxa" w:w="5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External pen-test scheduled Q3 2026 before the second paid network tenant; SLOW_REQUEST observability live; audit-chain integrity validated; outcomes published to customers under NDA.</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Bilateral/government procurement delays (9–18 months).</w:t>
            </w:r>
          </w:p>
        </w:tc>
        <w:tc>
          <w:tcPr>
            <w:tcW w:type="dxa" w:w="5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Bilateral is deliberately not the 2026–2027 focus; foundation and network motions run 3–6 month cycles; bilateral becomes meaningful in 2028+.</w:t>
            </w:r>
          </w:p>
        </w:tc>
      </w:tr>
    </w:tbl>
    <w:p>
      <w:pPr>
        <w:pStyle w:val="Heading1"/>
        <w:pageBreakBefore/>
        <w:spacing w:after="200" w:before="320"/>
      </w:pPr>
      <w:r>
        <w:rPr>
          <w:rFonts w:ascii="Arial" w:cs="Arial" w:eastAsia="Arial" w:hAnsi="Arial"/>
          <w:b/>
          <w:bCs/>
          <w:color w:val="C2410C"/>
          <w:sz w:val="36"/>
          <w:szCs w:val="36"/>
        </w:rPr>
        <w:t xml:space="preserve">12. Sources and Bibliography</w:t>
      </w:r>
    </w:p>
    <w:p>
      <w:pPr>
        <w:spacing w:after="80" w:before="60" w:line="300"/>
        <w:jc w:val="left"/>
      </w:pPr>
      <w:r>
        <w:rPr>
          <w:rFonts w:ascii="Arial" w:cs="Arial" w:eastAsia="Arial" w:hAnsi="Arial"/>
          <w:color w:val="1A1410"/>
          <w:sz w:val="22"/>
          <w:szCs w:val="22"/>
        </w:rPr>
        <w:t xml:space="preserve">Every statistical claim is traceable to a published source. Where a figure could not be verified from a public primary source, this document drops it or flags it as directional. Full bibliography in Business Strategy V3.9 Section 19 and the companion Kuja Grant Market Analysis (July 2026 R2).</w:t>
      </w:r>
    </w:p>
    <w:p>
      <w:pPr>
        <w:pStyle w:val="Heading2"/>
        <w:spacing w:after="140" w:before="280"/>
      </w:pPr>
      <w:r>
        <w:rPr>
          <w:rFonts w:ascii="Arial" w:cs="Arial" w:eastAsia="Arial" w:hAnsi="Arial"/>
          <w:b/>
          <w:bCs/>
          <w:color w:val="7C2D12"/>
          <w:sz w:val="28"/>
          <w:szCs w:val="28"/>
        </w:rPr>
        <w:t xml:space="preserve">Funding landscape, localization, and philanthropy</w:t>
      </w:r>
    </w:p>
    <w:p>
      <w:pPr>
        <w:pStyle w:val="ListParagraph"/>
        <w:numPr>
          <w:ilvl w:val="0"/>
          <w:numId w:val="2"/>
        </w:numPr>
        <w:spacing w:after="60" w:before="30" w:line="280"/>
      </w:pPr>
      <w:r>
        <w:rPr>
          <w:rFonts w:ascii="Arial" w:cs="Arial" w:eastAsia="Arial" w:hAnsi="Arial"/>
          <w:i/>
          <w:iCs/>
          <w:color w:val="6B6660"/>
          <w:sz w:val="18"/>
          <w:szCs w:val="18"/>
        </w:rPr>
        <w:t xml:space="preserve">OECD (April 2026). A Historic Decline in Foreign Aid: Preliminary 2025 ODA Data.</w:t>
      </w:r>
    </w:p>
    <w:p>
      <w:pPr>
        <w:pStyle w:val="ListParagraph"/>
        <w:numPr>
          <w:ilvl w:val="0"/>
          <w:numId w:val="2"/>
        </w:numPr>
        <w:spacing w:after="60" w:before="30" w:line="280"/>
      </w:pPr>
      <w:r>
        <w:rPr>
          <w:rFonts w:ascii="Arial" w:cs="Arial" w:eastAsia="Arial" w:hAnsi="Arial"/>
          <w:i/>
          <w:iCs/>
          <w:color w:val="6B6660"/>
          <w:sz w:val="18"/>
          <w:szCs w:val="18"/>
        </w:rPr>
        <w:t xml:space="preserve">Donor Tracker (2025); Reuters / Malay Mail (10 March 2025) — USAID closure and program terminations.</w:t>
      </w:r>
    </w:p>
    <w:p>
      <w:pPr>
        <w:pStyle w:val="ListParagraph"/>
        <w:numPr>
          <w:ilvl w:val="0"/>
          <w:numId w:val="2"/>
        </w:numPr>
        <w:spacing w:after="60" w:before="30" w:line="280"/>
      </w:pPr>
      <w:r>
        <w:rPr>
          <w:rFonts w:ascii="Arial" w:cs="Arial" w:eastAsia="Arial" w:hAnsi="Arial"/>
          <w:i/>
          <w:iCs/>
          <w:color w:val="6B6660"/>
          <w:sz w:val="18"/>
          <w:szCs w:val="18"/>
        </w:rPr>
        <w:t xml:space="preserve">ALNAP / Global Humanitarian Assistance Report 2025 — funding to local actors at 7.5% (2024).</w:t>
      </w:r>
    </w:p>
    <w:p>
      <w:pPr>
        <w:pStyle w:val="ListParagraph"/>
        <w:numPr>
          <w:ilvl w:val="0"/>
          <w:numId w:val="2"/>
        </w:numPr>
        <w:spacing w:after="60" w:before="30" w:line="280"/>
      </w:pPr>
      <w:r>
        <w:rPr>
          <w:rFonts w:ascii="Arial" w:cs="Arial" w:eastAsia="Arial" w:hAnsi="Arial"/>
          <w:i/>
          <w:iCs/>
          <w:color w:val="6B6660"/>
          <w:sz w:val="18"/>
          <w:szCs w:val="18"/>
        </w:rPr>
        <w:t xml:space="preserve">OECD (Dec 2025). Private Philanthropy for Development, 3rd Edition.</w:t>
      </w:r>
    </w:p>
    <w:p>
      <w:pPr>
        <w:pStyle w:val="ListParagraph"/>
        <w:numPr>
          <w:ilvl w:val="0"/>
          <w:numId w:val="2"/>
        </w:numPr>
        <w:spacing w:after="60" w:before="30" w:line="280"/>
      </w:pPr>
      <w:r>
        <w:rPr>
          <w:rFonts w:ascii="Arial" w:cs="Arial" w:eastAsia="Arial" w:hAnsi="Arial"/>
          <w:i/>
          <w:iCs/>
          <w:color w:val="6B6660"/>
          <w:sz w:val="18"/>
          <w:szCs w:val="18"/>
        </w:rPr>
        <w:t xml:space="preserve">CBS News (2025) — MacKenzie Scott 2025 giving; Ford Foundation (2024) — BUILD; IKEA Foundation Annual Report 2024.</w:t>
      </w:r>
    </w:p>
    <w:p>
      <w:pPr>
        <w:pStyle w:val="Heading2"/>
        <w:spacing w:after="140" w:before="280"/>
      </w:pPr>
      <w:r>
        <w:rPr>
          <w:rFonts w:ascii="Arial" w:cs="Arial" w:eastAsia="Arial" w:hAnsi="Arial"/>
          <w:b/>
          <w:bCs/>
          <w:color w:val="7C2D12"/>
          <w:sz w:val="28"/>
          <w:szCs w:val="28"/>
        </w:rPr>
        <w:t xml:space="preserve">Grant management software market</w:t>
      </w:r>
    </w:p>
    <w:p>
      <w:pPr>
        <w:pStyle w:val="ListParagraph"/>
        <w:numPr>
          <w:ilvl w:val="0"/>
          <w:numId w:val="2"/>
        </w:numPr>
        <w:spacing w:after="60" w:before="30" w:line="280"/>
      </w:pPr>
      <w:r>
        <w:rPr>
          <w:rFonts w:ascii="Arial" w:cs="Arial" w:eastAsia="Arial" w:hAnsi="Arial"/>
          <w:i/>
          <w:iCs/>
          <w:color w:val="6B6660"/>
          <w:sz w:val="18"/>
          <w:szCs w:val="18"/>
        </w:rPr>
        <w:t xml:space="preserve">Mordor Intelligence — Grant Management Software Market: $2.56B (2025) → $4.23B (2030) at 10.57% CAGR; NA 45.12% of 2024. https://www.mordorintelligence.com/industry-reports/grant-management-software-market</w:t>
      </w:r>
    </w:p>
    <w:p>
      <w:pPr>
        <w:pStyle w:val="ListParagraph"/>
        <w:numPr>
          <w:ilvl w:val="0"/>
          <w:numId w:val="2"/>
        </w:numPr>
        <w:spacing w:after="60" w:before="30" w:line="280"/>
      </w:pPr>
      <w:r>
        <w:rPr>
          <w:rFonts w:ascii="Arial" w:cs="Arial" w:eastAsia="Arial" w:hAnsi="Arial"/>
          <w:i/>
          <w:iCs/>
          <w:color w:val="6B6660"/>
          <w:sz w:val="18"/>
          <w:szCs w:val="18"/>
        </w:rPr>
        <w:t xml:space="preserve">Grand View Research — $2.66B (2024) → $6.19B (2033) at 10.0% CAGR.</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 $3.38B (2026) → $8.09B (2035).</w:t>
      </w:r>
    </w:p>
    <w:p>
      <w:pPr>
        <w:pStyle w:val="ListParagraph"/>
        <w:numPr>
          <w:ilvl w:val="0"/>
          <w:numId w:val="2"/>
        </w:numPr>
        <w:spacing w:after="60" w:before="30" w:line="280"/>
      </w:pPr>
      <w:r>
        <w:rPr>
          <w:rFonts w:ascii="Arial" w:cs="Arial" w:eastAsia="Arial" w:hAnsi="Arial"/>
          <w:i/>
          <w:iCs/>
          <w:color w:val="6B6660"/>
          <w:sz w:val="18"/>
          <w:szCs w:val="18"/>
        </w:rPr>
        <w:t xml:space="preserve">Plinth (2025) — Grant Management Systems Compared; Submittable, Fluxx, Instrumentl vendor pages and Capterra listings.</w:t>
      </w:r>
    </w:p>
    <w:p>
      <w:pPr>
        <w:pStyle w:val="Heading2"/>
        <w:spacing w:after="140" w:before="280"/>
      </w:pPr>
      <w:r>
        <w:rPr>
          <w:rFonts w:ascii="Arial" w:cs="Arial" w:eastAsia="Arial" w:hAnsi="Arial"/>
          <w:b/>
          <w:bCs/>
          <w:color w:val="7C2D12"/>
          <w:sz w:val="28"/>
          <w:szCs w:val="28"/>
        </w:rPr>
        <w:t xml:space="preserve">NGO ERP / accounting</w:t>
      </w:r>
    </w:p>
    <w:p>
      <w:pPr>
        <w:pStyle w:val="ListParagraph"/>
        <w:numPr>
          <w:ilvl w:val="0"/>
          <w:numId w:val="2"/>
        </w:numPr>
        <w:spacing w:after="60" w:before="30" w:line="280"/>
      </w:pPr>
      <w:r>
        <w:rPr>
          <w:rFonts w:ascii="Arial" w:cs="Arial" w:eastAsia="Arial" w:hAnsi="Arial"/>
          <w:i/>
          <w:iCs/>
          <w:color w:val="6B6660"/>
          <w:sz w:val="18"/>
          <w:szCs w:val="18"/>
        </w:rPr>
        <w:t xml:space="preserve">BT Partners (2025); ERP Research (2025) — Sage Intacct and NetSuite nonprofit pricing.</w:t>
      </w:r>
    </w:p>
    <w:p>
      <w:pPr>
        <w:pStyle w:val="ListParagraph"/>
        <w:numPr>
          <w:ilvl w:val="0"/>
          <w:numId w:val="2"/>
        </w:numPr>
        <w:spacing w:after="60" w:before="30" w:line="280"/>
      </w:pPr>
      <w:r>
        <w:rPr>
          <w:rFonts w:ascii="Arial" w:cs="Arial" w:eastAsia="Arial" w:hAnsi="Arial"/>
          <w:i/>
          <w:iCs/>
          <w:color w:val="6B6660"/>
          <w:sz w:val="18"/>
          <w:szCs w:val="18"/>
        </w:rPr>
        <w:t xml:space="preserve">Odoo (2024) — Odoo Experience: Utilizing Odoo for NGOs (Virunga Foundation).</w:t>
      </w:r>
    </w:p>
    <w:p>
      <w:pPr>
        <w:pStyle w:val="Heading2"/>
        <w:spacing w:after="140" w:before="280"/>
      </w:pPr>
      <w:r>
        <w:rPr>
          <w:rFonts w:ascii="Arial" w:cs="Arial" w:eastAsia="Arial" w:hAnsi="Arial"/>
          <w:b/>
          <w:bCs/>
          <w:color w:val="7C2D12"/>
          <w:sz w:val="28"/>
          <w:szCs w:val="28"/>
        </w:rPr>
        <w:t xml:space="preserve">Marketplaces and networks</w:t>
      </w:r>
    </w:p>
    <w:p>
      <w:pPr>
        <w:pStyle w:val="ListParagraph"/>
        <w:numPr>
          <w:ilvl w:val="0"/>
          <w:numId w:val="2"/>
        </w:numPr>
        <w:spacing w:after="60" w:before="30" w:line="280"/>
      </w:pPr>
      <w:r>
        <w:rPr>
          <w:rFonts w:ascii="Arial" w:cs="Arial" w:eastAsia="Arial" w:hAnsi="Arial"/>
          <w:i/>
          <w:iCs/>
          <w:color w:val="6B6660"/>
          <w:sz w:val="18"/>
          <w:szCs w:val="18"/>
        </w:rPr>
        <w:t xml:space="preserve">GlobalGiving (2025) — fees support article; Candid Foundation Directory pricing; Instrumentl pricing page.</w:t>
      </w:r>
    </w:p>
    <w:p>
      <w:pPr>
        <w:pStyle w:val="ListParagraph"/>
        <w:numPr>
          <w:ilvl w:val="0"/>
          <w:numId w:val="2"/>
        </w:numPr>
        <w:spacing w:after="60" w:before="30" w:line="280"/>
      </w:pPr>
      <w:r>
        <w:rPr>
          <w:rFonts w:ascii="Arial" w:cs="Arial" w:eastAsia="Arial" w:hAnsi="Arial"/>
          <w:i/>
          <w:iCs/>
          <w:color w:val="6B6660"/>
          <w:sz w:val="18"/>
          <w:szCs w:val="18"/>
        </w:rPr>
        <w:t xml:space="preserve">Start Network (2025) — Start Fund digital platform; NEAR (Network for Empowered Aid Response).</w:t>
      </w:r>
    </w:p>
    <w:p>
      <w:pPr>
        <w:pStyle w:val="Heading2"/>
        <w:spacing w:after="140" w:before="280"/>
      </w:pPr>
      <w:r>
        <w:rPr>
          <w:rFonts w:ascii="Arial" w:cs="Arial" w:eastAsia="Arial" w:hAnsi="Arial"/>
          <w:b/>
          <w:bCs/>
          <w:color w:val="7C2D12"/>
          <w:sz w:val="28"/>
          <w:szCs w:val="28"/>
        </w:rPr>
        <w:t xml:space="preserve">AI adoption and multilingual bias</w:t>
      </w:r>
    </w:p>
    <w:p>
      <w:pPr>
        <w:pStyle w:val="ListParagraph"/>
        <w:numPr>
          <w:ilvl w:val="0"/>
          <w:numId w:val="2"/>
        </w:numPr>
        <w:spacing w:after="60" w:before="30" w:line="280"/>
      </w:pPr>
      <w:r>
        <w:rPr>
          <w:rFonts w:ascii="Arial" w:cs="Arial" w:eastAsia="Arial" w:hAnsi="Arial"/>
          <w:i/>
          <w:iCs/>
          <w:color w:val="6B6660"/>
          <w:sz w:val="18"/>
          <w:szCs w:val="18"/>
        </w:rPr>
        <w:t xml:space="preserve">Virtuous + Fundraising.AI (2026) — Nonprofit AI Adoption Report; Candid (2024) — funder views on AI-generated proposals.</w:t>
      </w:r>
    </w:p>
    <w:p>
      <w:pPr>
        <w:pStyle w:val="ListParagraph"/>
        <w:numPr>
          <w:ilvl w:val="0"/>
          <w:numId w:val="2"/>
        </w:numPr>
        <w:spacing w:after="60" w:before="30" w:line="280"/>
      </w:pPr>
      <w:r>
        <w:rPr>
          <w:rFonts w:ascii="Arial" w:cs="Arial" w:eastAsia="Arial" w:hAnsi="Arial"/>
          <w:i/>
          <w:iCs/>
          <w:color w:val="6B6660"/>
          <w:sz w:val="18"/>
          <w:szCs w:val="18"/>
        </w:rPr>
        <w:t xml:space="preserve">Ford Foundation (Oct 2025) — Humanity AI; Gates Foundation (2026) — AI Principles and Anthropic partnership.</w:t>
      </w:r>
    </w:p>
    <w:p>
      <w:pPr>
        <w:pStyle w:val="ListParagraph"/>
        <w:numPr>
          <w:ilvl w:val="0"/>
          <w:numId w:val="2"/>
        </w:numPr>
        <w:spacing w:after="60" w:before="30" w:line="280"/>
      </w:pPr>
      <w:r>
        <w:rPr>
          <w:rFonts w:ascii="Arial" w:cs="Arial" w:eastAsia="Arial" w:hAnsi="Arial"/>
          <w:i/>
          <w:iCs/>
          <w:color w:val="6B6660"/>
          <w:sz w:val="18"/>
          <w:szCs w:val="18"/>
        </w:rPr>
        <w:t xml:space="preserve">arXiv:2502.19582 — Evaluating LLM Performance on African Languages; Invisible Filters, AIES 2025.</w:t>
      </w:r>
    </w:p>
    <w:p>
      <w:pPr>
        <w:pStyle w:val="Heading2"/>
        <w:spacing w:after="140" w:before="280"/>
      </w:pPr>
      <w:r>
        <w:rPr>
          <w:rFonts w:ascii="Arial" w:cs="Arial" w:eastAsia="Arial" w:hAnsi="Arial"/>
          <w:b/>
          <w:bCs/>
          <w:color w:val="7C2D12"/>
          <w:sz w:val="28"/>
          <w:szCs w:val="28"/>
        </w:rPr>
        <w:t xml:space="preserve">Companion documents</w:t>
      </w:r>
    </w:p>
    <w:p>
      <w:pPr>
        <w:pStyle w:val="ListParagraph"/>
        <w:numPr>
          <w:ilvl w:val="0"/>
          <w:numId w:val="2"/>
        </w:numPr>
        <w:spacing w:after="60" w:before="30" w:line="280"/>
      </w:pPr>
      <w:r>
        <w:rPr>
          <w:rFonts w:ascii="Arial" w:cs="Arial" w:eastAsia="Arial" w:hAnsi="Arial"/>
          <w:i/>
          <w:iCs/>
          <w:color w:val="6B6660"/>
          <w:sz w:val="18"/>
          <w:szCs w:val="18"/>
        </w:rPr>
        <w:t xml:space="preserve">Kuja Business Strategy 2026–2028 V3.9; Kuja Pitch Deck V12; Kuja Grant Market Analysis (July 2026 R2); Kuja Strategy Cohesion Brief (July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660"/>
        <w:sz w:val="18"/>
        <w:szCs w:val="18"/>
      </w:rPr>
      <w:t xml:space="preserve">Confidential · Companion to Strategy V3.9 and Deck V12</w:t>
    </w:r>
    <w:r>
      <w:rPr>
        <w:rFonts w:ascii="Arial" w:cs="Arial" w:eastAsia="Arial" w:hAnsi="Arial"/>
        <w:color w:val="6B6660"/>
        <w:sz w:val="18"/>
        <w:szCs w:val="18"/>
      </w:rPr>
      <w:t xml:space="preserve">	Page </w:t>
    </w:r>
    <w:r>
      <w:rPr>
        <w:rFonts w:ascii="Arial" w:cs="Arial" w:eastAsia="Arial" w:hAnsi="Arial"/>
        <w:color w:val="6B66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6660"/>
        <w:sz w:val="18"/>
        <w:szCs w:val="18"/>
      </w:rPr>
      <w:t xml:space="preserve">KUJA · Product &amp; Market Analysis</w:t>
    </w:r>
    <w:r>
      <w:rPr>
        <w:rFonts w:ascii="Arial" w:cs="Arial" w:eastAsia="Arial" w:hAnsi="Arial"/>
        <w:color w:val="6B6660"/>
        <w:sz w:val="18"/>
        <w:szCs w:val="18"/>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2D1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2026-07-26T19:05:47.636Z</dcterms:created>
  <dcterms:modified xsi:type="dcterms:W3CDTF">2026-07-26T19:05:47.639Z</dcterms:modified>
</cp:coreProperties>
</file>

<file path=docProps/custom.xml><?xml version="1.0" encoding="utf-8"?>
<Properties xmlns="http://schemas.openxmlformats.org/officeDocument/2006/custom-properties" xmlns:vt="http://schemas.openxmlformats.org/officeDocument/2006/docPropsVTypes"/>
</file>