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800"/>
      </w:pPr>
      <w:r>
        <w:rPr>
          <w:rFonts w:ascii="Arial" w:cs="Arial" w:eastAsia="Arial" w:hAnsi="Arial"/>
          <w:b/>
          <w:bCs/>
          <w:color w:val="C2410C"/>
          <w:sz w:val="22"/>
          <w:szCs w:val="22"/>
        </w:rPr>
        <w:t xml:space="preserve">ADESO · PROXIMATE FUND</w:t>
      </w:r>
    </w:p>
    <w:p>
      <w:pPr>
        <w:spacing w:after="140"/>
      </w:pPr>
      <w:r>
        <w:rPr>
          <w:rFonts w:ascii="Arial" w:cs="Arial" w:eastAsia="Arial" w:hAnsi="Arial"/>
          <w:b/>
          <w:bCs/>
          <w:color w:val="1A1410"/>
          <w:sz w:val="58"/>
          <w:szCs w:val="58"/>
        </w:rPr>
        <w:t xml:space="preserve">Operations Runbook</w:t>
      </w:r>
    </w:p>
    <w:p>
      <w:pPr>
        <w:spacing w:after="340"/>
      </w:pPr>
      <w:r>
        <w:rPr>
          <w:rFonts w:ascii="Arial" w:cs="Arial" w:eastAsia="Arial" w:hAnsi="Arial"/>
          <w:color w:val="6B655F"/>
          <w:sz w:val="26"/>
          <w:szCs w:val="26"/>
        </w:rPr>
        <w:t xml:space="preserve">How the system runs, what is configured, and what is still outstanding.</w:t>
      </w:r>
    </w:p>
    <w:p>
      <w:pPr>
        <w:spacing w:after="90" w:before="90"/>
      </w:pPr>
      <w:r>
        <w:rPr>
          <w:rFonts w:ascii="Arial" w:cs="Arial" w:eastAsia="Arial" w:hAnsi="Arial"/>
          <w:color w:val="6B655F"/>
          <w:sz w:val="20"/>
          <w:szCs w:val="20"/>
        </w:rPr>
        <w:t xml:space="preserve">State verified against production on 21 July 2026.</w:t>
      </w:r>
    </w:p>
    <w:p>
      <w:pPr>
        <w:spacing w:after="90" w:before="90"/>
      </w:pPr>
      <w:r>
        <w:rPr>
          <w:rFonts w:ascii="Arial" w:cs="Arial" w:eastAsia="Arial" w:hAnsi="Arial"/>
          <w:color w:val="6B655F"/>
          <w:sz w:val="20"/>
          <w:szCs w:val="20"/>
        </w:rPr>
        <w:t xml:space="preserve">For Adeso platform/IT and the Proximate Oversight Body. Not needed to use the system — see the User Guide for that.</w:t>
      </w:r>
    </w:p>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Attention — </w:t>
            </w:r>
            <w:r>
              <w:rPr>
                <w:rFonts w:ascii="Arial" w:cs="Arial" w:eastAsia="Arial" w:hAnsi="Arial"/>
                <w:color w:val="1A1410"/>
                <w:sz w:val="19"/>
                <w:szCs w:val="19"/>
              </w:rPr>
              <w:t xml:space="preserve">This document names environment variables but contains no secret values, and must stay that way. </w:t>
            </w:r>
            <w:r>
              <w:rPr>
                <w:rFonts w:ascii="Arial" w:cs="Arial" w:eastAsia="Arial" w:hAnsi="Arial"/>
                <w:color w:val="1A1410"/>
                <w:sz w:val="19"/>
                <w:szCs w:val="19"/>
              </w:rPr>
              <w:t xml:space="preserve">Every claim below was checked against the running system; anything unverified is explicitly marked “verify”.</w:t>
            </w:r>
          </w:p>
        </w:tc>
      </w:tr>
    </w:tbl>
    <w:p>
      <w:r>
        <w:br w:type="page"/>
      </w:r>
    </w:p>
    <w:p>
      <w:pPr>
        <w:pStyle w:val="Heading1"/>
      </w:pPr>
      <w:r>
        <w:t xml:space="preserve">1. Outstanding — read this first</w:t>
      </w:r>
    </w:p>
    <w:p>
      <w:pPr>
        <w:spacing w:after="90" w:before="90"/>
      </w:pPr>
      <w:r>
        <w:rPr>
          <w:rFonts w:ascii="Arial" w:cs="Arial" w:eastAsia="Arial" w:hAnsi="Arial"/>
          <w:color w:val="1A1410"/>
          <w:sz w:val="21"/>
          <w:szCs w:val="21"/>
        </w:rPr>
        <w:t xml:space="preserve">Everything else in this runbook is description. This section is the only part with actions in it.</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060"/>
        <w:gridCol w:w="2200"/>
        <w:gridCol w:w="1600"/>
      </w:tblGrid>
      <w:tr>
        <w:trPr>
          <w:tblHeader/>
        </w:trPr>
        <w:tc>
          <w:tcPr>
            <w:tcW w:type="dxa" w:w="5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t>
            </w:r>
          </w:p>
        </w:tc>
        <w:tc>
          <w:tcPr>
            <w:tcW w:type="dxa" w:w="50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Item</w:t>
            </w:r>
          </w:p>
        </w:tc>
        <w:tc>
          <w:tcPr>
            <w:tcW w:type="dxa" w:w="22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Status</w:t>
            </w:r>
          </w:p>
        </w:tc>
        <w:tc>
          <w:tcPr>
            <w:tcW w:type="dxa" w:w="16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Owner</w:t>
            </w:r>
          </w:p>
        </w:tc>
      </w:tr>
      <w:tr>
        <w:tc>
          <w:tcPr>
            <w:tcW w:type="dxa" w:w="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1</w:t>
            </w:r>
          </w:p>
        </w:tc>
        <w:tc>
          <w:tcPr>
            <w:tcW w:type="dxa" w:w="50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Outbound email is not configured. No SENDGRID_API_KEY and no SMTP_HOST on the web service, so EmailService falls through to a log-only branch. It returns success, so nothing surfaces as an error — but no notification email has ever actually been delivered.</w:t>
            </w:r>
          </w:p>
        </w:tc>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OPEN — highest priority</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IT / Idiris</w:t>
            </w:r>
          </w:p>
        </w:tc>
      </w:tr>
      <w:tr>
        <w:tc>
          <w:tcPr>
            <w:tcW w:type="dxa" w:w="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2</w:t>
            </w:r>
          </w:p>
        </w:tc>
        <w:tc>
          <w:tcPr>
            <w:tcW w:type="dxa" w:w="50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Arabic partner guide not yet checked by a native speaker. The file carries a review banner and should not be distributed until it is cleared.</w:t>
            </w:r>
          </w:p>
        </w:tc>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OPEN</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Proximate team</w:t>
            </w:r>
          </w:p>
        </w:tc>
      </w:tr>
      <w:tr>
        <w:tc>
          <w:tcPr>
            <w:tcW w:type="dxa" w:w="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3</w:t>
            </w:r>
          </w:p>
        </w:tc>
        <w:tc>
          <w:tcPr>
            <w:tcW w:type="dxa" w:w="50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Three cron-tick endpoints have no scheduled caller (see §4). Confirm whether that is intentional.</w:t>
            </w:r>
          </w:p>
        </w:tc>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VERIFY</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Platform</w:t>
            </w:r>
          </w:p>
        </w:tc>
      </w:tr>
      <w:tr>
        <w:tc>
          <w:tcPr>
            <w:tcW w:type="dxa" w:w="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4</w:t>
            </w:r>
          </w:p>
        </w:tc>
        <w:tc>
          <w:tcPr>
            <w:tcW w:type="dxa" w:w="50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SEED_PROXIMATE_ON_BOOT was left true long after its intended one-shot use; demo fixtures were being recreated on every cold start.</w:t>
            </w:r>
          </w:p>
        </w:tc>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RESOLVED 21 Jul 2026 — set to false</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ECEC" w:sz="1"/>
              <w:left w:val="single" w:color="B91C1C" w:sz="18"/>
              <w:bottom w:val="single" w:color="FDECEC" w:sz="1"/>
              <w:right w:val="single" w:color="FDECEC" w:sz="1"/>
            </w:tcBorders>
            <w:shd w:fill="FDECEC" w:val="clear"/>
            <w:tcMar>
              <w:top w:type="dxa" w:w="100"/>
              <w:left w:type="dxa" w:w="160"/>
              <w:bottom w:type="dxa" w:w="100"/>
              <w:right w:type="dxa" w:w="140"/>
            </w:tcMar>
          </w:tcPr>
          <w:p>
            <w:pPr>
              <w:spacing w:after="0" w:before="0"/>
            </w:pPr>
            <w:r>
              <w:rPr>
                <w:rFonts w:ascii="Arial" w:cs="Arial" w:eastAsia="Arial" w:hAnsi="Arial"/>
                <w:b/>
                <w:bCs/>
                <w:color w:val="B91C1C"/>
                <w:sz w:val="19"/>
                <w:szCs w:val="19"/>
              </w:rPr>
              <w:t xml:space="preserve">Action needed — </w:t>
            </w:r>
            <w:r>
              <w:rPr>
                <w:rFonts w:ascii="Arial" w:cs="Arial" w:eastAsia="Arial" w:hAnsi="Arial"/>
                <w:color w:val="1A1410"/>
                <w:sz w:val="19"/>
                <w:szCs w:val="19"/>
              </w:rPr>
              <w:t xml:space="preserve">On item 1: the failure is silent by design of the fallback. </w:t>
            </w:r>
            <w:r>
              <w:rPr>
                <w:rFonts w:ascii="Arial" w:cs="Arial" w:eastAsia="Arial" w:hAnsi="Arial"/>
                <w:b/>
                <w:bCs/>
                <w:color w:val="1A1410"/>
                <w:sz w:val="19"/>
                <w:szCs w:val="19"/>
              </w:rPr>
              <w:t xml:space="preserve">Until a transport is configured, treat every “we emailed them” assumption as false</w:t>
            </w:r>
            <w:r>
              <w:rPr>
                <w:rFonts w:ascii="Arial" w:cs="Arial" w:eastAsia="Arial" w:hAnsi="Arial"/>
                <w:color w:val="1A1410"/>
                <w:sz w:val="19"/>
                <w:szCs w:val="19"/>
              </w:rPr>
              <w:t xml:space="preserve"> — decision emails, digests and partner acknowledgements are being written to the Railway log and discarded. Setting SENDGRID_API_KEY on the web service is the whole fix; the code already prefers SendGrid, then SMTP, then log.</w:t>
            </w:r>
          </w:p>
        </w:tc>
      </w:tr>
    </w:tbl>
    <w:p>
      <w:pPr>
        <w:pStyle w:val="Heading1"/>
      </w:pPr>
      <w:r>
        <w:t xml:space="preserve">2. Where it runs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Thing</w:t>
            </w:r>
          </w:p>
        </w:tc>
        <w:tc>
          <w:tcPr>
            <w:tcW w:type="dxa" w:w="66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Value</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Live URL</w:t>
            </w:r>
          </w:p>
        </w:tc>
        <w:tc>
          <w:tcPr>
            <w:tcW w:type="dxa" w:w="66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https://proximate.kuja.org</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Fallback URL</w:t>
            </w:r>
          </w:p>
        </w:tc>
        <w:tc>
          <w:tcPr>
            <w:tcW w:type="dxa" w:w="66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https://web-production-6f8a.up.railway.app</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Host</w:t>
            </w:r>
          </w:p>
        </w:tc>
        <w:tc>
          <w:tcPr>
            <w:tcW w:type="dxa" w:w="66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Railway — project "clever-cooperation", service "web"</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Database</w:t>
            </w:r>
          </w:p>
        </w:tc>
        <w:tc>
          <w:tcPr>
            <w:tcW w:type="dxa" w:w="66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Railway Postgres, attached as DATABASE_URL</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Tenancy</w:t>
            </w:r>
          </w:p>
        </w:tc>
        <w:tc>
          <w:tcPr>
            <w:tcW w:type="dxa" w:w="66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One codebase, four tenants. The Host header selects the tenant; proximate.kuja.org resolves to slug "proximate", default language Arabic.</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Frontend</w:t>
            </w:r>
          </w:p>
        </w:tc>
        <w:tc>
          <w:tcPr>
            <w:tcW w:type="dxa" w:w="66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Next.js static export, served by Flask from the committed static/nextjs directory</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Server</w:t>
            </w:r>
          </w:p>
        </w:tc>
        <w:tc>
          <w:tcPr>
            <w:tcW w:type="dxa" w:w="66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gunicorn, 4 workers x 4 threads, gthread, 180s timeout, --preload</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Version check</w:t>
            </w:r>
          </w:p>
        </w:tc>
        <w:tc>
          <w:tcPr>
            <w:tcW w:type="dxa" w:w="66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GET /api/version returns the deployed commit sha; GET /api/health returns status</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Attention — </w:t>
            </w:r>
            <w:r>
              <w:rPr>
                <w:rFonts w:ascii="Arial" w:cs="Arial" w:eastAsia="Arial" w:hAnsi="Arial"/>
                <w:color w:val="1A1410"/>
                <w:sz w:val="19"/>
                <w:szCs w:val="19"/>
              </w:rPr>
              <w:t xml:space="preserve">Production serves the COMMITTED frontend build, not one built on the server. </w:t>
            </w:r>
            <w:r>
              <w:rPr>
                <w:rFonts w:ascii="Arial" w:cs="Arial" w:eastAsia="Arial" w:hAnsi="Arial"/>
                <w:b/>
                <w:bCs/>
                <w:color w:val="1A1410"/>
                <w:sz w:val="19"/>
                <w:szCs w:val="19"/>
              </w:rPr>
              <w:t xml:space="preserve">If you change frontend code you must run the build and `git add static/nextjs`</w:t>
            </w:r>
            <w:r>
              <w:rPr>
                <w:rFonts w:ascii="Arial" w:cs="Arial" w:eastAsia="Arial" w:hAnsi="Arial"/>
                <w:color w:val="1A1410"/>
                <w:sz w:val="19"/>
                <w:szCs w:val="19"/>
              </w:rPr>
              <w:t xml:space="preserve"> — otherwise the deploy goes green while serving the previous UI. This has bitten us before.</w:t>
            </w:r>
          </w:p>
        </w:tc>
      </w:tr>
    </w:tbl>
    <w:p>
      <w:pPr>
        <w:pStyle w:val="Heading1"/>
      </w:pPr>
      <w:r>
        <w:t xml:space="preserve">3. Configuration state</w:t>
      </w:r>
    </w:p>
    <w:p>
      <w:pPr>
        <w:spacing w:after="90" w:before="90"/>
      </w:pPr>
      <w:r>
        <w:rPr>
          <w:rFonts w:ascii="Arial" w:cs="Arial" w:eastAsia="Arial" w:hAnsi="Arial"/>
          <w:color w:val="1A1410"/>
          <w:sz w:val="21"/>
          <w:szCs w:val="21"/>
        </w:rPr>
        <w:t xml:space="preserve">Variable names only — values live in Railway. Checked 21 July 2026.</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5760"/>
      </w:tblGrid>
      <w:tr>
        <w:trPr>
          <w:tblHeader/>
        </w:trPr>
        <w:tc>
          <w:tcPr>
            <w:tcW w:type="dxa" w:w="27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Variable</w:t>
            </w:r>
          </w:p>
        </w:tc>
        <w:tc>
          <w:tcPr>
            <w:tcW w:type="dxa" w:w="9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Set?</w:t>
            </w:r>
          </w:p>
        </w:tc>
        <w:tc>
          <w:tcPr>
            <w:tcW w:type="dxa" w:w="57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What it does / effect if missing</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DATABASE_URL</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Yes</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Postgres connection. App will not start without it.</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ANTHROPIC_API_KEY</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Yes</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All AI surfaces — report compile, web check, decision briefs. Missing: AI features degrade to manual paths; nothing hard-fails.</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CRON_SECRET</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Yes</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Bearer token the scheduled workflows present. Missing: every cron 401s silently.</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SAM_GOV_API_KEY</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Yes</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US sanctions/exclusions screening in due diligence.</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TWILIO_ACCOUNT_SID</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Yes</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WhatsApp sending.</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TWILIO_AUTH_TOKEN</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Yes</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WhatsApp sending.</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TWILIO_WA_FROM</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Yes</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WhatsApp sender number.</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SEED_PROXIMATE_ON_BOOT</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false</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Set false on 21 Jul 2026. Was true. Seeds demo fixtures on boot; idempotent, but intended as one-shot.</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SENDGRID_API_KEY</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NO</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Preferred email transport. Missing — see §1 item 1.</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SMTP_HOST / SMTP_USER / SMTP_PASS</w:t>
            </w:r>
          </w:p>
        </w:tc>
        <w:tc>
          <w:tcPr>
            <w:tcW w:type="dxa" w:w="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NO</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Fallback email transport. Also missing, hence the log-only path.</w:t>
            </w:r>
          </w:p>
        </w:tc>
      </w:tr>
    </w:tbl>
    <w:p>
      <w:pPr>
        <w:pStyle w:val="Heading1"/>
      </w:pPr>
      <w:r>
        <w:t xml:space="preserve">4. Scheduled jobs</w:t>
      </w:r>
    </w:p>
    <w:p>
      <w:pPr>
        <w:spacing w:after="90" w:before="90"/>
      </w:pPr>
      <w:r>
        <w:rPr>
          <w:rFonts w:ascii="Arial" w:cs="Arial" w:eastAsia="Arial" w:hAnsi="Arial"/>
          <w:color w:val="1A1410"/>
          <w:sz w:val="21"/>
          <w:szCs w:val="21"/>
        </w:rPr>
        <w:t xml:space="preserve">Crons are GitHub Actions workflows in .github/workflows/, each POSTing to an endpoint with the CRON_SECRET as a bearer token. They are not Railway cron jobs, and they are not in-process timers — if the GitHub repo is archived or Actions are disabled, every scheduled job stops silently.</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Workflow</w:t>
            </w:r>
          </w:p>
        </w:tc>
        <w:tc>
          <w:tcPr>
            <w:tcW w:type="dxa" w:w="51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Endpoint it calls</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cron-proximate-disbursement-nudge</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/api/proximate/monitoring/disbursement-nudge</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cron-proximate-grant-reporting</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/api/proximate/monitoring/grant-reporting</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cron-proximate-outcome-due-nudge</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/api/proximate/monitoring/outcome-due-nudge</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cron-proximate-sanctions-rescreen</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/api/proximate/monitoring/sanctions-rescreen</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cron-proximate-donor-retrospective</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/api/proximate/monitoring/donor-retrospective</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cron-proximate-quarterly-counterfactual</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/api/proximate/monitoring/quarterly-counterfactual-prompt</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cron-crisis-monitoring</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/api/cron/crisis-monitoring-draft</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cron-compliance-rerun</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/api/cron/compliance-rerun</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cron-reviewer-auto-assign</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/api/cron/reviewer-auto-assign-sweep</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cron-uat-fixtures</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/api/cron/uat-fixtures</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cron-reap-stuck-extractions</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Consolas" w:cs="Consolas" w:eastAsia="Consolas" w:hAnsi="Consolas"/>
                <w:color w:val="1A1410"/>
                <w:sz w:val="18"/>
                <w:szCs w:val="18"/>
              </w:rPr>
              <w:t xml:space="preserve">(document extraction reaper)</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Attention — </w:t>
            </w:r>
            <w:r>
              <w:rPr>
                <w:rFonts w:ascii="Arial" w:cs="Arial" w:eastAsia="Arial" w:hAnsi="Arial"/>
                <w:color w:val="1A1410"/>
                <w:sz w:val="19"/>
                <w:szCs w:val="19"/>
              </w:rPr>
              <w:t xml:space="preserve">Open question (§1 item 5): three endpoints exist with no workflow calling them — </w:t>
            </w:r>
            <w:r>
              <w:rPr>
                <w:rFonts w:ascii="Arial" w:cs="Arial" w:eastAsia="Arial" w:hAnsi="Arial"/>
                <w:b/>
                <w:bCs/>
                <w:color w:val="1A1410"/>
                <w:sz w:val="19"/>
                <w:szCs w:val="19"/>
              </w:rPr>
              <w:t xml:space="preserve">/api/proximate/interventions/cron-tick, /api/proximate/security-scan/cron-tick and /api/proximate/monitoring/cron-tick</w:t>
            </w:r>
            <w:r>
              <w:rPr>
                <w:rFonts w:ascii="Arial" w:cs="Arial" w:eastAsia="Arial" w:hAnsi="Arial"/>
                <w:color w:val="1A1410"/>
                <w:sz w:val="19"/>
                <w:szCs w:val="19"/>
              </w:rPr>
              <w:t xml:space="preserve">. Before assuming intervention SLA escalation or the security scan run automatically, confirm whether these are driven some other way or are simply unwired. The countdown a user sees on an intervention may be computed in the browser rather than by a job.</w:t>
            </w:r>
          </w:p>
        </w:tc>
      </w:tr>
    </w:tbl>
    <w:p>
      <w:pPr>
        <w:pStyle w:val="Heading1"/>
      </w:pPr>
      <w:r>
        <w:t xml:space="preserve">5. Deploying a change</w:t>
      </w:r>
    </w:p>
    <w:p>
      <w:pPr>
        <w:spacing w:after="90" w:before="90"/>
      </w:pPr>
      <w:r>
        <w:rPr>
          <w:rFonts w:ascii="Arial" w:cs="Arial" w:eastAsia="Arial" w:hAnsi="Arial"/>
          <w:color w:val="1A1410"/>
          <w:sz w:val="21"/>
          <w:szCs w:val="21"/>
        </w:rPr>
        <w:t xml:space="preserve">Railway deploys on push to main. The full sequence that has proven safe:</w:t>
      </w:r>
    </w:p>
    <w:p>
      <w:pPr>
        <w:pStyle w:val="ListParagraph"/>
        <w:numPr>
          <w:ilvl w:val="0"/>
          <w:numId w:val="2"/>
        </w:numPr>
        <w:spacing w:after="40" w:before="40"/>
      </w:pPr>
      <w:r>
        <w:rPr>
          <w:rFonts w:ascii="Arial" w:cs="Arial" w:eastAsia="Arial" w:hAnsi="Arial"/>
          <w:color w:val="1A1410"/>
          <w:sz w:val="21"/>
          <w:szCs w:val="21"/>
        </w:rPr>
        <w:t xml:space="preserve">Make the change. If any frontend file changed: </w:t>
      </w:r>
      <w:r>
        <w:rPr>
          <w:rFonts w:ascii="Arial" w:cs="Arial" w:eastAsia="Arial" w:hAnsi="Arial"/>
          <w:b/>
          <w:bCs/>
          <w:color w:val="1A1410"/>
          <w:sz w:val="21"/>
          <w:szCs w:val="21"/>
        </w:rPr>
        <w:t xml:space="preserve">cd frontend &amp;&amp; npm run build</w:t>
      </w:r>
      <w:r>
        <w:rPr>
          <w:rFonts w:ascii="Arial" w:cs="Arial" w:eastAsia="Arial" w:hAnsi="Arial"/>
          <w:color w:val="1A1410"/>
          <w:sz w:val="21"/>
          <w:szCs w:val="21"/>
        </w:rPr>
        <w:t xml:space="preserve">, then </w:t>
      </w:r>
      <w:r>
        <w:rPr>
          <w:rFonts w:ascii="Arial" w:cs="Arial" w:eastAsia="Arial" w:hAnsi="Arial"/>
          <w:b/>
          <w:bCs/>
          <w:color w:val="1A1410"/>
          <w:sz w:val="21"/>
          <w:szCs w:val="21"/>
        </w:rPr>
        <w:t xml:space="preserve">git add static/nextjs</w:t>
      </w:r>
      <w:r>
        <w:rPr>
          <w:rFonts w:ascii="Arial" w:cs="Arial" w:eastAsia="Arial" w:hAnsi="Arial"/>
          <w:color w:val="1A1410"/>
          <w:sz w:val="21"/>
          <w:szCs w:val="21"/>
        </w:rPr>
        <w:t xml:space="preserve">.</w:t>
      </w:r>
    </w:p>
    <w:p>
      <w:pPr>
        <w:pStyle w:val="ListParagraph"/>
        <w:numPr>
          <w:ilvl w:val="0"/>
          <w:numId w:val="2"/>
        </w:numPr>
        <w:spacing w:after="40" w:before="40"/>
      </w:pPr>
      <w:r>
        <w:rPr>
          <w:rFonts w:ascii="Arial" w:cs="Arial" w:eastAsia="Arial" w:hAnsi="Arial"/>
          <w:color w:val="1A1410"/>
          <w:sz w:val="21"/>
          <w:szCs w:val="21"/>
        </w:rPr>
        <w:t xml:space="preserve">Run the gate: </w:t>
      </w:r>
      <w:r>
        <w:rPr>
          <w:rFonts w:ascii="Arial" w:cs="Arial" w:eastAsia="Arial" w:hAnsi="Arial"/>
          <w:b/>
          <w:bCs/>
          <w:color w:val="1A1410"/>
          <w:sz w:val="21"/>
          <w:szCs w:val="21"/>
        </w:rPr>
        <w:t xml:space="preserve">py -3 regression.py --api-only</w:t>
      </w:r>
      <w:r>
        <w:rPr>
          <w:rFonts w:ascii="Arial" w:cs="Arial" w:eastAsia="Arial" w:hAnsi="Arial"/>
          <w:color w:val="1A1410"/>
          <w:sz w:val="21"/>
          <w:szCs w:val="21"/>
        </w:rPr>
        <w:t xml:space="preserve"> — currently 117 checks, all of which should pass before pushing.</w:t>
      </w:r>
    </w:p>
    <w:p>
      <w:pPr>
        <w:pStyle w:val="ListParagraph"/>
        <w:numPr>
          <w:ilvl w:val="0"/>
          <w:numId w:val="2"/>
        </w:numPr>
        <w:spacing w:after="40" w:before="40"/>
      </w:pPr>
      <w:r>
        <w:rPr>
          <w:rFonts w:ascii="Arial" w:cs="Arial" w:eastAsia="Arial" w:hAnsi="Arial"/>
          <w:color w:val="1A1410"/>
          <w:sz w:val="21"/>
          <w:szCs w:val="21"/>
        </w:rPr>
        <w:t xml:space="preserve">Commit and push to main. Railway builds, runs pre_deploy.py, applies database migrations (flask db upgrade), then starts gunicorn.</w:t>
      </w:r>
    </w:p>
    <w:p>
      <w:pPr>
        <w:pStyle w:val="ListParagraph"/>
        <w:numPr>
          <w:ilvl w:val="0"/>
          <w:numId w:val="2"/>
        </w:numPr>
        <w:spacing w:after="40" w:before="40"/>
      </w:pPr>
      <w:r>
        <w:rPr>
          <w:rFonts w:ascii="Arial" w:cs="Arial" w:eastAsia="Arial" w:hAnsi="Arial"/>
          <w:color w:val="1A1410"/>
          <w:sz w:val="21"/>
          <w:szCs w:val="21"/>
        </w:rPr>
        <w:t xml:space="preserve">Confirm the deploy actually landed by polling </w:t>
      </w:r>
      <w:r>
        <w:rPr>
          <w:rFonts w:ascii="Arial" w:cs="Arial" w:eastAsia="Arial" w:hAnsi="Arial"/>
          <w:b/>
          <w:bCs/>
          <w:color w:val="1A1410"/>
          <w:sz w:val="21"/>
          <w:szCs w:val="21"/>
        </w:rPr>
        <w:t xml:space="preserve">https://proximate.kuja.org/api/version</w:t>
      </w:r>
      <w:r>
        <w:rPr>
          <w:rFonts w:ascii="Arial" w:cs="Arial" w:eastAsia="Arial" w:hAnsi="Arial"/>
          <w:color w:val="1A1410"/>
          <w:sz w:val="21"/>
          <w:szCs w:val="21"/>
        </w:rPr>
        <w:t xml:space="preserve"> until the build sha matches your commit. A green Railway status is not sufficient evidence.</w:t>
      </w:r>
    </w:p>
    <w:p>
      <w:pPr>
        <w:pStyle w:val="ListParagraph"/>
        <w:numPr>
          <w:ilvl w:val="0"/>
          <w:numId w:val="2"/>
        </w:numPr>
        <w:spacing w:after="40" w:before="40"/>
      </w:pPr>
      <w:r>
        <w:rPr>
          <w:rFonts w:ascii="Arial" w:cs="Arial" w:eastAsia="Arial" w:hAnsi="Arial"/>
          <w:color w:val="1A1410"/>
          <w:sz w:val="21"/>
          <w:szCs w:val="21"/>
        </w:rPr>
        <w:t xml:space="preserve">Verify the change on production itself, then check /api/health.</w:t>
      </w:r>
    </w:p>
    <w:p>
      <w:pPr>
        <w:spacing w:after="80" w:before="0"/>
      </w:pPr>
    </w:p>
    <w:p>
      <w:pPr>
        <w:spacing w:after="90" w:before="90"/>
      </w:pPr>
      <w:r>
        <w:rPr>
          <w:rFonts w:ascii="Arial" w:cs="Arial" w:eastAsia="Arial" w:hAnsi="Arial"/>
          <w:b/>
          <w:bCs/>
          <w:color w:val="1A1410"/>
          <w:sz w:val="21"/>
          <w:szCs w:val="21"/>
        </w:rPr>
        <w:t xml:space="preserve">Two habits worth keeping:</w:t>
      </w:r>
    </w:p>
    <w:p>
      <w:pPr>
        <w:pStyle w:val="ListParagraph"/>
        <w:numPr>
          <w:ilvl w:val="0"/>
          <w:numId w:val="2"/>
        </w:numPr>
        <w:spacing w:after="40" w:before="40"/>
      </w:pPr>
      <w:r>
        <w:rPr>
          <w:rFonts w:ascii="Arial" w:cs="Arial" w:eastAsia="Arial" w:hAnsi="Arial"/>
          <w:color w:val="1A1410"/>
          <w:sz w:val="21"/>
          <w:szCs w:val="21"/>
        </w:rPr>
        <w:t xml:space="preserve">Never push a second commit while waiting on the first deploy — it cancels the in-flight one.</w:t>
      </w:r>
    </w:p>
    <w:p>
      <w:pPr>
        <w:pStyle w:val="ListParagraph"/>
        <w:numPr>
          <w:ilvl w:val="0"/>
          <w:numId w:val="2"/>
        </w:numPr>
        <w:spacing w:after="40" w:before="40"/>
      </w:pPr>
      <w:r>
        <w:rPr>
          <w:rFonts w:ascii="Arial" w:cs="Arial" w:eastAsia="Arial" w:hAnsi="Arial"/>
          <w:color w:val="1A1410"/>
          <w:sz w:val="21"/>
          <w:szCs w:val="21"/>
        </w:rPr>
        <w:t xml:space="preserve">Documentation-only pushes still trigger a full redeploy. Health-check afterwards like any other change.</w:t>
      </w:r>
    </w:p>
    <w:p>
      <w:pPr>
        <w:spacing w:after="80" w:before="0"/>
      </w:pPr>
    </w:p>
    <w:p>
      <w:pPr>
        <w:spacing w:after="90" w:before="90"/>
      </w:pPr>
      <w:r>
        <w:rPr>
          <w:rFonts w:ascii="Arial" w:cs="Arial" w:eastAsia="Arial" w:hAnsi="Arial"/>
          <w:color w:val="1A1410"/>
          <w:sz w:val="21"/>
          <w:szCs w:val="21"/>
        </w:rPr>
        <w:t xml:space="preserve">Environment variables can be changed with the Railway CLI (railway variables --service web --set NAME=value) or in the dashboard. A variable change does not take effect until the next deploy or restart.</w:t>
      </w:r>
    </w:p>
    <w:p>
      <w:pPr>
        <w:pStyle w:val="Heading1"/>
      </w:pPr>
      <w:r>
        <w:t xml:space="preserve">6. Routine checks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Question</w:t>
            </w:r>
          </w:p>
        </w:tc>
        <w:tc>
          <w:tcPr>
            <w:tcW w:type="dxa" w:w="59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How to answer it</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Is production up?</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GET /api/health — returns status healthy plus a timestamp.</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What version is live?</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GET /api/version — returns the deployed commit sha and uptime.</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Did my change reach users?</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Fetch the served asset and inspect it, rather than trusting the deploy status. For an interface-text change: find the chunk under static/nextjs/_next/static/chunks/ that contains the string locally, then request that same path from production and check the served copy.</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Are the crons running?</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GitHub Actions run history for the workflows in §4, plus the cron health surface in the admin area.</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Is the audit chain intact?</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The audit-chain integrity view in the admin area; a JSONL export is available for auditors.</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Did an email actually send?</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At present: it did not (§1 item 1). Once a transport is configured, EmailService reports which one it used.</w:t>
            </w:r>
          </w:p>
        </w:tc>
      </w:tr>
    </w:tbl>
    <w:p>
      <w:pPr>
        <w:pStyle w:val="Heading1"/>
      </w:pPr>
      <w:r>
        <w:t xml:space="preserve">7. Shared infrastructure</w:t>
      </w:r>
    </w:p>
    <w:p>
      <w:pPr>
        <w:spacing w:after="90" w:before="90"/>
      </w:pPr>
      <w:r>
        <w:rPr>
          <w:rFonts w:ascii="Arial" w:cs="Arial" w:eastAsia="Arial" w:hAnsi="Arial"/>
          <w:color w:val="1A1410"/>
          <w:sz w:val="21"/>
          <w:szCs w:val="21"/>
        </w:rPr>
        <w:t xml:space="preserve">Proximate is one of four tenants running on the same codebase and the same database. The other three are separate programmes with their own teams, their own data and their own status — nothing about them belongs in a Proximate report, and none of their state appears in this document. They are mentioned here for one operational reason only: a change to shared code reaches all four, so a change verified against Proximate alone is not verified.</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Attention — </w:t>
            </w:r>
            <w:r>
              <w:rPr>
                <w:rFonts w:ascii="Arial" w:cs="Arial" w:eastAsia="Arial" w:hAnsi="Arial"/>
                <w:color w:val="1A1410"/>
                <w:sz w:val="19"/>
                <w:szCs w:val="19"/>
              </w:rPr>
              <w:t xml:space="preserve">Tenant isolation is enforced in application code, not by separate databases. Any change touching queries, permissions or the audit chain must be gated on the full regression suite — which covers every tenant — and never on a single-tenant spot check. The suite includes explicit cross-tenant scoping and access-denial checks for exactly this reason.</w:t>
            </w:r>
          </w:p>
        </w:tc>
      </w:tr>
    </w:tbl>
    <w:p>
      <w:pPr>
        <w:spacing w:after="200" w:before="0"/>
      </w:pPr>
    </w:p>
    <w:p>
      <w:pPr>
        <w:pBdr>
          <w:top w:val="single" w:color="F4E8DC" w:sz="6" w:space="6"/>
        </w:pBdr>
        <w:spacing w:after="90" w:before="200"/>
      </w:pPr>
      <w:r>
        <w:rPr>
          <w:rFonts w:ascii="Arial" w:cs="Arial" w:eastAsia="Arial" w:hAnsi="Arial"/>
          <w:i/>
          <w:iCs/>
          <w:color w:val="6B655F"/>
          <w:sz w:val="19"/>
          <w:szCs w:val="19"/>
        </w:rPr>
        <w:t xml:space="preserve">Keep this current. When an outstanding item in §1 closes, update it here in the same change that closes it — a runbook nobody trusts is worse than none.</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rFonts w:ascii="Arial" w:cs="Arial" w:eastAsia="Arial" w:hAnsi="Arial"/>
        <w:color w:val="6B655F"/>
        <w:sz w:val="16"/>
        <w:szCs w:val="16"/>
      </w:rPr>
      <w:t xml:space="preserve">Proximate Fund — Operations Runbook · verified 21 July 2026 · page </w:t>
    </w:r>
    <w:r>
      <w:rPr>
        <w:rFonts w:ascii="Arial" w:cs="Arial" w:eastAsia="Arial" w:hAnsi="Arial"/>
        <w:color w:val="6B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4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7C2D12"/>
      <w:sz w:val="34"/>
      <w:szCs w:val="34"/>
    </w:rPr>
  </w:style>
  <w:style w:type="paragraph" w:styleId="Heading2">
    <w:name w:val="Heading 2"/>
    <w:basedOn w:val="Normal"/>
    <w:next w:val="Normal"/>
    <w:qFormat/>
    <w:pPr>
      <w:spacing w:after="120" w:before="30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2026-07-22T02:43:09.206Z</dcterms:created>
  <dcterms:modified xsi:type="dcterms:W3CDTF">2026-07-22T02:43:09.209Z</dcterms:modified>
</cp:coreProperties>
</file>

<file path=docProps/custom.xml><?xml version="1.0" encoding="utf-8"?>
<Properties xmlns="http://schemas.openxmlformats.org/officeDocument/2006/custom-properties" xmlns:vt="http://schemas.openxmlformats.org/officeDocument/2006/docPropsVTypes"/>
</file>