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Application — Full Proposal (Word variant)</w:t>
      </w:r>
    </w:p>
    <w:p>
      <w:r>
        <w:t>Project title: Strengthening Maternal &amp;amp; Newborn Health in Garissa County</w:t>
      </w:r>
    </w:p>
    <w:p>
      <w:r>
        <w:t>Summary. Amani Health Initiative requests USD 180,000 over 18 months to reduce maternal and</w:t>
        <w:br/>
        <w:t xml:space="preserve">    newborn mortality in three sub-counties through community health promoter (CHP) networks,</w:t>
        <w:br/>
        <w:t xml:space="preserve">    emergency referral support and facility mentorship.</w:t>
      </w:r>
    </w:p>
    <w:p>
      <w:r>
        <w:t>Problem. Garissa's maternal mortality ratio remains far above the national average, driven by</w:t>
        <w:br/>
        <w:t xml:space="preserve">    low skilled-birth attendance, distance to facilities and delayed referral. Displacement from</w:t>
        <w:br/>
        <w:t xml:space="preserve">    the wider region has increased pressure on services.</w:t>
      </w:r>
    </w:p>
    <w:p>
      <w:r>
        <w:t>Objectives. (1) Increase skilled birth attendance from 41% to 60% in the target area.</w:t>
        <w:br/>
        <w:t xml:space="preserve">    (2) Train and equip 120 CHPs. (3) Establish an emergency transport voucher scheme covering</w:t>
        <w:br/>
        <w:t xml:space="preserve">    six health facilities.</w:t>
      </w:r>
    </w:p>
    <w:p>
      <w:r>
        <w:t>Approach. CHP recruitment and training; monthly facility mentorship; a referral voucher</w:t>
        <w:br/>
        <w:t xml:space="preserve">    scheme with local transporters; community dialogue sessions; routine data review.</w:t>
      </w:r>
    </w:p>
    <w:p>
      <w:r>
        <w:t>Beneficiaries. 24,000 women of reproductive age and 6,500 newborns, directly.</w:t>
      </w:r>
    </w:p>
    <w:p>
      <w:r>
        <w:t>Monitoring. Against the attached logframe; monthly CHP reporting; quarterly data review with</w:t>
        <w:br/>
        <w:t xml:space="preserve">    the county health team.</w:t>
      </w:r>
    </w:p>
    <w:p>
      <w:r>
        <w:t>Sustainability. CHPs are integrated into the county community-health strategy; the voucher</w:t>
        <w:br/>
        <w:t xml:space="preserve">    scheme transitions to county co-financing by month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