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i w:val="0"/>
          <w:color w:val="C2410C"/>
          <w:sz w:val="40"/>
        </w:rPr>
        <w:t>Proximate Fund — Platform Update</w:t>
      </w:r>
    </w:p>
    <w:p>
      <w:pPr>
        <w:spacing w:after="120"/>
      </w:pPr>
      <w:r>
        <w:rPr>
          <w:rFonts w:ascii="Arial" w:hAnsi="Arial"/>
          <w:b w:val="0"/>
          <w:i w:val="0"/>
          <w:color w:val="57534E"/>
          <w:sz w:val="21"/>
        </w:rPr>
        <w:t>28 July 2026  ·  proximate.kuja.org  ·  prepared for the Adeso / Proximate team</w:t>
      </w:r>
    </w:p>
    <w:p>
      <w:pPr>
        <w:spacing w:after="80"/>
      </w:pPr>
      <w:r>
        <w:rPr>
          <w:rFonts w:ascii="Arial" w:hAnsi="Arial"/>
          <w:b w:val="0"/>
          <w:i/>
          <w:color w:val="57534E"/>
          <w:sz w:val="21"/>
        </w:rPr>
        <w:t>This follows your 28 July retest of the 27 July update. It reports what the retest confirmed still works, the one real issue it surfaced and how it is fixed, the smaller clarifications we added, and what remains — which is process, not software.</w:t>
      </w:r>
    </w:p>
    <w:p>
      <w:pPr>
        <w:pStyle w:val="Heading1"/>
      </w:pPr>
      <w:r>
        <w:t>The short version</w:t>
      </w:r>
    </w:p>
    <w:p>
      <w:pPr>
        <w:spacing w:after="160"/>
      </w:pPr>
      <w:r>
        <w:rPr>
          <w:rFonts w:ascii="Arial" w:hAnsi="Arial"/>
          <w:b w:val="0"/>
          <w:i w:val="0"/>
          <w:color w:val="1A1410"/>
          <w:sz w:val="21"/>
        </w:rPr>
        <w:t>The retest came back “pass with warnings”, and that is a fair reading. The biggest concern from before — a donor being able to trigger an audit-chain download — stays fixed and could not be reproduced. The retest surfaced one genuine issue: the Oversight Body itself was being shown “access restricted” on the audit chain, which is the opposite of what should happen. That is now fixed. Everything else the retest raised was a clarity note on the disbursement screen — say things out loud rather than leave them implied — and those are done too. All of it is live.</w:t>
      </w:r>
    </w:p>
    <w:p>
      <w:pPr>
        <w:pStyle w:val="Heading1"/>
      </w:pPr>
      <w:r>
        <w:t>What your retest confirmed still works</w:t>
      </w:r>
    </w:p>
    <w:p>
      <w:pPr>
        <w:pStyle w:val="ListBullet"/>
        <w:spacing w:after="80"/>
      </w:pPr>
      <w:r>
        <w:rPr>
          <w:rFonts w:ascii="Arial" w:hAnsi="Arial"/>
          <w:color w:val="1A1410"/>
          <w:sz w:val="21"/>
        </w:rPr>
        <w:t>A donor and a platform administrator both see “access restricted” on the audit chain — and no audit-chain.json file is downloaded. The original high-risk finding is gone.</w:t>
      </w:r>
    </w:p>
    <w:p>
      <w:pPr>
        <w:pStyle w:val="ListBullet"/>
        <w:spacing w:after="80"/>
      </w:pPr>
      <w:r>
        <w:rPr>
          <w:rFonts w:ascii="Arial" w:hAnsi="Arial"/>
          <w:color w:val="1A1410"/>
          <w:sz w:val="21"/>
        </w:rPr>
        <w:t>Raising a disbursement from a round shows only that round’s awarded partners, with the “showing only partners awarded in the selected round” note. The old fund-wide list is gone.</w:t>
      </w:r>
    </w:p>
    <w:p>
      <w:pPr>
        <w:pStyle w:val="ListBullet"/>
        <w:spacing w:after="80"/>
      </w:pPr>
      <w:r>
        <w:rPr>
          <w:rFonts w:ascii="Arial" w:hAnsi="Arial"/>
          <w:color w:val="1A1410"/>
          <w:sz w:val="21"/>
        </w:rPr>
        <w:t>The readiness checklist appears once an eligible partner is selected.</w:t>
      </w:r>
    </w:p>
    <w:p>
      <w:pPr>
        <w:pStyle w:val="ListBullet"/>
        <w:spacing w:after="80"/>
      </w:pPr>
      <w:r>
        <w:rPr>
          <w:rFonts w:ascii="Arial" w:hAnsi="Arial"/>
          <w:color w:val="1A1410"/>
          <w:sz w:val="21"/>
        </w:rPr>
        <w:t>The permanent QA Fixture round and partner exist, are clearly marked TEST, and the fixture partner is selectable for a safe disbursement rehearsal.</w:t>
      </w:r>
    </w:p>
    <w:p>
      <w:pPr>
        <w:pStyle w:val="ListBullet"/>
        <w:spacing w:after="80"/>
      </w:pPr>
      <w:r>
        <w:rPr>
          <w:rFonts w:ascii="Arial" w:hAnsi="Arial"/>
          <w:color w:val="1A1410"/>
          <w:sz w:val="21"/>
        </w:rPr>
        <w:t>The partner-history link is reachable from the round, and the award rows show their decision context.</w:t>
      </w:r>
    </w:p>
    <w:p>
      <w:pPr>
        <w:pStyle w:val="Heading2"/>
      </w:pPr>
      <w:r>
        <w:t>1. The one real issue — the Oversight Body was wrongly shut out of the audit chain</w:t>
      </w:r>
    </w:p>
    <w:p>
      <w:pPr>
        <w:spacing w:after="160"/>
      </w:pPr>
      <w:r>
        <w:rPr>
          <w:rFonts w:ascii="Arial" w:hAnsi="Arial"/>
          <w:b w:val="0"/>
          <w:i w:val="0"/>
          <w:color w:val="1A1410"/>
          <w:sz w:val="21"/>
        </w:rPr>
        <w:t>Your tester flagged that the OB account also saw “access restricted” on the audit chain, even though the update says the Oversight Body should be able to read it. That was worth raising, and it was a real defect — but not the one it looked like.</w:t>
      </w:r>
    </w:p>
    <w:p>
      <w:pPr>
        <w:spacing w:after="160"/>
      </w:pPr>
      <w:r>
        <w:rPr>
          <w:rFonts w:ascii="Arial" w:hAnsi="Arial"/>
          <w:b w:val="0"/>
          <w:i w:val="0"/>
          <w:color w:val="1A1410"/>
          <w:sz w:val="21"/>
        </w:rPr>
        <w:t>First, the important part: the Oversight Body’s permissions are correct, and the OB account is set up correctly. We confirmed this by signing in as the Oversight Body on the live site — the server returns the full audit chain to them (both the on-screen view and the download). So nothing was mis-configured about who the OB is or what they are allowed to see.</w:t>
      </w:r>
    </w:p>
    <w:p>
      <w:pPr>
        <w:spacing w:after="160"/>
      </w:pPr>
      <w:r>
        <w:rPr>
          <w:rFonts w:ascii="Arial" w:hAnsi="Arial"/>
          <w:b w:val="0"/>
          <w:i w:val="0"/>
          <w:color w:val="1A1410"/>
          <w:sz w:val="21"/>
        </w:rPr>
        <w:t>The fault was a timing quirk in the page itself. The audit-chain page has to work out which tenant’s chain to load — Proximate’s, not the platform-wide one — and it reads that from a piece of context that arrives a fraction of a second after the page opens. In that first instant the context was still empty, so the page briefly asked the platform-wide audit endpoint, which correctly refuses an Oversight Body member. It then held onto that “restricted” answer even after the correct, Proximate-scoped chain finished loading successfully — so the OB was left looking at a refusal that no longer applied.</w:t>
      </w:r>
    </w:p>
    <w:p>
      <w:pPr>
        <w:spacing w:after="160"/>
      </w:pPr>
      <w:r>
        <w:rPr>
          <w:rFonts w:ascii="Arial" w:hAnsi="Arial"/>
          <w:b w:val="0"/>
          <w:i w:val="0"/>
          <w:color w:val="1A1410"/>
          <w:sz w:val="21"/>
        </w:rPr>
        <w:t>The fix is twofold: the page now identifies the tenant from the web address immediately, so its very first request goes to the right place; and it no longer keeps a stale “restricted” state over a later successful load. Donors and platform administrators are still correctly refused. Verified on the live site: the Oversight Body now loads the chain.</w:t>
      </w:r>
    </w:p>
    <w:tbl>
      <w:tblPr>
        <w:tblStyle w:val="TableGrid"/>
        <w:tblW w:type="auto" w:w="0"/>
        <w:tblLook w:firstColumn="1" w:firstRow="1" w:lastColumn="0" w:lastRow="0" w:noHBand="0" w:noVBand="1" w:val="04A0"/>
      </w:tblPr>
      <w:tblGrid>
        <w:gridCol w:w="8640"/>
      </w:tblGrid>
      <w:tr>
        <w:tc>
          <w:tcPr>
            <w:tcW w:type="dxa" w:w="8640"/>
            <w:shd w:val="clear" w:fill="FBEDE6"/>
          </w:tcPr>
          <w:p>
            <w:r/>
            <w:r>
              <w:rPr>
                <w:rFonts w:ascii="Arial" w:hAnsi="Arial"/>
                <w:b/>
                <w:color w:val="C2410C"/>
                <w:sz w:val="20"/>
              </w:rPr>
              <w:t xml:space="preserve">Worth knowing — </w:t>
            </w:r>
            <w:r>
              <w:rPr>
                <w:rFonts w:ascii="Arial" w:hAnsi="Arial"/>
                <w:color w:val="1A1410"/>
                <w:sz w:val="20"/>
              </w:rPr>
              <w:t>the audit chain was never exposed and never mis-secured. This was the mirror image of the earlier concern: the right person was briefly locked out, not the wrong person let in. The money-safety and access rules underneath were correct throughout.</w:t>
            </w:r>
          </w:p>
        </w:tc>
      </w:tr>
    </w:tbl>
    <w:p>
      <w:pPr>
        <w:spacing w:after="40"/>
      </w:pPr>
    </w:p>
    <w:p>
      <w:pPr>
        <w:pStyle w:val="Heading2"/>
      </w:pPr>
      <w:r>
        <w:t>2. Two clarifications on the disbursement screen</w:t>
      </w:r>
    </w:p>
    <w:p>
      <w:pPr>
        <w:spacing w:after="160"/>
      </w:pPr>
      <w:r>
        <w:rPr>
          <w:rFonts w:ascii="Arial" w:hAnsi="Arial"/>
          <w:b w:val="0"/>
          <w:i w:val="0"/>
          <w:color w:val="1A1410"/>
          <w:sz w:val="21"/>
        </w:rPr>
        <w:t>Both of these are the screen saying out loud what it was previously leaving implied — no change to what can or cannot happen, only to what you are told.</w:t>
      </w:r>
    </w:p>
    <w:tbl>
      <w:tblPr>
        <w:tblStyle w:val="TableGrid"/>
        <w:tblW w:type="auto" w:w="0"/>
        <w:tblLook w:firstColumn="1" w:firstRow="1" w:lastColumn="0" w:lastRow="0" w:noHBand="0" w:noVBand="1" w:val="04A0"/>
      </w:tblPr>
      <w:tblGrid>
        <w:gridCol w:w="4320"/>
        <w:gridCol w:w="4320"/>
      </w:tblGrid>
      <w:tr>
        <w:tc>
          <w:tcPr>
            <w:tcW w:type="dxa" w:w="3744"/>
            <w:shd w:val="clear" w:fill="7C2D12"/>
          </w:tcPr>
          <w:p>
            <w:pPr>
              <w:spacing w:after="40"/>
            </w:pPr>
            <w:r/>
            <w:r>
              <w:rPr>
                <w:rFonts w:ascii="Arial" w:hAnsi="Arial"/>
                <w:b/>
                <w:color w:val="FFFFFF"/>
                <w:sz w:val="20"/>
              </w:rPr>
              <w:t>From your retest</w:t>
            </w:r>
          </w:p>
        </w:tc>
        <w:tc>
          <w:tcPr>
            <w:tcW w:type="dxa" w:w="6048"/>
            <w:shd w:val="clear" w:fill="7C2D12"/>
          </w:tcPr>
          <w:p>
            <w:pPr>
              <w:spacing w:after="40"/>
            </w:pPr>
            <w:r/>
            <w:r>
              <w:rPr>
                <w:rFonts w:ascii="Arial" w:hAnsi="Arial"/>
                <w:b/>
                <w:color w:val="FFFFFF"/>
                <w:sz w:val="20"/>
              </w:rPr>
              <w:t>What changed</w:t>
            </w:r>
          </w:p>
        </w:tc>
      </w:tr>
      <w:tr>
        <w:tc>
          <w:tcPr>
            <w:tcW w:type="dxa" w:w="3744"/>
          </w:tcPr>
          <w:p>
            <w:pPr>
              <w:spacing w:after="40"/>
            </w:pPr>
            <w:r/>
            <w:r>
              <w:rPr>
                <w:rFonts w:ascii="Arial" w:hAnsi="Arial"/>
                <w:b w:val="0"/>
                <w:color w:val="1A1410"/>
                <w:sz w:val="20"/>
              </w:rPr>
              <w:t>The readiness checklist wasn’t visible before a partner was picked</w:t>
            </w:r>
          </w:p>
        </w:tc>
        <w:tc>
          <w:tcPr>
            <w:tcW w:type="dxa" w:w="6048"/>
          </w:tcPr>
          <w:p>
            <w:pPr>
              <w:spacing w:after="40"/>
            </w:pPr>
            <w:r/>
            <w:r>
              <w:rPr>
                <w:rFonts w:ascii="Arial" w:hAnsi="Arial"/>
                <w:b w:val="0"/>
                <w:color w:val="1A1410"/>
                <w:sz w:val="20"/>
              </w:rPr>
              <w:t>Before you select a partner the screen now reads “Select a partner to see the disbursement readiness checklist”, rather than showing nothing. The checklist itself is unchanged.</w:t>
            </w:r>
          </w:p>
        </w:tc>
      </w:tr>
      <w:tr>
        <w:tc>
          <w:tcPr>
            <w:tcW w:type="dxa" w:w="3744"/>
          </w:tcPr>
          <w:p>
            <w:pPr>
              <w:spacing w:after="40"/>
            </w:pPr>
            <w:r/>
            <w:r>
              <w:rPr>
                <w:rFonts w:ascii="Arial" w:hAnsi="Arial"/>
                <w:b w:val="0"/>
                <w:color w:val="1A1410"/>
                <w:sz w:val="20"/>
              </w:rPr>
              <w:t>An awarded partner (your Round 10 case) wasn’t offered, with no explanation</w:t>
            </w:r>
          </w:p>
        </w:tc>
        <w:tc>
          <w:tcPr>
            <w:tcW w:type="dxa" w:w="6048"/>
          </w:tcPr>
          <w:p>
            <w:pPr>
              <w:spacing w:after="40"/>
            </w:pPr>
            <w:r/>
            <w:r>
              <w:rPr>
                <w:rFonts w:ascii="Arial" w:hAnsi="Arial"/>
                <w:b w:val="0"/>
                <w:color w:val="1A1410"/>
                <w:sz w:val="20"/>
              </w:rPr>
              <w:t>When a round has partners the panel awarded but who are not yet cleared to be paid, the screen now says so: “awarded by the panel but not cleared for disbursement — contract, a verified payment route, or due-diligence clearance is still incomplete.” Previously those partners were simply left off the list, which read as a gap rather than a governed step.</w:t>
            </w:r>
          </w:p>
        </w:tc>
      </w:tr>
    </w:tbl>
    <w:p>
      <w:pPr>
        <w:spacing w:after="40"/>
      </w:pPr>
    </w:p>
    <w:p>
      <w:pPr>
        <w:pStyle w:val="Heading2"/>
      </w:pPr>
      <w:r>
        <w:t>3. Finding the test partner from the round page</w:t>
      </w:r>
    </w:p>
    <w:p>
      <w:pPr>
        <w:spacing w:after="160"/>
      </w:pPr>
      <w:r>
        <w:rPr>
          <w:rFonts w:ascii="Arial" w:hAnsi="Arial"/>
          <w:b w:val="0"/>
          <w:i w:val="0"/>
          <w:color w:val="1A1410"/>
          <w:sz w:val="21"/>
        </w:rPr>
        <w:t>The QA Fixture partner and its “ready to disburse” state live on the round’s Partners tab. On first glance from the round’s overview they were not one click away once a round had moved past the endorsement stage — the overview showed the counts but not a way to jump to the named roster. The overview now always offers a “View partner roster” button that opens the Partners tab and scrolls to the roster. Small change, and it helps every round, not only the fixture.</w:t>
      </w:r>
    </w:p>
    <w:p>
      <w:pPr>
        <w:pStyle w:val="Heading1"/>
      </w:pPr>
      <w:r>
        <w:t>What remains — and it is not software</w:t>
      </w:r>
    </w:p>
    <w:p>
      <w:pPr>
        <w:spacing w:after="160"/>
      </w:pPr>
      <w:r>
        <w:rPr>
          <w:rFonts w:ascii="Arial" w:hAnsi="Arial"/>
          <w:b w:val="0"/>
          <w:i w:val="0"/>
          <w:color w:val="1A1410"/>
          <w:sz w:val="21"/>
        </w:rPr>
        <w:t>With the above shipped, every engineering item from the retest is closed. What is left is process and a couple of standing setup items.</w:t>
      </w:r>
    </w:p>
    <w:tbl>
      <w:tblPr>
        <w:tblStyle w:val="TableGrid"/>
        <w:tblW w:type="auto" w:w="0"/>
        <w:tblLook w:firstColumn="1" w:firstRow="1" w:lastColumn="0" w:lastRow="0" w:noHBand="0" w:noVBand="1" w:val="04A0"/>
      </w:tblPr>
      <w:tblGrid>
        <w:gridCol w:w="2880"/>
        <w:gridCol w:w="2880"/>
        <w:gridCol w:w="2880"/>
      </w:tblGrid>
      <w:tr>
        <w:tc>
          <w:tcPr>
            <w:tcW w:type="dxa" w:w="3096"/>
            <w:shd w:val="clear" w:fill="7C2D12"/>
          </w:tcPr>
          <w:p>
            <w:pPr>
              <w:spacing w:after="40"/>
            </w:pPr>
            <w:r/>
            <w:r>
              <w:rPr>
                <w:rFonts w:ascii="Arial" w:hAnsi="Arial"/>
                <w:b/>
                <w:color w:val="FFFFFF"/>
                <w:sz w:val="20"/>
              </w:rPr>
              <w:t>Item</w:t>
            </w:r>
          </w:p>
        </w:tc>
        <w:tc>
          <w:tcPr>
            <w:tcW w:type="dxa" w:w="1656"/>
            <w:shd w:val="clear" w:fill="7C2D12"/>
          </w:tcPr>
          <w:p>
            <w:pPr>
              <w:spacing w:after="40"/>
            </w:pPr>
            <w:r/>
            <w:r>
              <w:rPr>
                <w:rFonts w:ascii="Arial" w:hAnsi="Arial"/>
                <w:b/>
                <w:color w:val="FFFFFF"/>
                <w:sz w:val="20"/>
              </w:rPr>
              <w:t>Owner</w:t>
            </w:r>
          </w:p>
        </w:tc>
        <w:tc>
          <w:tcPr>
            <w:tcW w:type="dxa" w:w="5040"/>
            <w:shd w:val="clear" w:fill="7C2D12"/>
          </w:tcPr>
          <w:p>
            <w:pPr>
              <w:spacing w:after="40"/>
            </w:pPr>
            <w:r/>
            <w:r>
              <w:rPr>
                <w:rFonts w:ascii="Arial" w:hAnsi="Arial"/>
                <w:b/>
                <w:color w:val="FFFFFF"/>
                <w:sz w:val="20"/>
              </w:rPr>
              <w:t>Detail</w:t>
            </w:r>
          </w:p>
        </w:tc>
      </w:tr>
      <w:tr>
        <w:tc>
          <w:tcPr>
            <w:tcW w:type="dxa" w:w="3096"/>
          </w:tcPr>
          <w:p>
            <w:pPr>
              <w:spacing w:after="40"/>
            </w:pPr>
            <w:r/>
            <w:r>
              <w:rPr>
                <w:rFonts w:ascii="Arial" w:hAnsi="Arial"/>
                <w:b w:val="0"/>
                <w:color w:val="1A1410"/>
                <w:sz w:val="20"/>
              </w:rPr>
              <w:t>Business-process sign-off</w:t>
            </w:r>
          </w:p>
        </w:tc>
        <w:tc>
          <w:tcPr>
            <w:tcW w:type="dxa" w:w="1656"/>
          </w:tcPr>
          <w:p>
            <w:pPr>
              <w:spacing w:after="40"/>
            </w:pPr>
            <w:r/>
            <w:r>
              <w:rPr>
                <w:rFonts w:ascii="Arial" w:hAnsi="Arial"/>
                <w:b w:val="0"/>
                <w:color w:val="1A1410"/>
                <w:sz w:val="20"/>
              </w:rPr>
              <w:t>Khalid’s team</w:t>
            </w:r>
          </w:p>
        </w:tc>
        <w:tc>
          <w:tcPr>
            <w:tcW w:type="dxa" w:w="5040"/>
          </w:tcPr>
          <w:p>
            <w:pPr>
              <w:spacing w:after="40"/>
            </w:pPr>
            <w:r/>
            <w:r>
              <w:rPr>
                <w:rFonts w:ascii="Arial" w:hAnsi="Arial"/>
                <w:b w:val="0"/>
                <w:color w:val="1A1410"/>
                <w:sz w:val="20"/>
              </w:rPr>
              <w:t>The technical workflow is in good shape, but final approval waits on Khalid’s confirmation that the steps match the SoP. The questions are with his team; feedback is still pending. These are workflow/UX fixes — the business-logic confirmation is his call.</w:t>
            </w:r>
          </w:p>
        </w:tc>
      </w:tr>
      <w:tr>
        <w:tc>
          <w:tcPr>
            <w:tcW w:type="dxa" w:w="3096"/>
          </w:tcPr>
          <w:p>
            <w:pPr>
              <w:spacing w:after="40"/>
            </w:pPr>
            <w:r/>
            <w:r>
              <w:rPr>
                <w:rFonts w:ascii="Arial" w:hAnsi="Arial"/>
                <w:b w:val="0"/>
                <w:color w:val="1A1410"/>
                <w:sz w:val="20"/>
              </w:rPr>
              <w:t>Keep rehearsals on the QA Fixture</w:t>
            </w:r>
          </w:p>
        </w:tc>
        <w:tc>
          <w:tcPr>
            <w:tcW w:type="dxa" w:w="1656"/>
          </w:tcPr>
          <w:p>
            <w:pPr>
              <w:spacing w:after="40"/>
            </w:pPr>
            <w:r/>
            <w:r>
              <w:rPr>
                <w:rFonts w:ascii="Arial" w:hAnsi="Arial"/>
                <w:b w:val="0"/>
                <w:color w:val="1A1410"/>
                <w:sz w:val="20"/>
              </w:rPr>
              <w:t>Proximate</w:t>
            </w:r>
          </w:p>
        </w:tc>
        <w:tc>
          <w:tcPr>
            <w:tcW w:type="dxa" w:w="5040"/>
          </w:tcPr>
          <w:p>
            <w:pPr>
              <w:spacing w:after="40"/>
            </w:pPr>
            <w:r/>
            <w:r>
              <w:rPr>
                <w:rFonts w:ascii="Arial" w:hAnsi="Arial"/>
                <w:b w:val="0"/>
                <w:color w:val="1A1410"/>
                <w:sz w:val="20"/>
              </w:rPr>
              <w:t>Please run any disbursement dry-run against “QA Fixture Partner — Ready to Disburse”, never a Blue Nile or real partner record. The fixture exists precisely so this is safe.</w:t>
            </w:r>
          </w:p>
        </w:tc>
      </w:tr>
      <w:tr>
        <w:tc>
          <w:tcPr>
            <w:tcW w:type="dxa" w:w="3096"/>
          </w:tcPr>
          <w:p>
            <w:pPr>
              <w:spacing w:after="40"/>
            </w:pPr>
            <w:r/>
            <w:r>
              <w:rPr>
                <w:rFonts w:ascii="Arial" w:hAnsi="Arial"/>
                <w:b w:val="0"/>
                <w:color w:val="1A1410"/>
                <w:sz w:val="20"/>
              </w:rPr>
              <w:t>“Record disbursement” stays enabled</w:t>
            </w:r>
          </w:p>
        </w:tc>
        <w:tc>
          <w:tcPr>
            <w:tcW w:type="dxa" w:w="1656"/>
          </w:tcPr>
          <w:p>
            <w:pPr>
              <w:spacing w:after="40"/>
            </w:pPr>
            <w:r/>
            <w:r>
              <w:rPr>
                <w:rFonts w:ascii="Arial" w:hAnsi="Arial"/>
                <w:b w:val="0"/>
                <w:color w:val="1A1410"/>
                <w:sz w:val="20"/>
              </w:rPr>
              <w:t>Information</w:t>
            </w:r>
          </w:p>
        </w:tc>
        <w:tc>
          <w:tcPr>
            <w:tcW w:type="dxa" w:w="5040"/>
          </w:tcPr>
          <w:p>
            <w:pPr>
              <w:spacing w:after="40"/>
            </w:pPr>
            <w:r/>
            <w:r>
              <w:rPr>
                <w:rFonts w:ascii="Arial" w:hAnsi="Arial"/>
                <w:b w:val="0"/>
                <w:color w:val="1A1410"/>
                <w:sz w:val="20"/>
              </w:rPr>
              <w:t>Your tester asked us to double-check this. It is correct as designed: the button is live for an eligible partner, and the system still refuses server-side for anything incomplete. No change needed — but do only ever press it on the QA Fixture path during testing.</w:t>
            </w:r>
          </w:p>
        </w:tc>
      </w:tr>
    </w:tbl>
    <w:p>
      <w:pPr>
        <w:spacing w:after="40"/>
      </w:pPr>
    </w:p>
    <w:p>
      <w:pPr>
        <w:spacing w:after="160" w:before="80"/>
      </w:pPr>
      <w:r>
        <w:rPr>
          <w:rFonts w:ascii="Arial" w:hAnsi="Arial"/>
          <w:b w:val="0"/>
          <w:i w:val="0"/>
          <w:color w:val="1A1410"/>
          <w:sz w:val="21"/>
        </w:rPr>
        <w:t>Still open from the 24–27 July updates, unchanged (all with IT or Meta, none are development work):</w:t>
      </w:r>
    </w:p>
    <w:p>
      <w:pPr>
        <w:pStyle w:val="ListBullet"/>
        <w:spacing w:after="80"/>
      </w:pPr>
      <w:r>
        <w:rPr>
          <w:rFonts w:ascii="Arial" w:hAnsi="Arial"/>
          <w:color w:val="1A1410"/>
          <w:sz w:val="21"/>
        </w:rPr>
        <w:t>Native Sudanese-Arabic read of the Arabic screens and the partner guide — flagged before, still owed.</w:t>
      </w:r>
    </w:p>
    <w:p>
      <w:pPr>
        <w:pStyle w:val="ListBullet"/>
        <w:spacing w:after="80"/>
      </w:pPr>
      <w:r>
        <w:rPr>
          <w:rFonts w:ascii="Arial" w:hAnsi="Arial"/>
          <w:color w:val="1A1410"/>
          <w:sz w:val="21"/>
        </w:rPr>
        <w:t>Backups + object storage before pilot expansion.</w:t>
      </w:r>
    </w:p>
    <w:p>
      <w:pPr>
        <w:pStyle w:val="ListBullet"/>
        <w:spacing w:after="80"/>
      </w:pPr>
      <w:r>
        <w:rPr>
          <w:rFonts w:ascii="Arial" w:hAnsi="Arial"/>
          <w:color w:val="1A1410"/>
          <w:sz w:val="21"/>
        </w:rPr>
        <w:t>Outbound email in production, uptime monitoring, the full periodic sanctions sweep, and WhatsApp on Meta’s own channel (SMS fallback works today) — each an account, key, or approval that sits with IT or Meta.</w:t>
      </w:r>
    </w:p>
    <w:p>
      <w:pPr>
        <w:pStyle w:val="ListBullet"/>
        <w:spacing w:after="80"/>
      </w:pPr>
      <w:r>
        <w:rPr>
          <w:rFonts w:ascii="Arial" w:hAnsi="Arial"/>
          <w:color w:val="1A1410"/>
          <w:sz w:val="21"/>
        </w:rPr>
        <w:t>AI monthly spend cap — an administrator can set this in the console at /admin/cost-ceiling; no developer needed.</w:t>
      </w:r>
    </w:p>
    <w:p>
      <w:pPr>
        <w:pStyle w:val="Heading1"/>
      </w:pPr>
      <w:r>
        <w:t>How this was checked</w:t>
      </w:r>
    </w:p>
    <w:p>
      <w:pPr>
        <w:pStyle w:val="ListBullet"/>
        <w:spacing w:after="80"/>
      </w:pPr>
      <w:r>
        <w:rPr>
          <w:rFonts w:ascii="Arial" w:hAnsi="Arial"/>
          <w:color w:val="1A1410"/>
          <w:sz w:val="21"/>
        </w:rPr>
        <w:t>Signed in as the Oversight Body on the live site: the server returns the audit chain to them (view and download), and the deployed page now routes to the correct tenant endpoint from the first request.</w:t>
      </w:r>
    </w:p>
    <w:p>
      <w:pPr>
        <w:pStyle w:val="ListBullet"/>
        <w:spacing w:after="80"/>
      </w:pPr>
      <w:r>
        <w:rPr>
          <w:rFonts w:ascii="Arial" w:hAnsi="Arial"/>
          <w:color w:val="1A1410"/>
          <w:sz w:val="21"/>
        </w:rPr>
        <w:t>A donor and a platform administrator are still refused on both viewing and downloading the audit chain — the security matrix (29 checks) passes.</w:t>
      </w:r>
    </w:p>
    <w:p>
      <w:pPr>
        <w:pStyle w:val="ListBullet"/>
        <w:spacing w:after="80"/>
      </w:pPr>
      <w:r>
        <w:rPr>
          <w:rFonts w:ascii="Arial" w:hAnsi="Arial"/>
          <w:color w:val="1A1410"/>
          <w:sz w:val="21"/>
        </w:rPr>
        <w:t>Full regression, 124 of 124. The disbursement and round changes compile and ship; the frontend build is clean.</w:t>
      </w:r>
    </w:p>
    <w:p>
      <w:pPr>
        <w:spacing w:after="160" w:before="80"/>
      </w:pPr>
      <w:r>
        <w:rPr>
          <w:rFonts w:ascii="Arial" w:hAnsi="Arial"/>
          <w:b w:val="0"/>
          <w:i w:val="0"/>
          <w:color w:val="57534E"/>
          <w:sz w:val="20"/>
        </w:rPr>
        <w:t>Deployed and running as build 2eab4a396 — the audit-chain access fix, the two disbursement clarifications, and the round-overview jump to the partner roster.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Arial" w:hAnsi="Arial"/>
      <w:color w:val="1A141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C2410C"/>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1A141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