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C2410C"/>
          <w:sz w:val="40"/>
        </w:rPr>
        <w:t>Proximate Fund — Platform Update</w:t>
      </w:r>
    </w:p>
    <w:p>
      <w:pPr>
        <w:spacing w:after="120"/>
      </w:pPr>
      <w:r>
        <w:rPr>
          <w:rFonts w:ascii="Arial" w:hAnsi="Arial"/>
          <w:b w:val="0"/>
          <w:i w:val="0"/>
          <w:color w:val="57534E"/>
          <w:sz w:val="21"/>
        </w:rPr>
        <w:t>27 July 2026  ·  proximate.kuja.org  ·  prepared for the Adeso / Proximate team</w:t>
      </w:r>
    </w:p>
    <w:p>
      <w:pPr>
        <w:spacing w:after="80"/>
      </w:pPr>
      <w:r>
        <w:rPr>
          <w:rFonts w:ascii="Arial" w:hAnsi="Arial"/>
          <w:b w:val="0"/>
          <w:i/>
          <w:color w:val="57534E"/>
          <w:sz w:val="21"/>
        </w:rPr>
        <w:t>This continues the 24 July update. It reports what has shipped since — chiefly the outcome of your review of the Oversight Body workflow — and restates the items from that update that are still open, so you do not need both documents.</w:t>
      </w:r>
    </w:p>
    <w:p>
      <w:pPr>
        <w:pStyle w:val="Heading1"/>
      </w:pPr>
      <w:r>
        <w:t>At a glance</w:t>
      </w:r>
    </w:p>
    <w:p>
      <w:pPr>
        <w:spacing w:after="160"/>
      </w:pPr>
      <w:r>
        <w:rPr>
          <w:rFonts w:ascii="Arial" w:hAnsi="Arial"/>
          <w:b w:val="0"/>
          <w:i w:val="0"/>
          <w:color w:val="1A1410"/>
          <w:sz w:val="21"/>
        </w:rPr>
        <w:t>After the 24 July release you sent a close review of the Oversight Body workflow. It carried one finding marked high — that a donor might be able to download the audit chain — and a set of smaller notes about the disbursement screens. This update says what came of each. The short version of the high finding: the audit chain was never exposed. The system was already refusing donors and platform administrators, on both reading and exporting it, and had been since it shipped. What the reviewer saw was that refusal — and a browser saving the refusal to a file that happened to be named audit-chain.json. A file with that name, sitting in Downloads, reasonably looked like a leak. It was the refusal, written to disk. We fixed the thing that let a safe refusal look like its opposite.</w:t>
      </w:r>
    </w:p>
    <w:p>
      <w:pPr>
        <w:spacing w:after="160"/>
      </w:pPr>
      <w:r>
        <w:rPr>
          <w:rFonts w:ascii="Arial" w:hAnsi="Arial"/>
          <w:b w:val="0"/>
          <w:i w:val="0"/>
          <w:color w:val="1A1410"/>
          <w:sz w:val="21"/>
        </w:rPr>
        <w:t>The disbursement notes are all addressed: the screen now scopes to the round, tells test and live partners apart, and shows a readiness checklist before anything is raised. And the platform’s language coverage, which the 24 July update left half finished, is now complete — every screen an operator can reach reads in Arabic, not only the round screens.</w:t>
      </w:r>
    </w:p>
    <w:p>
      <w:pPr>
        <w:pStyle w:val="Heading1"/>
      </w:pPr>
      <w:r>
        <w:t>What shipped</w:t>
      </w:r>
    </w:p>
    <w:p>
      <w:pPr>
        <w:pStyle w:val="Heading2"/>
      </w:pPr>
      <w:r>
        <w:t>1. The audit-chain finding — nothing left the system</w:t>
      </w:r>
    </w:p>
    <w:p>
      <w:pPr>
        <w:spacing w:after="160"/>
      </w:pPr>
      <w:r>
        <w:rPr>
          <w:rFonts w:ascii="Arial" w:hAnsi="Arial"/>
          <w:b w:val="0"/>
          <w:i w:val="0"/>
          <w:color w:val="1A1410"/>
          <w:sz w:val="21"/>
        </w:rPr>
        <w:t>The refusal was already correct. Donors and platform administrators cannot read the audit chain and cannot export it; that has been true and tested since the feature shipped. The problem was one layer up. The page that carried the “Export chain” button was drawn for everyone, and the button was a plain download link. When a donor clicked it, the browser did what browsers do with a download link — it saved whatever came back. What came back was the server’s “you are not allowed” response, and the browser saved it as audit-chain.json.</w:t>
      </w:r>
    </w:p>
    <w:p>
      <w:pPr>
        <w:spacing w:after="160"/>
      </w:pPr>
      <w:r>
        <w:rPr>
          <w:rFonts w:ascii="Arial" w:hAnsi="Arial"/>
          <w:b w:val="0"/>
          <w:i w:val="0"/>
          <w:color w:val="1A1410"/>
          <w:sz w:val="21"/>
        </w:rPr>
        <w:t>The page now checks first. A donor or platform administrator who opens it sees an “access restricted” panel and no button at all. The export link appears only once the page has loaded the chain for someone allowed to see it. A safe refusal can no longer produce a file that looks like a breach. We also added a test that pins the exact scenario from your review — a donor triggering the export — so it stays refused.</w:t>
      </w:r>
    </w:p>
    <w:p>
      <w:pPr>
        <w:pStyle w:val="Heading2"/>
      </w:pPr>
      <w:r>
        <w:t>2. Raising a disbursement — the notes you raised</w:t>
      </w:r>
    </w:p>
    <w:p>
      <w:pPr>
        <w:spacing w:after="160"/>
      </w:pPr>
      <w:r>
        <w:rPr>
          <w:rFonts w:ascii="Arial" w:hAnsi="Arial"/>
          <w:b w:val="0"/>
          <w:i w:val="0"/>
          <w:color w:val="1A1410"/>
          <w:sz w:val="21"/>
        </w:rPr>
        <w:t>The disbursement screens carried the most feedback. Each note is addressed:</w:t>
      </w:r>
    </w:p>
    <w:tbl>
      <w:tblPr>
        <w:tblStyle w:val="TableGrid"/>
        <w:tblW w:type="auto" w:w="0"/>
        <w:tblLook w:firstColumn="1" w:firstRow="1" w:lastColumn="0" w:lastRow="0" w:noHBand="0" w:noVBand="1" w:val="04A0"/>
      </w:tblPr>
      <w:tblGrid>
        <w:gridCol w:w="4320"/>
        <w:gridCol w:w="4320"/>
      </w:tblGrid>
      <w:tr>
        <w:tc>
          <w:tcPr>
            <w:tcW w:type="dxa" w:w="3168"/>
            <w:shd w:val="clear" w:fill="7C2D12"/>
          </w:tcPr>
          <w:p>
            <w:pPr>
              <w:spacing w:after="40"/>
            </w:pPr>
            <w:r/>
            <w:r>
              <w:rPr>
                <w:rFonts w:ascii="Arial" w:hAnsi="Arial"/>
                <w:b/>
                <w:color w:val="FFFFFF"/>
                <w:sz w:val="20"/>
              </w:rPr>
              <w:t>From your review</w:t>
            </w:r>
          </w:p>
        </w:tc>
        <w:tc>
          <w:tcPr>
            <w:tcW w:type="dxa" w:w="6624"/>
            <w:shd w:val="clear" w:fill="7C2D12"/>
          </w:tcPr>
          <w:p>
            <w:pPr>
              <w:spacing w:after="40"/>
            </w:pPr>
            <w:r/>
            <w:r>
              <w:rPr>
                <w:rFonts w:ascii="Arial" w:hAnsi="Arial"/>
                <w:b/>
                <w:color w:val="FFFFFF"/>
                <w:sz w:val="20"/>
              </w:rPr>
              <w:t>What changed</w:t>
            </w:r>
          </w:p>
        </w:tc>
      </w:tr>
      <w:tr>
        <w:tc>
          <w:tcPr>
            <w:tcW w:type="dxa" w:w="3168"/>
          </w:tcPr>
          <w:p>
            <w:pPr>
              <w:spacing w:after="40"/>
            </w:pPr>
            <w:r/>
            <w:r>
              <w:rPr>
                <w:rFonts w:ascii="Arial" w:hAnsi="Arial"/>
                <w:b w:val="0"/>
                <w:color w:val="1A1410"/>
                <w:sz w:val="20"/>
              </w:rPr>
              <w:t>The partner list was the whole fund</w:t>
            </w:r>
          </w:p>
        </w:tc>
        <w:tc>
          <w:tcPr>
            <w:tcW w:type="dxa" w:w="6624"/>
          </w:tcPr>
          <w:p>
            <w:pPr>
              <w:spacing w:after="40"/>
            </w:pPr>
            <w:r/>
            <w:r>
              <w:rPr>
                <w:rFonts w:ascii="Arial" w:hAnsi="Arial"/>
                <w:b w:val="0"/>
                <w:color w:val="1A1410"/>
                <w:sz w:val="20"/>
              </w:rPr>
              <w:t>Opening “new disbursement” from a round now lists only the partners the panel awarded in that round, with a line saying the list is scoped that way. You cannot accidentally pay a partner who was not awarded in the round you are working in.</w:t>
            </w:r>
          </w:p>
        </w:tc>
      </w:tr>
      <w:tr>
        <w:tc>
          <w:tcPr>
            <w:tcW w:type="dxa" w:w="3168"/>
          </w:tcPr>
          <w:p>
            <w:pPr>
              <w:spacing w:after="40"/>
            </w:pPr>
            <w:r/>
            <w:r>
              <w:rPr>
                <w:rFonts w:ascii="Arial" w:hAnsi="Arial"/>
                <w:b w:val="0"/>
                <w:color w:val="1A1410"/>
                <w:sz w:val="20"/>
              </w:rPr>
              <w:t>Test and live partners looked the same</w:t>
            </w:r>
          </w:p>
        </w:tc>
        <w:tc>
          <w:tcPr>
            <w:tcW w:type="dxa" w:w="6624"/>
          </w:tcPr>
          <w:p>
            <w:pPr>
              <w:spacing w:after="40"/>
            </w:pPr>
            <w:r/>
            <w:r>
              <w:rPr>
                <w:rFonts w:ascii="Arial" w:hAnsi="Arial"/>
                <w:b w:val="0"/>
                <w:color w:val="1A1410"/>
                <w:sz w:val="20"/>
              </w:rPr>
              <w:t>Any fixture or test partner now carries a small TEST tag, so a real payment is never raised against a demo record.</w:t>
            </w:r>
          </w:p>
        </w:tc>
      </w:tr>
      <w:tr>
        <w:tc>
          <w:tcPr>
            <w:tcW w:type="dxa" w:w="3168"/>
          </w:tcPr>
          <w:p>
            <w:pPr>
              <w:spacing w:after="40"/>
            </w:pPr>
            <w:r/>
            <w:r>
              <w:rPr>
                <w:rFonts w:ascii="Arial" w:hAnsi="Arial"/>
                <w:b w:val="0"/>
                <w:color w:val="1A1410"/>
                <w:sz w:val="20"/>
              </w:rPr>
              <w:t>No way to see if a partner was ready</w:t>
            </w:r>
          </w:p>
        </w:tc>
        <w:tc>
          <w:tcPr>
            <w:tcW w:type="dxa" w:w="6624"/>
          </w:tcPr>
          <w:p>
            <w:pPr>
              <w:spacing w:after="40"/>
            </w:pPr>
            <w:r/>
            <w:r>
              <w:rPr>
                <w:rFonts w:ascii="Arial" w:hAnsi="Arial"/>
                <w:b w:val="0"/>
                <w:color w:val="1A1410"/>
                <w:sz w:val="20"/>
              </w:rPr>
              <w:t>A readiness checklist now sits on the screen: partner cleared, panel award recorded, amount approved, contract opened, contract signed, verified payment route. It shows what is and is not in place for the chosen partner and round, so nothing is raised half-ready and you can see at a glance what is missing.</w:t>
            </w:r>
          </w:p>
        </w:tc>
      </w:tr>
      <w:tr>
        <w:tc>
          <w:tcPr>
            <w:tcW w:type="dxa" w:w="3168"/>
          </w:tcPr>
          <w:p>
            <w:pPr>
              <w:spacing w:after="40"/>
            </w:pPr>
            <w:r/>
            <w:r>
              <w:rPr>
                <w:rFonts w:ascii="Arial" w:hAnsi="Arial"/>
                <w:b w:val="0"/>
                <w:color w:val="1A1410"/>
                <w:sz w:val="20"/>
              </w:rPr>
              <w:t>The award rows did not look openable</w:t>
            </w:r>
          </w:p>
        </w:tc>
        <w:tc>
          <w:tcPr>
            <w:tcW w:type="dxa" w:w="6624"/>
          </w:tcPr>
          <w:p>
            <w:pPr>
              <w:spacing w:after="40"/>
            </w:pPr>
            <w:r/>
            <w:r>
              <w:rPr>
                <w:rFonts w:ascii="Arial" w:hAnsi="Arial"/>
                <w:b w:val="0"/>
                <w:color w:val="1A1410"/>
                <w:sz w:val="20"/>
              </w:rPr>
              <w:t>They now carry a chevron and a “tap to record the panel decision” prompt, so it is clear the row expands.</w:t>
            </w:r>
          </w:p>
        </w:tc>
      </w:tr>
      <w:tr>
        <w:tc>
          <w:tcPr>
            <w:tcW w:type="dxa" w:w="3168"/>
          </w:tcPr>
          <w:p>
            <w:pPr>
              <w:spacing w:after="40"/>
            </w:pPr>
            <w:r/>
            <w:r>
              <w:rPr>
                <w:rFonts w:ascii="Arial" w:hAnsi="Arial"/>
                <w:b w:val="0"/>
                <w:color w:val="1A1410"/>
                <w:sz w:val="20"/>
              </w:rPr>
              <w:t>Partner history was hard to reach</w:t>
            </w:r>
          </w:p>
        </w:tc>
        <w:tc>
          <w:tcPr>
            <w:tcW w:type="dxa" w:w="6624"/>
          </w:tcPr>
          <w:p>
            <w:pPr>
              <w:spacing w:after="40"/>
            </w:pPr>
            <w:r/>
            <w:r>
              <w:rPr>
                <w:rFonts w:ascii="Arial" w:hAnsi="Arial"/>
                <w:b w:val="0"/>
                <w:color w:val="1A1410"/>
                <w:sz w:val="20"/>
              </w:rPr>
              <w:t>The partner-history link is back on the round’s roster — a partner’s full timeline is one click from the round.</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fill="FBEDE6"/>
          </w:tcPr>
          <w:p>
            <w:r/>
            <w:r>
              <w:rPr>
                <w:rFonts w:ascii="Arial" w:hAnsi="Arial"/>
                <w:b/>
                <w:color w:val="C2410C"/>
                <w:sz w:val="20"/>
              </w:rPr>
              <w:t xml:space="preserve">Worth knowing — </w:t>
            </w:r>
            <w:r>
              <w:rPr>
                <w:rFonts w:ascii="Arial" w:hAnsi="Arial"/>
                <w:color w:val="1A1410"/>
                <w:sz w:val="20"/>
              </w:rPr>
              <w:t>The readiness checklist does not add new ways to block a payment. The rules that actually stop a disbursement — cleared, awarded, amount, contract, route — were already enforced at the moment you press the button. The checklist just shows them to you earlier, so nothing is raised half-ready.</w:t>
            </w:r>
          </w:p>
        </w:tc>
      </w:tr>
    </w:tbl>
    <w:p>
      <w:pPr>
        <w:spacing w:after="40"/>
      </w:pPr>
    </w:p>
    <w:p>
      <w:pPr>
        <w:pStyle w:val="Heading2"/>
      </w:pPr>
      <w:r>
        <w:t>3. Closeout, and a chat that failed quietly</w:t>
      </w:r>
    </w:p>
    <w:p>
      <w:pPr>
        <w:spacing w:after="160"/>
      </w:pPr>
      <w:r>
        <w:rPr>
          <w:rFonts w:ascii="Arial" w:hAnsi="Arial"/>
          <w:b w:val="0"/>
          <w:i w:val="0"/>
          <w:color w:val="1A1410"/>
          <w:sz w:val="21"/>
        </w:rPr>
        <w:t>Shipped in the same window, from an earlier note: a round’s closeout rule used to live in one place for what the screen showed and another for what the action allowed, so the two could quietly disagree. Closeout now reads from a single source, so what you see and what you can do can no longer drift apart. And the assistant chat, which could fail without saying so, now surfaces the failure instead of looking like it worked.</w:t>
      </w:r>
    </w:p>
    <w:p>
      <w:pPr>
        <w:pStyle w:val="Heading2"/>
      </w:pPr>
      <w:r>
        <w:t>4. Language — every screen now reads in Arabic</w:t>
      </w:r>
    </w:p>
    <w:p>
      <w:pPr>
        <w:spacing w:after="160"/>
      </w:pPr>
      <w:r>
        <w:rPr>
          <w:rFonts w:ascii="Arial" w:hAnsi="Arial"/>
          <w:b w:val="0"/>
          <w:i w:val="0"/>
          <w:color w:val="1A1410"/>
          <w:sz w:val="21"/>
        </w:rPr>
        <w:t>The 24 July update translated the round screens — 187 strings — and was careful to say the rest was still in English. This wave finished it. Every remaining screen an operator can reach, including the grant and donor-pack console and the internal operations screens, is now translated: 939 more strings, with all six languages kept in step and a check that fails the build if they drift.</w:t>
      </w:r>
    </w:p>
    <w:p>
      <w:pPr>
        <w:spacing w:after="160"/>
      </w:pPr>
      <w:r>
        <w:rPr>
          <w:rFonts w:ascii="Arial" w:hAnsi="Arial"/>
          <w:b w:val="0"/>
          <w:i w:val="0"/>
          <w:color w:val="1A1410"/>
          <w:sz w:val="21"/>
        </w:rPr>
        <w:t>An honest note on this. For Proximate what matters is Arabic and English, and both are now complete across every screen. The Arabic is translated to a high standard but has still not been read by a native Sudanese speaker — that review, flagged last time, is now larger and still owed. The other four languages this time carry real translations rather than English placeholders; those are a first pass, also awaiting review, and they are not screens Proximate uses.</w:t>
      </w:r>
    </w:p>
    <w:p>
      <w:pPr>
        <w:spacing w:after="160"/>
      </w:pPr>
      <w:r>
        <w:rPr>
          <w:rFonts w:ascii="Arial" w:hAnsi="Arial"/>
          <w:b w:val="0"/>
          <w:i w:val="0"/>
          <w:color w:val="1A1410"/>
          <w:sz w:val="21"/>
        </w:rPr>
        <w:t>One correction, because your review caught it and we would rather name it than let it pass. The first version of this note said every operator screen read in Arabic. That was true of the fixed text on every screen, but not of one class we had missed: the live “needs your attention” list on the operator home. Those lines — the severity of an item, the kind of an intervention (freeze, suspend), the type of a grievance, the “response window passed” and “needs triage” prompts — are written by the system as events happen rather than being baked into the page, and they were still in English on the build you tested. A follow-up, in the build named at the foot of this note, localizes them too. The attention list now reads in Arabic like the rest, and still falls back to plain English if a label is ever missing, rather than showing a code. It was the last English-only surface an operator could reach; it is closed now.</w:t>
      </w:r>
    </w:p>
    <w:p>
      <w:pPr>
        <w:pStyle w:val="Heading2"/>
      </w:pPr>
      <w:r>
        <w:t>5. Two more things your review asked for</w:t>
      </w:r>
    </w:p>
    <w:p>
      <w:pPr>
        <w:spacing w:after="160"/>
      </w:pPr>
      <w:r>
        <w:rPr>
          <w:rFonts w:ascii="Arial" w:hAnsi="Arial"/>
          <w:b w:val="0"/>
          <w:i w:val="0"/>
          <w:color w:val="1A1410"/>
          <w:sz w:val="21"/>
        </w:rPr>
        <w:t>Your review made two suggestions beyond the fixes above, and both are now done.</w:t>
      </w:r>
    </w:p>
    <w:p>
      <w:pPr>
        <w:spacing w:after="160"/>
      </w:pPr>
      <w:r>
        <w:rPr>
          <w:rFonts w:ascii="Arial" w:hAnsi="Arial"/>
          <w:b w:val="0"/>
          <w:i w:val="0"/>
          <w:color w:val="1A1410"/>
          <w:sz w:val="21"/>
        </w:rPr>
        <w:t xml:space="preserve">The first: a permanent “ready to pay” test partner. When you want to rehearse a disbursement — to see the screens, the readiness checklist, the sign-off — you need a partner who is fully cleared and awarded but has not yet been paid. Until now there wasn’t one standing by, so each rehearsal meant building that state by hand and then clearing it up afterwards. There is now a permanent one that always sits in exactly that state. You will see it in the partner and round lists as </w:t>
      </w:r>
    </w:p>
    <w:p>
      <w:pPr>
        <w:spacing w:after="80"/>
      </w:pPr>
      <w:r>
        <w:rPr>
          <w:rFonts w:ascii="Arial" w:hAnsi="Arial"/>
          <w:b w:val="0"/>
          <w:i/>
          <w:color w:val="1A1410"/>
          <w:sz w:val="21"/>
        </w:rPr>
        <w:t xml:space="preserve">    “QA Fixture Partner — Ready to Disburse”  and  “QA Fixture Round — Happy Path”,</w:t>
      </w:r>
    </w:p>
    <w:p>
      <w:pPr>
        <w:spacing w:after="160"/>
      </w:pPr>
      <w:r>
        <w:rPr>
          <w:rFonts w:ascii="Arial" w:hAnsi="Arial"/>
          <w:b w:val="0"/>
          <w:i w:val="0"/>
          <w:color w:val="1A1410"/>
          <w:sz w:val="21"/>
        </w:rPr>
        <w:t>each carrying a small TEST tag. It is safe to rehearse a disbursement against it; no real money is ever attached to it. Please leave it in place — it is there on purpose, and it can never be confused with a real partner because of the name and the tag. If it is ever removed by accident, one command restores it.</w:t>
      </w:r>
    </w:p>
    <w:tbl>
      <w:tblPr>
        <w:tblStyle w:val="TableGrid"/>
        <w:tblW w:type="auto" w:w="0"/>
        <w:tblLook w:firstColumn="1" w:firstRow="1" w:lastColumn="0" w:lastRow="0" w:noHBand="0" w:noVBand="1" w:val="04A0"/>
      </w:tblPr>
      <w:tblGrid>
        <w:gridCol w:w="8640"/>
      </w:tblGrid>
      <w:tr>
        <w:tc>
          <w:tcPr>
            <w:tcW w:type="dxa" w:w="8640"/>
            <w:shd w:val="clear" w:fill="FBEDE6"/>
          </w:tcPr>
          <w:p>
            <w:r/>
            <w:r>
              <w:rPr>
                <w:rFonts w:ascii="Arial" w:hAnsi="Arial"/>
                <w:b/>
                <w:color w:val="C2410C"/>
                <w:sz w:val="20"/>
              </w:rPr>
              <w:t xml:space="preserve">Please don’t — </w:t>
            </w:r>
            <w:r>
              <w:rPr>
                <w:rFonts w:ascii="Arial" w:hAnsi="Arial"/>
                <w:color w:val="1A1410"/>
                <w:sz w:val="20"/>
              </w:rPr>
              <w:t>delete or edit the “QA Fixture” partner or round. They are the standing rehearsal records. Everything real sits alongside them, untouched.</w:t>
            </w:r>
          </w:p>
        </w:tc>
      </w:tr>
    </w:tbl>
    <w:p>
      <w:pPr>
        <w:spacing w:after="40"/>
      </w:pPr>
    </w:p>
    <w:p>
      <w:pPr>
        <w:spacing w:after="160"/>
      </w:pPr>
      <w:r>
        <w:rPr>
          <w:rFonts w:ascii="Arial" w:hAnsi="Arial"/>
          <w:b w:val="0"/>
          <w:i w:val="0"/>
          <w:color w:val="1A1410"/>
          <w:sz w:val="21"/>
        </w:rPr>
        <w:t>The second: the check that runs before every release now watches for the exact problem your review found. It confirms that the operator’s “needs attention” list is fully translatable, that the audit chain still refuses donors and platform administrators on both viewing and downloading, and that a cleared partner is genuinely ready to pay. If a future change re-introduces an English-only label on that list, or loosens the audit refusal, the release stops before it ships rather than waiting to be caught in a review. In plain terms: the thing you had to notice by hand, the system now notices on its own.</w:t>
      </w:r>
    </w:p>
    <w:p>
      <w:pPr>
        <w:pStyle w:val="Heading1"/>
      </w:pPr>
      <w:r>
        <w:t>Decisions taken during the build</w:t>
      </w:r>
    </w:p>
    <w:p>
      <w:pPr>
        <w:spacing w:after="160"/>
      </w:pPr>
      <w:r>
        <w:rPr>
          <w:rFonts w:ascii="Arial" w:hAnsi="Arial"/>
          <w:b w:val="0"/>
          <w:i w:val="0"/>
          <w:color w:val="1A1410"/>
          <w:sz w:val="21"/>
        </w:rPr>
        <w:t>The points where the answer was not obvious, recorded so you can overturn any of them.</w:t>
      </w:r>
    </w:p>
    <w:tbl>
      <w:tblPr>
        <w:tblStyle w:val="TableGrid"/>
        <w:tblW w:type="auto" w:w="0"/>
        <w:tblLook w:firstColumn="1" w:firstRow="1" w:lastColumn="0" w:lastRow="0" w:noHBand="0" w:noVBand="1" w:val="04A0"/>
      </w:tblPr>
      <w:tblGrid>
        <w:gridCol w:w="4320"/>
        <w:gridCol w:w="4320"/>
      </w:tblGrid>
      <w:tr>
        <w:tc>
          <w:tcPr>
            <w:tcW w:type="dxa" w:w="3888"/>
            <w:shd w:val="clear" w:fill="7C2D12"/>
          </w:tcPr>
          <w:p>
            <w:pPr>
              <w:spacing w:after="40"/>
            </w:pPr>
            <w:r/>
            <w:r>
              <w:rPr>
                <w:rFonts w:ascii="Arial" w:hAnsi="Arial"/>
                <w:b/>
                <w:color w:val="FFFFFF"/>
                <w:sz w:val="20"/>
              </w:rPr>
              <w:t>Decision</w:t>
            </w:r>
          </w:p>
        </w:tc>
        <w:tc>
          <w:tcPr>
            <w:tcW w:type="dxa" w:w="5904"/>
            <w:shd w:val="clear" w:fill="7C2D12"/>
          </w:tcPr>
          <w:p>
            <w:pPr>
              <w:spacing w:after="40"/>
            </w:pPr>
            <w:r/>
            <w:r>
              <w:rPr>
                <w:rFonts w:ascii="Arial" w:hAnsi="Arial"/>
                <w:b/>
                <w:color w:val="FFFFFF"/>
                <w:sz w:val="20"/>
              </w:rPr>
              <w:t>Why</w:t>
            </w:r>
          </w:p>
        </w:tc>
      </w:tr>
      <w:tr>
        <w:tc>
          <w:tcPr>
            <w:tcW w:type="dxa" w:w="3888"/>
          </w:tcPr>
          <w:p>
            <w:pPr>
              <w:spacing w:after="40"/>
            </w:pPr>
            <w:r/>
            <w:r>
              <w:rPr>
                <w:rFonts w:ascii="Arial" w:hAnsi="Arial"/>
                <w:b w:val="0"/>
                <w:color w:val="1A1410"/>
                <w:sz w:val="20"/>
              </w:rPr>
              <w:t>The audit page refuses before it draws, rather than hiding the button.</w:t>
            </w:r>
          </w:p>
        </w:tc>
        <w:tc>
          <w:tcPr>
            <w:tcW w:type="dxa" w:w="5904"/>
          </w:tcPr>
          <w:p>
            <w:pPr>
              <w:spacing w:after="40"/>
            </w:pPr>
            <w:r/>
            <w:r>
              <w:rPr>
                <w:rFonts w:ascii="Arial" w:hAnsi="Arial"/>
                <w:b w:val="0"/>
                <w:color w:val="1A1410"/>
                <w:sz w:val="20"/>
              </w:rPr>
              <w:t>A hidden button can still be found. Checking permission first and showing “access restricted” means there is nothing to find, and it matches how the system already behaved underneath.</w:t>
            </w:r>
          </w:p>
        </w:tc>
      </w:tr>
      <w:tr>
        <w:tc>
          <w:tcPr>
            <w:tcW w:type="dxa" w:w="3888"/>
          </w:tcPr>
          <w:p>
            <w:pPr>
              <w:spacing w:after="40"/>
            </w:pPr>
            <w:r/>
            <w:r>
              <w:rPr>
                <w:rFonts w:ascii="Arial" w:hAnsi="Arial"/>
                <w:b w:val="0"/>
                <w:color w:val="1A1410"/>
                <w:sz w:val="20"/>
              </w:rPr>
              <w:t>The readiness checklist warns; it does not add new blocks.</w:t>
            </w:r>
          </w:p>
        </w:tc>
        <w:tc>
          <w:tcPr>
            <w:tcW w:type="dxa" w:w="5904"/>
          </w:tcPr>
          <w:p>
            <w:pPr>
              <w:spacing w:after="40"/>
            </w:pPr>
            <w:r/>
            <w:r>
              <w:rPr>
                <w:rFonts w:ascii="Arial" w:hAnsi="Arial"/>
                <w:b w:val="0"/>
                <w:color w:val="1A1410"/>
                <w:sz w:val="20"/>
              </w:rPr>
              <w:t>The real gate on a payment was already there. Adding a second, softer gate that could disagree with it would be the split-brain problem we have been removing elsewhere, not fixing it.</w:t>
            </w:r>
          </w:p>
        </w:tc>
      </w:tr>
      <w:tr>
        <w:tc>
          <w:tcPr>
            <w:tcW w:type="dxa" w:w="3888"/>
          </w:tcPr>
          <w:p>
            <w:pPr>
              <w:spacing w:after="40"/>
            </w:pPr>
            <w:r/>
            <w:r>
              <w:rPr>
                <w:rFonts w:ascii="Arial" w:hAnsi="Arial"/>
                <w:b w:val="0"/>
                <w:color w:val="1A1410"/>
                <w:sz w:val="20"/>
              </w:rPr>
              <w:t>We shipped translations for the four non-Arabic languages, where the last update chose English placeholders.</w:t>
            </w:r>
          </w:p>
        </w:tc>
        <w:tc>
          <w:tcPr>
            <w:tcW w:type="dxa" w:w="5904"/>
          </w:tcPr>
          <w:p>
            <w:pPr>
              <w:spacing w:after="40"/>
            </w:pPr>
            <w:r/>
            <w:r>
              <w:rPr>
                <w:rFonts w:ascii="Arial" w:hAnsi="Arial"/>
                <w:b w:val="0"/>
                <w:color w:val="1A1410"/>
                <w:sz w:val="20"/>
              </w:rPr>
              <w:t>For Proximate this changes nothing — you work in Arabic and English, both complete. For the wider platform a clearly-first-pass translation is more useful than English, as long as nobody calls it final; it is flagged for review, not presented as done. If you would rather those four revert to placeholders until a person has read them, that is a one-line change.</w:t>
            </w:r>
          </w:p>
        </w:tc>
      </w:tr>
    </w:tbl>
    <w:p>
      <w:pPr>
        <w:spacing w:after="40"/>
      </w:pPr>
    </w:p>
    <w:p>
      <w:pPr>
        <w:pStyle w:val="Heading1"/>
      </w:pPr>
      <w:r>
        <w:t>Setup still needed — for Adeso IT and Meta</w:t>
      </w:r>
    </w:p>
    <w:tbl>
      <w:tblPr>
        <w:tblStyle w:val="TableGrid"/>
        <w:tblW w:type="auto" w:w="0"/>
        <w:tblLook w:firstColumn="1" w:firstRow="1" w:lastColumn="0" w:lastRow="0" w:noHBand="0" w:noVBand="1" w:val="04A0"/>
      </w:tblPr>
      <w:tblGrid>
        <w:gridCol w:w="8640"/>
      </w:tblGrid>
      <w:tr>
        <w:tc>
          <w:tcPr>
            <w:tcW w:type="dxa" w:w="8640"/>
            <w:shd w:val="clear" w:fill="FBE9E7"/>
          </w:tcPr>
          <w:p>
            <w:r/>
            <w:r>
              <w:rPr>
                <w:rFonts w:ascii="Arial" w:hAnsi="Arial"/>
                <w:b/>
                <w:color w:val="C2410C"/>
                <w:sz w:val="20"/>
              </w:rPr>
              <w:t xml:space="preserve">Do this first — </w:t>
            </w:r>
            <w:r>
              <w:rPr>
                <w:rFonts w:ascii="Arial" w:hAnsi="Arial"/>
                <w:color w:val="1A1410"/>
                <w:sz w:val="20"/>
              </w:rPr>
              <w:t>Turn on the daily database backup. The live fund holds 62 real partners and roughly 100 documents, and none of it is currently backed up. The job exists and is correct; it needs someone with access to the Railway service to enable it, and it is a ten-minute task. It is the highest-value item on this page by a wide margin.</w:t>
            </w:r>
          </w:p>
        </w:tc>
      </w:tr>
    </w:tbl>
    <w:p>
      <w:pPr>
        <w:spacing w:after="40"/>
      </w:pPr>
    </w:p>
    <w:p>
      <w:pPr>
        <w:spacing w:after="160"/>
      </w:pPr>
      <w:r>
        <w:rPr>
          <w:rFonts w:ascii="Arial" w:hAnsi="Arial"/>
          <w:b w:val="0"/>
          <w:i w:val="0"/>
          <w:color w:val="1A1410"/>
          <w:sz w:val="21"/>
        </w:rPr>
        <w:t>None of the items below are development work. Each is an account, a key, or an approval that sits with IT or with Meta — not with us. They are the reason a few things the platform can already do are not yet doing them in production. They stand roughly as they did at the 24 July update; none was revisited in this wave.</w:t>
      </w:r>
    </w:p>
    <w:tbl>
      <w:tblPr>
        <w:tblStyle w:val="TableGrid"/>
        <w:tblW w:type="auto" w:w="0"/>
        <w:tblLook w:firstColumn="1" w:firstRow="1" w:lastColumn="0" w:lastRow="0" w:noHBand="0" w:noVBand="1" w:val="04A0"/>
      </w:tblPr>
      <w:tblGrid>
        <w:gridCol w:w="2880"/>
        <w:gridCol w:w="2880"/>
        <w:gridCol w:w="2880"/>
      </w:tblGrid>
      <w:tr>
        <w:tc>
          <w:tcPr>
            <w:tcW w:type="dxa" w:w="3384"/>
            <w:shd w:val="clear" w:fill="7C2D12"/>
          </w:tcPr>
          <w:p>
            <w:pPr>
              <w:spacing w:after="40"/>
            </w:pPr>
            <w:r/>
            <w:r>
              <w:rPr>
                <w:rFonts w:ascii="Arial" w:hAnsi="Arial"/>
                <w:b/>
                <w:color w:val="FFFFFF"/>
                <w:sz w:val="20"/>
              </w:rPr>
              <w:t>What is needed</w:t>
            </w:r>
          </w:p>
        </w:tc>
        <w:tc>
          <w:tcPr>
            <w:tcW w:type="dxa" w:w="1656"/>
            <w:shd w:val="clear" w:fill="7C2D12"/>
          </w:tcPr>
          <w:p>
            <w:pPr>
              <w:spacing w:after="40"/>
            </w:pPr>
            <w:r/>
            <w:r>
              <w:rPr>
                <w:rFonts w:ascii="Arial" w:hAnsi="Arial"/>
                <w:b/>
                <w:color w:val="FFFFFF"/>
                <w:sz w:val="20"/>
              </w:rPr>
              <w:t>Who</w:t>
            </w:r>
          </w:p>
        </w:tc>
        <w:tc>
          <w:tcPr>
            <w:tcW w:type="dxa" w:w="4752"/>
            <w:shd w:val="clear" w:fill="7C2D12"/>
          </w:tcPr>
          <w:p>
            <w:pPr>
              <w:spacing w:after="40"/>
            </w:pPr>
            <w:r/>
            <w:r>
              <w:rPr>
                <w:rFonts w:ascii="Arial" w:hAnsi="Arial"/>
                <w:b/>
                <w:color w:val="FFFFFF"/>
                <w:sz w:val="20"/>
              </w:rPr>
              <w:t>Detail</w:t>
            </w:r>
          </w:p>
        </w:tc>
      </w:tr>
      <w:tr>
        <w:tc>
          <w:tcPr>
            <w:tcW w:type="dxa" w:w="3384"/>
          </w:tcPr>
          <w:p>
            <w:pPr>
              <w:spacing w:after="40"/>
            </w:pPr>
            <w:r/>
            <w:r>
              <w:rPr>
                <w:rFonts w:ascii="Arial" w:hAnsi="Arial"/>
                <w:b w:val="0"/>
                <w:color w:val="1A1410"/>
                <w:sz w:val="20"/>
              </w:rPr>
              <w:t>Daily database backups — not enabled</w:t>
            </w:r>
          </w:p>
        </w:tc>
        <w:tc>
          <w:tcPr>
            <w:tcW w:type="dxa" w:w="1656"/>
          </w:tcPr>
          <w:p>
            <w:pPr>
              <w:spacing w:after="40"/>
            </w:pPr>
            <w:r/>
            <w:r>
              <w:rPr>
                <w:rFonts w:ascii="Arial" w:hAnsi="Arial"/>
                <w:b w:val="0"/>
                <w:color w:val="1A1410"/>
                <w:sz w:val="20"/>
              </w:rPr>
              <w:t>IT · Railway</w:t>
            </w:r>
          </w:p>
        </w:tc>
        <w:tc>
          <w:tcPr>
            <w:tcW w:type="dxa" w:w="4752"/>
          </w:tcPr>
          <w:p>
            <w:pPr>
              <w:spacing w:after="40"/>
            </w:pPr>
            <w:r/>
            <w:r>
              <w:rPr>
                <w:rFonts w:ascii="Arial" w:hAnsi="Arial"/>
                <w:b w:val="0"/>
                <w:color w:val="1A1410"/>
                <w:sz w:val="20"/>
              </w:rPr>
              <w:t>Enable Railway’s daily Postgres backups with 30-day retention. 62 real partners and ~100 documents are currently unbacked-up. A ten-minute task and the first thing to do.</w:t>
            </w:r>
          </w:p>
        </w:tc>
      </w:tr>
      <w:tr>
        <w:tc>
          <w:tcPr>
            <w:tcW w:type="dxa" w:w="3384"/>
          </w:tcPr>
          <w:p>
            <w:pPr>
              <w:spacing w:after="40"/>
            </w:pPr>
            <w:r/>
            <w:r>
              <w:rPr>
                <w:rFonts w:ascii="Arial" w:hAnsi="Arial"/>
                <w:b w:val="0"/>
                <w:color w:val="1A1410"/>
                <w:sz w:val="20"/>
              </w:rPr>
              <w:t>Off-site backup copy — not running</w:t>
            </w:r>
          </w:p>
        </w:tc>
        <w:tc>
          <w:tcPr>
            <w:tcW w:type="dxa" w:w="1656"/>
          </w:tcPr>
          <w:p>
            <w:pPr>
              <w:spacing w:after="40"/>
            </w:pPr>
            <w:r/>
            <w:r>
              <w:rPr>
                <w:rFonts w:ascii="Arial" w:hAnsi="Arial"/>
                <w:b w:val="0"/>
                <w:color w:val="1A1410"/>
                <w:sz w:val="20"/>
              </w:rPr>
              <w:t>IT · GitHub</w:t>
            </w:r>
          </w:p>
        </w:tc>
        <w:tc>
          <w:tcPr>
            <w:tcW w:type="dxa" w:w="4752"/>
          </w:tcPr>
          <w:p>
            <w:pPr>
              <w:spacing w:after="40"/>
            </w:pPr>
            <w:r/>
            <w:r>
              <w:rPr>
                <w:rFonts w:ascii="Arial" w:hAnsi="Arial"/>
                <w:b w:val="0"/>
                <w:color w:val="1A1410"/>
                <w:sz w:val="20"/>
              </w:rPr>
              <w:t>A weekly database dump to object storage is written as a job but has never run. It needs the object storage below to exist first, then to be switched on.</w:t>
            </w:r>
          </w:p>
        </w:tc>
      </w:tr>
      <w:tr>
        <w:tc>
          <w:tcPr>
            <w:tcW w:type="dxa" w:w="3384"/>
          </w:tcPr>
          <w:p>
            <w:pPr>
              <w:spacing w:after="40"/>
            </w:pPr>
            <w:r/>
            <w:r>
              <w:rPr>
                <w:rFonts w:ascii="Arial" w:hAnsi="Arial"/>
                <w:b w:val="0"/>
                <w:color w:val="1A1410"/>
                <w:sz w:val="20"/>
              </w:rPr>
              <w:t>Object storage (Cloudflare R2) — not provisioned</w:t>
            </w:r>
          </w:p>
        </w:tc>
        <w:tc>
          <w:tcPr>
            <w:tcW w:type="dxa" w:w="1656"/>
          </w:tcPr>
          <w:p>
            <w:pPr>
              <w:spacing w:after="40"/>
            </w:pPr>
            <w:r/>
            <w:r>
              <w:rPr>
                <w:rFonts w:ascii="Arial" w:hAnsi="Arial"/>
                <w:b w:val="0"/>
                <w:color w:val="1A1410"/>
                <w:sz w:val="20"/>
              </w:rPr>
              <w:t>IT</w:t>
            </w:r>
          </w:p>
        </w:tc>
        <w:tc>
          <w:tcPr>
            <w:tcW w:type="dxa" w:w="4752"/>
          </w:tcPr>
          <w:p>
            <w:pPr>
              <w:spacing w:after="40"/>
            </w:pPr>
            <w:r/>
            <w:r>
              <w:rPr>
                <w:rFonts w:ascii="Arial" w:hAnsi="Arial"/>
                <w:b w:val="0"/>
                <w:color w:val="1A1410"/>
                <w:sz w:val="20"/>
              </w:rPr>
              <w:t>Uploaded documents and evidence photos currently sit on the service’s own disk. Create an R2 bucket (proximate-evidence) and an API token, set three environment variables (S3_ENDPOINT, S3_ACCESS_KEY, S3_SECRET_KEY) on the Railway service, and the existing evidence is then migrated across.</w:t>
            </w:r>
          </w:p>
        </w:tc>
      </w:tr>
      <w:tr>
        <w:tc>
          <w:tcPr>
            <w:tcW w:type="dxa" w:w="3384"/>
          </w:tcPr>
          <w:p>
            <w:pPr>
              <w:spacing w:after="40"/>
            </w:pPr>
            <w:r/>
            <w:r>
              <w:rPr>
                <w:rFonts w:ascii="Arial" w:hAnsi="Arial"/>
                <w:b w:val="0"/>
                <w:color w:val="1A1410"/>
                <w:sz w:val="20"/>
              </w:rPr>
              <w:t>Outbound email — not configured</w:t>
            </w:r>
          </w:p>
        </w:tc>
        <w:tc>
          <w:tcPr>
            <w:tcW w:type="dxa" w:w="1656"/>
          </w:tcPr>
          <w:p>
            <w:pPr>
              <w:spacing w:after="40"/>
            </w:pPr>
            <w:r/>
            <w:r>
              <w:rPr>
                <w:rFonts w:ascii="Arial" w:hAnsi="Arial"/>
                <w:b w:val="0"/>
                <w:color w:val="1A1410"/>
                <w:sz w:val="20"/>
              </w:rPr>
              <w:t>IT</w:t>
            </w:r>
          </w:p>
        </w:tc>
        <w:tc>
          <w:tcPr>
            <w:tcW w:type="dxa" w:w="4752"/>
          </w:tcPr>
          <w:p>
            <w:pPr>
              <w:spacing w:after="40"/>
            </w:pPr>
            <w:r/>
            <w:r>
              <w:rPr>
                <w:rFonts w:ascii="Arial" w:hAnsi="Arial"/>
                <w:b w:val="0"/>
                <w:color w:val="1A1410"/>
                <w:sz w:val="20"/>
              </w:rPr>
              <w:t>There is no email configuration on the production service — no SMTP, no SendGrid. Anything the system would send by email is silently going nowhere. WhatsApp and SMS are unaffected and work. One provider key on Railway fixes it.</w:t>
            </w:r>
          </w:p>
        </w:tc>
      </w:tr>
      <w:tr>
        <w:tc>
          <w:tcPr>
            <w:tcW w:type="dxa" w:w="3384"/>
          </w:tcPr>
          <w:p>
            <w:pPr>
              <w:spacing w:after="40"/>
            </w:pPr>
            <w:r/>
            <w:r>
              <w:rPr>
                <w:rFonts w:ascii="Arial" w:hAnsi="Arial"/>
                <w:b w:val="0"/>
                <w:color w:val="1A1410"/>
                <w:sz w:val="20"/>
              </w:rPr>
              <w:t>Full sanctions sweep — never run</w:t>
            </w:r>
          </w:p>
        </w:tc>
        <w:tc>
          <w:tcPr>
            <w:tcW w:type="dxa" w:w="1656"/>
          </w:tcPr>
          <w:p>
            <w:pPr>
              <w:spacing w:after="40"/>
            </w:pPr>
            <w:r/>
            <w:r>
              <w:rPr>
                <w:rFonts w:ascii="Arial" w:hAnsi="Arial"/>
                <w:b w:val="0"/>
                <w:color w:val="1A1410"/>
                <w:sz w:val="20"/>
              </w:rPr>
              <w:t>IT · GitHub</w:t>
            </w:r>
          </w:p>
        </w:tc>
        <w:tc>
          <w:tcPr>
            <w:tcW w:type="dxa" w:w="4752"/>
          </w:tcPr>
          <w:p>
            <w:pPr>
              <w:spacing w:after="40"/>
            </w:pPr>
            <w:r/>
            <w:r>
              <w:rPr>
                <w:rFonts w:ascii="Arial" w:hAnsi="Arial"/>
                <w:b w:val="0"/>
                <w:color w:val="1A1410"/>
                <w:sz w:val="20"/>
              </w:rPr>
              <w:t>The Monday re-screen does run; the full periodic sweep does not. Same kind of one-off enablement as the backup.</w:t>
            </w:r>
          </w:p>
        </w:tc>
      </w:tr>
      <w:tr>
        <w:tc>
          <w:tcPr>
            <w:tcW w:type="dxa" w:w="3384"/>
          </w:tcPr>
          <w:p>
            <w:pPr>
              <w:spacing w:after="40"/>
            </w:pPr>
            <w:r/>
            <w:r>
              <w:rPr>
                <w:rFonts w:ascii="Arial" w:hAnsi="Arial"/>
                <w:b w:val="0"/>
                <w:color w:val="1A1410"/>
                <w:sz w:val="20"/>
              </w:rPr>
              <w:t>WhatsApp on Meta’s own channel — pending</w:t>
            </w:r>
          </w:p>
        </w:tc>
        <w:tc>
          <w:tcPr>
            <w:tcW w:type="dxa" w:w="1656"/>
          </w:tcPr>
          <w:p>
            <w:pPr>
              <w:spacing w:after="40"/>
            </w:pPr>
            <w:r/>
            <w:r>
              <w:rPr>
                <w:rFonts w:ascii="Arial" w:hAnsi="Arial"/>
                <w:b w:val="0"/>
                <w:color w:val="1A1410"/>
                <w:sz w:val="20"/>
              </w:rPr>
              <w:t>Adeso · Meta</w:t>
            </w:r>
          </w:p>
        </w:tc>
        <w:tc>
          <w:tcPr>
            <w:tcW w:type="dxa" w:w="4752"/>
          </w:tcPr>
          <w:p>
            <w:pPr>
              <w:spacing w:after="40"/>
            </w:pPr>
            <w:r/>
            <w:r>
              <w:rPr>
                <w:rFonts w:ascii="Arial" w:hAnsi="Arial"/>
                <w:b w:val="0"/>
                <w:color w:val="1A1410"/>
                <w:sz w:val="20"/>
              </w:rPr>
              <w:t>The sender number is live and messaging works today over the SMS fallback. To move automated messages onto WhatsApp proper: a Meta Business Portfolio and WhatsApp Business Account for Adeso, six utility templates registered in Meta (each ~24h approval), and two environment variables (WHATSAPP_PHONE_NUMBER_ID, WHATSAPP_ACCESS_TOKEN). Several automated reminders are waiting on this.</w:t>
            </w:r>
          </w:p>
        </w:tc>
      </w:tr>
      <w:tr>
        <w:tc>
          <w:tcPr>
            <w:tcW w:type="dxa" w:w="3384"/>
          </w:tcPr>
          <w:p>
            <w:pPr>
              <w:spacing w:after="40"/>
            </w:pPr>
            <w:r/>
            <w:r>
              <w:rPr>
                <w:rFonts w:ascii="Arial" w:hAnsi="Arial"/>
                <w:b w:val="0"/>
                <w:color w:val="1A1410"/>
                <w:sz w:val="20"/>
              </w:rPr>
              <w:t>Uptime monitoring — not set up</w:t>
            </w:r>
          </w:p>
        </w:tc>
        <w:tc>
          <w:tcPr>
            <w:tcW w:type="dxa" w:w="1656"/>
          </w:tcPr>
          <w:p>
            <w:pPr>
              <w:spacing w:after="40"/>
            </w:pPr>
            <w:r/>
            <w:r>
              <w:rPr>
                <w:rFonts w:ascii="Arial" w:hAnsi="Arial"/>
                <w:b w:val="0"/>
                <w:color w:val="1A1410"/>
                <w:sz w:val="20"/>
              </w:rPr>
              <w:t>IT</w:t>
            </w:r>
          </w:p>
        </w:tc>
        <w:tc>
          <w:tcPr>
            <w:tcW w:type="dxa" w:w="4752"/>
          </w:tcPr>
          <w:p>
            <w:pPr>
              <w:spacing w:after="40"/>
            </w:pPr>
            <w:r/>
            <w:r>
              <w:rPr>
                <w:rFonts w:ascii="Arial" w:hAnsi="Arial"/>
                <w:b w:val="0"/>
                <w:color w:val="1A1410"/>
                <w:sz w:val="20"/>
              </w:rPr>
              <w:t>A free BetterStack (or similar) check on /health plus one per-tenant probe, so an outage pages someone rather than waiting to be noticed.</w:t>
            </w:r>
          </w:p>
        </w:tc>
      </w:tr>
      <w:tr>
        <w:tc>
          <w:tcPr>
            <w:tcW w:type="dxa" w:w="3384"/>
          </w:tcPr>
          <w:p>
            <w:pPr>
              <w:spacing w:after="40"/>
            </w:pPr>
            <w:r/>
            <w:r>
              <w:rPr>
                <w:rFonts w:ascii="Arial" w:hAnsi="Arial"/>
                <w:b w:val="0"/>
                <w:color w:val="1A1410"/>
                <w:sz w:val="20"/>
              </w:rPr>
              <w:t>AI spend cap — unset</w:t>
            </w:r>
          </w:p>
        </w:tc>
        <w:tc>
          <w:tcPr>
            <w:tcW w:type="dxa" w:w="1656"/>
          </w:tcPr>
          <w:p>
            <w:pPr>
              <w:spacing w:after="40"/>
            </w:pPr>
            <w:r/>
            <w:r>
              <w:rPr>
                <w:rFonts w:ascii="Arial" w:hAnsi="Arial"/>
                <w:b w:val="0"/>
                <w:color w:val="1A1410"/>
                <w:sz w:val="20"/>
              </w:rPr>
              <w:t>Oversight Body</w:t>
            </w:r>
          </w:p>
        </w:tc>
        <w:tc>
          <w:tcPr>
            <w:tcW w:type="dxa" w:w="4752"/>
          </w:tcPr>
          <w:p>
            <w:pPr>
              <w:spacing w:after="40"/>
            </w:pPr>
            <w:r/>
            <w:r>
              <w:rPr>
                <w:rFonts w:ascii="Arial" w:hAnsi="Arial"/>
                <w:b w:val="0"/>
                <w:color w:val="1A1410"/>
                <w:sz w:val="20"/>
              </w:rPr>
              <w:t>The one item here that is not IT. An administrator can set Proximate’s monthly AI spend cap in the console at /admin/cost-ceiling — no developer needed.</w:t>
            </w:r>
          </w:p>
        </w:tc>
      </w:tr>
    </w:tbl>
    <w:p>
      <w:pPr>
        <w:spacing w:after="40"/>
      </w:pPr>
    </w:p>
    <w:p>
      <w:pPr>
        <w:pStyle w:val="Heading1"/>
      </w:pPr>
      <w:r>
        <w:t>And two things for the Proximate team</w:t>
      </w:r>
    </w:p>
    <w:tbl>
      <w:tblPr>
        <w:tblStyle w:val="TableGrid"/>
        <w:tblW w:type="auto" w:w="0"/>
        <w:tblLook w:firstColumn="1" w:firstRow="1" w:lastColumn="0" w:lastRow="0" w:noHBand="0" w:noVBand="1" w:val="04A0"/>
      </w:tblPr>
      <w:tblGrid>
        <w:gridCol w:w="2880"/>
        <w:gridCol w:w="2880"/>
        <w:gridCol w:w="2880"/>
      </w:tblGrid>
      <w:tr>
        <w:tc>
          <w:tcPr>
            <w:tcW w:type="dxa" w:w="3024"/>
            <w:shd w:val="clear" w:fill="7C2D12"/>
          </w:tcPr>
          <w:p>
            <w:pPr>
              <w:spacing w:after="40"/>
            </w:pPr>
            <w:r/>
            <w:r>
              <w:rPr>
                <w:rFonts w:ascii="Arial" w:hAnsi="Arial"/>
                <w:b/>
                <w:color w:val="FFFFFF"/>
                <w:sz w:val="20"/>
              </w:rPr>
              <w:t>Item</w:t>
            </w:r>
          </w:p>
        </w:tc>
        <w:tc>
          <w:tcPr>
            <w:tcW w:type="dxa" w:w="1584"/>
            <w:shd w:val="clear" w:fill="7C2D12"/>
          </w:tcPr>
          <w:p>
            <w:pPr>
              <w:spacing w:after="40"/>
            </w:pPr>
            <w:r/>
            <w:r>
              <w:rPr>
                <w:rFonts w:ascii="Arial" w:hAnsi="Arial"/>
                <w:b/>
                <w:color w:val="FFFFFF"/>
                <w:sz w:val="20"/>
              </w:rPr>
              <w:t>Who</w:t>
            </w:r>
          </w:p>
        </w:tc>
        <w:tc>
          <w:tcPr>
            <w:tcW w:type="dxa" w:w="5184"/>
            <w:shd w:val="clear" w:fill="7C2D12"/>
          </w:tcPr>
          <w:p>
            <w:pPr>
              <w:spacing w:after="40"/>
            </w:pPr>
            <w:r/>
            <w:r>
              <w:rPr>
                <w:rFonts w:ascii="Arial" w:hAnsi="Arial"/>
                <w:b/>
                <w:color w:val="FFFFFF"/>
                <w:sz w:val="20"/>
              </w:rPr>
              <w:t>Detail</w:t>
            </w:r>
          </w:p>
        </w:tc>
      </w:tr>
      <w:tr>
        <w:tc>
          <w:tcPr>
            <w:tcW w:type="dxa" w:w="3024"/>
          </w:tcPr>
          <w:p>
            <w:pPr>
              <w:spacing w:after="40"/>
            </w:pPr>
            <w:r/>
            <w:r>
              <w:rPr>
                <w:rFonts w:ascii="Arial" w:hAnsi="Arial"/>
                <w:b w:val="0"/>
                <w:color w:val="1A1410"/>
                <w:sz w:val="20"/>
              </w:rPr>
              <w:t>Re-test the two things you raised</w:t>
            </w:r>
          </w:p>
        </w:tc>
        <w:tc>
          <w:tcPr>
            <w:tcW w:type="dxa" w:w="1584"/>
          </w:tcPr>
          <w:p>
            <w:pPr>
              <w:spacing w:after="40"/>
            </w:pPr>
            <w:r/>
            <w:r>
              <w:rPr>
                <w:rFonts w:ascii="Arial" w:hAnsi="Arial"/>
                <w:b w:val="0"/>
                <w:color w:val="1A1410"/>
                <w:sz w:val="20"/>
              </w:rPr>
              <w:t>Proximate</w:t>
            </w:r>
          </w:p>
        </w:tc>
        <w:tc>
          <w:tcPr>
            <w:tcW w:type="dxa" w:w="5184"/>
          </w:tcPr>
          <w:p>
            <w:pPr>
              <w:spacing w:after="40"/>
            </w:pPr>
            <w:r/>
            <w:r>
              <w:rPr>
                <w:rFonts w:ascii="Arial" w:hAnsi="Arial"/>
                <w:b w:val="0"/>
                <w:color w:val="1A1410"/>
                <w:sz w:val="20"/>
              </w:rPr>
              <w:t>Open the audit chain signed in as a donor — you should now see “access restricted”, not a download. Raise a disbursement from a round — the partner list should be scoped to that round’s awards, with the readiness checklist.</w:t>
            </w:r>
          </w:p>
        </w:tc>
      </w:tr>
      <w:tr>
        <w:tc>
          <w:tcPr>
            <w:tcW w:type="dxa" w:w="3024"/>
          </w:tcPr>
          <w:p>
            <w:pPr>
              <w:spacing w:after="40"/>
            </w:pPr>
            <w:r/>
            <w:r>
              <w:rPr>
                <w:rFonts w:ascii="Arial" w:hAnsi="Arial"/>
                <w:b w:val="0"/>
                <w:color w:val="1A1410"/>
                <w:sz w:val="20"/>
              </w:rPr>
              <w:t>Native Sudanese-Arabic read</w:t>
            </w:r>
          </w:p>
        </w:tc>
        <w:tc>
          <w:tcPr>
            <w:tcW w:type="dxa" w:w="1584"/>
          </w:tcPr>
          <w:p>
            <w:pPr>
              <w:spacing w:after="40"/>
            </w:pPr>
            <w:r/>
            <w:r>
              <w:rPr>
                <w:rFonts w:ascii="Arial" w:hAnsi="Arial"/>
                <w:b w:val="0"/>
                <w:color w:val="1A1410"/>
                <w:sz w:val="20"/>
              </w:rPr>
              <w:t>Proximate</w:t>
            </w:r>
          </w:p>
        </w:tc>
        <w:tc>
          <w:tcPr>
            <w:tcW w:type="dxa" w:w="5184"/>
          </w:tcPr>
          <w:p>
            <w:pPr>
              <w:spacing w:after="40"/>
            </w:pPr>
            <w:r/>
            <w:r>
              <w:rPr>
                <w:rFonts w:ascii="Arial" w:hAnsi="Arial"/>
                <w:b w:val="0"/>
                <w:color w:val="1A1410"/>
                <w:sz w:val="20"/>
              </w:rPr>
              <w:t>The Arabic set is now much larger than the 187 strings noted last time. It is properly translated but has not yet been read by a native speaker. The Arabic partner guide is in the same position.</w:t>
            </w:r>
          </w:p>
        </w:tc>
      </w:tr>
    </w:tbl>
    <w:p>
      <w:pPr>
        <w:spacing w:after="40"/>
      </w:pPr>
    </w:p>
    <w:p>
      <w:pPr>
        <w:pStyle w:val="Heading1"/>
      </w:pPr>
      <w:r>
        <w:t>How this was checked</w:t>
      </w:r>
    </w:p>
    <w:p>
      <w:pPr>
        <w:pStyle w:val="ListBullet"/>
        <w:spacing w:after="80"/>
      </w:pPr>
      <w:r>
        <w:rPr>
          <w:rFonts w:ascii="Arial" w:hAnsi="Arial"/>
          <w:color w:val="1A1410"/>
          <w:sz w:val="21"/>
        </w:rPr>
        <w:t>The security matrix (29 checks) passes: a donor and a platform administrator are refused on both reading and downloading the audit chain — including the exact “Export chain” action from your review — while the Oversight Body is allowed. Full regression, 124 of 124.</w:t>
      </w:r>
    </w:p>
    <w:p>
      <w:pPr>
        <w:pStyle w:val="ListBullet"/>
        <w:spacing w:after="80"/>
      </w:pPr>
      <w:r>
        <w:rPr>
          <w:rFonts w:ascii="Arial" w:hAnsi="Arial"/>
          <w:color w:val="1A1410"/>
          <w:sz w:val="21"/>
        </w:rPr>
        <w:t>The disbursement screen was confirmed on the live site to scope its partner list to the round and to show the readiness checklist.</w:t>
      </w:r>
    </w:p>
    <w:p>
      <w:pPr>
        <w:pStyle w:val="ListBullet"/>
        <w:spacing w:after="80"/>
      </w:pPr>
      <w:r>
        <w:rPr>
          <w:rFonts w:ascii="Arial" w:hAnsi="Arial"/>
          <w:color w:val="1A1410"/>
          <w:sz w:val="21"/>
        </w:rPr>
        <w:t>Language: every screen compiles; the static strings plus the 27 new attention-list labels are present in all six languages with no drift, and a check confirms every placeholder ({name}, {amount}, and so on) survived translation intact. The live site was confirmed to be serving the new Arabic text — including the attention-list labels — and loads with no errors.</w:t>
      </w:r>
    </w:p>
    <w:p>
      <w:pPr>
        <w:pStyle w:val="ListBullet"/>
        <w:spacing w:after="80"/>
      </w:pPr>
      <w:r>
        <w:rPr>
          <w:rFonts w:ascii="Arial" w:hAnsi="Arial"/>
          <w:color w:val="1A1410"/>
          <w:sz w:val="21"/>
        </w:rPr>
        <w:t>The three things your review checked by hand are now in the standing pre-release check: the attention list must stay fully translatable, the audit chain must keep refusing donors and administrators on view and download, and a cleared partner must be genuinely ready to pay. A change that breaks any of them now stops before it ships.</w:t>
      </w:r>
    </w:p>
    <w:p>
      <w:pPr>
        <w:pStyle w:val="ListBullet"/>
        <w:spacing w:after="80"/>
      </w:pPr>
      <w:r>
        <w:rPr>
          <w:rFonts w:ascii="Arial" w:hAnsi="Arial"/>
          <w:color w:val="1A1410"/>
          <w:sz w:val="21"/>
        </w:rPr>
        <w:t>The permanent “QA Fixture” partner and round were confirmed on the live site to be cleared, awarded, and ready to disburse, with no money attached.</w:t>
      </w:r>
    </w:p>
    <w:p>
      <w:pPr>
        <w:spacing w:after="160" w:before="80"/>
      </w:pPr>
      <w:r>
        <w:rPr>
          <w:rFonts w:ascii="Arial" w:hAnsi="Arial"/>
          <w:b w:val="0"/>
          <w:i w:val="0"/>
          <w:color w:val="57534E"/>
          <w:sz w:val="20"/>
        </w:rPr>
        <w:t>Deployed and running as build 614c2d1d5 — the workflow fixes, the language completion, the attention-list follow-up that closed the last English-only surface, and the two items your review asked for (the standing “ready to pay” test partner and the pre-release checks that now watch for the problem you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1A14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C2410C"/>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A141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