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410"/>
          <w:sz w:val="44"/>
          <w:szCs w:val="44"/>
        </w:rPr>
        <w:t xml:space="preserve">Proximate Fund — Platform Update</w:t>
      </w:r>
    </w:p>
    <w:p>
      <w:pPr>
        <w:spacing w:after="200" w:before="90"/>
      </w:pPr>
      <w:r>
        <w:rPr>
          <w:rFonts w:ascii="Arial" w:cs="Arial" w:eastAsia="Arial" w:hAnsi="Arial"/>
          <w:color w:val="6B655F"/>
          <w:sz w:val="21"/>
          <w:szCs w:val="21"/>
        </w:rPr>
        <w:t xml:space="preserve">21 July 2026 · proximate.kuja.org · prepared for the Adeso / Proximate team</w:t>
      </w:r>
    </w:p>
    <w:p>
      <w:pPr>
        <w:pStyle w:val="Heading1"/>
      </w:pPr>
      <w:r>
        <w:t xml:space="preserve">At a glance</w:t>
      </w:r>
    </w:p>
    <w:p>
      <w:pPr>
        <w:spacing w:after="90" w:before="90"/>
      </w:pPr>
      <w:r>
        <w:rPr>
          <w:rFonts w:ascii="Arial" w:cs="Arial" w:eastAsia="Arial" w:hAnsi="Arial"/>
          <w:color w:val="1A1410"/>
          <w:sz w:val="21"/>
          <w:szCs w:val="21"/>
        </w:rPr>
        <w:t xml:space="preserve">Today was mostly documentation rather than features, and that is deliberate — the screens the UAT pack is keyed to stay frozen while testing runs. One incorrect label was corrected; nothing else about the English console changed, so the test pack and QA scripts remain valid.</w:t>
      </w:r>
    </w:p>
    <w:p>
      <w:pPr>
        <w:spacing w:after="90" w:before="90"/>
      </w:pPr>
      <w:r>
        <w:rPr>
          <w:rFonts w:ascii="Arial" w:cs="Arial" w:eastAsia="Arial" w:hAnsi="Arial"/>
          <w:color w:val="1A1410"/>
          <w:sz w:val="21"/>
          <w:szCs w:val="21"/>
        </w:rPr>
        <w:t xml:space="preserve">Five documents were produced: a walkthrough for the UAT, a guide for the people who run the fund, one for donors, one for partners in English and Arabic, and an operations runbook. Writing them meant auditing the live system closely, and that audit turned up two things nobody had noticed. One of them needs an action from IT this week: outbound email has never actually been configured, and the failure is silent.</w:t>
      </w:r>
    </w:p>
    <w:p>
      <w:pPr>
        <w:pStyle w:val="Heading1"/>
      </w:pPr>
      <w:r>
        <w:t xml:space="preserve">What shipped</w:t>
      </w:r>
    </w:p>
    <w:p>
      <w:pPr>
        <w:pStyle w:val="Heading2"/>
      </w:pPr>
      <w:r>
        <w:t xml:space="preserve">1. A label that was telling people the wrong thing</w:t>
      </w:r>
    </w:p>
    <w:p>
      <w:pPr>
        <w:spacing w:after="90" w:before="90"/>
      </w:pPr>
      <w:r>
        <w:rPr>
          <w:rFonts w:ascii="Arial" w:cs="Arial" w:eastAsia="Arial" w:hAnsi="Arial"/>
          <w:color w:val="1A1410"/>
          <w:sz w:val="21"/>
          <w:szCs w:val="21"/>
        </w:rPr>
        <w:t xml:space="preserve">On a closed round, the closing pack offers a “Donor retrospective PDF”. The button described it as available 90 days after the round closes. The system actually releases it at 180 days — both the server and the screen agree on 180, and a neighbouring line of text on the same card already said 180 correctly. Only the button label was wrong, in all six languages.</w:t>
      </w:r>
    </w:p>
    <w:p>
      <w:pPr>
        <w:spacing w:after="90" w:before="90"/>
      </w:pPr>
      <w:r>
        <w:rPr>
          <w:rFonts w:ascii="Arial" w:cs="Arial" w:eastAsia="Arial" w:hAnsi="Arial"/>
          <w:color w:val="1A1410"/>
          <w:sz w:val="21"/>
          <w:szCs w:val="21"/>
        </w:rPr>
        <w:t xml:space="preserve">Left alone, this would have produced a support question the first time an OB member went looking for a report that was not due for another three months. Corrected and verified on the live site.</w:t>
      </w:r>
    </w:p>
    <w:p>
      <w:pPr>
        <w:pStyle w:val="Heading2"/>
      </w:pPr>
      <w:r>
        <w:t xml:space="preserve">2. Five new documents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360"/>
      </w:tblGrid>
      <w:tr>
        <w:trPr>
          <w:tblHeader/>
        </w:trPr>
        <w:tc>
          <w:tcPr>
            <w:tcW w:type="dxa" w:w="27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8"/>
                <w:szCs w:val="18"/>
              </w:rPr>
              <w:t xml:space="preserve">Document</w:t>
            </w:r>
          </w:p>
        </w:tc>
        <w:tc>
          <w:tcPr>
            <w:tcW w:type="dxa" w:w="23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8"/>
                <w:szCs w:val="18"/>
              </w:rPr>
              <w:t xml:space="preserve">Who it is for</w:t>
            </w:r>
          </w:p>
        </w:tc>
        <w:tc>
          <w:tcPr>
            <w:tcW w:type="dxa" w:w="43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8"/>
                <w:szCs w:val="18"/>
              </w:rPr>
              <w:t xml:space="preserve">What it covers</w:t>
            </w:r>
          </w:p>
        </w:tc>
      </w:tr>
      <w:tr>
        <w:tc>
          <w:tcPr>
            <w:tcW w:type="dxa" w:w="27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UAT Walkthrough Guide</w:t>
            </w:r>
          </w:p>
        </w:tc>
        <w:tc>
          <w:tcPr>
            <w:tcW w:type="dxa" w:w="23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The team, for testing</w:t>
            </w:r>
          </w:p>
        </w:tc>
        <w:tc>
          <w:tcPr>
            <w:tcW w:type="dxa" w:w="4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Six end-to-end scenarios — sign in as this person, take this action, expect this result. Says which fixtures and which sample files to use at each step. Companion to the 84-case pack, not a replacement.</w:t>
            </w:r>
          </w:p>
        </w:tc>
      </w:tr>
      <w:tr>
        <w:tc>
          <w:tcPr>
            <w:tcW w:type="dxa" w:w="27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User Guide</w:t>
            </w:r>
          </w:p>
        </w:tc>
        <w:tc>
          <w:tcPr>
            <w:tcW w:type="dxa" w:w="23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OB / secretariat</w:t>
            </w:r>
          </w:p>
        </w:tc>
        <w:tc>
          <w:tcPr>
            <w:tcW w:type="dxa" w:w="4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How to run a round from the donor money arriving to the partner report coming back. Organised as the fund’s cycle rather than as a tour of the menus, because that is how the work actually arrives.</w:t>
            </w:r>
          </w:p>
        </w:tc>
      </w:tr>
      <w:tr>
        <w:tc>
          <w:tcPr>
            <w:tcW w:type="dxa" w:w="27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Donor Guide</w:t>
            </w:r>
          </w:p>
        </w:tc>
        <w:tc>
          <w:tcPr>
            <w:tcW w:type="dxa" w:w="23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Institutional donors</w:t>
            </w:r>
          </w:p>
        </w:tc>
        <w:tc>
          <w:tcPr>
            <w:tcW w:type="dxa" w:w="4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What a donor can and cannot see and why, how to read a report, and the assurance model. Includes an explicit “what we do not claim” section.</w:t>
            </w:r>
          </w:p>
        </w:tc>
      </w:tr>
      <w:tr>
        <w:tc>
          <w:tcPr>
            <w:tcW w:type="dxa" w:w="27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Partner Guide (EN + AR)</w:t>
            </w:r>
          </w:p>
        </w:tc>
        <w:tc>
          <w:tcPr>
            <w:tcW w:type="dxa" w:w="23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Funded organisations</w:t>
            </w:r>
          </w:p>
        </w:tc>
        <w:tc>
          <w:tcPr>
            <w:tcW w:type="dxa" w:w="4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Plain language, written for a phone. Includes an anti-impersonation section, because “pay a fee to release your grant” is a live scam against organisations like these.</w:t>
            </w:r>
          </w:p>
        </w:tc>
      </w:tr>
      <w:tr>
        <w:tc>
          <w:tcPr>
            <w:tcW w:type="dxa" w:w="27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Operations Runbook</w:t>
            </w:r>
          </w:p>
        </w:tc>
        <w:tc>
          <w:tcPr>
            <w:tcW w:type="dxa" w:w="23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Platform / IT</w:t>
            </w:r>
          </w:p>
        </w:tc>
        <w:tc>
          <w:tcPr>
            <w:tcW w:type="dxa" w:w="4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How the system runs, what is configured, and what is outstanding. This is where operational state now lives — the User Guide deliberately has none of it.</w:t>
            </w:r>
          </w:p>
        </w:tc>
      </w:tr>
    </w:tbl>
    <w:p>
      <w:pPr>
        <w:pStyle w:val="Heading2"/>
      </w:pPr>
      <w:r>
        <w:t xml:space="preserve">3. Demo data no longer regenerates in production</w:t>
      </w:r>
    </w:p>
    <w:p>
      <w:pPr>
        <w:spacing w:after="90" w:before="90"/>
      </w:pPr>
      <w:r>
        <w:rPr>
          <w:rFonts w:ascii="Arial" w:cs="Arial" w:eastAsia="Arial" w:hAnsi="Arial"/>
          <w:color w:val="1A1410"/>
          <w:sz w:val="21"/>
          <w:szCs w:val="21"/>
        </w:rPr>
        <w:t xml:space="preserve">A setting that seeds demonstration fixtures was switched on months ago for a one-off load and never switched off, so demo rows were being recreated every time the service restarted — in a tenant that now holds real programme data. Nothing was corrupted (the seeding was written to be safe to repeat), but rows would reappear even after someone deleted them. Now off, and confirmed off by checking the startup logs.</w:t>
      </w:r>
    </w:p>
    <w:p>
      <w:pPr>
        <w:pStyle w:val="Heading1"/>
      </w:pPr>
      <w:r>
        <w:t xml:space="preserve">What the audit found</w:t>
      </w:r>
    </w:p>
    <w:p>
      <w:pPr>
        <w:pStyle w:val="Heading2"/>
      </w:pPr>
      <w:r>
        <w:t xml:space="preserve">Outbound email has never been configured</w:t>
      </w:r>
    </w:p>
    <w:p>
      <w:pPr>
        <w:spacing w:after="90" w:before="90"/>
      </w:pPr>
      <w:r>
        <w:rPr>
          <w:rFonts w:ascii="Arial" w:cs="Arial" w:eastAsia="Arial" w:hAnsi="Arial"/>
          <w:color w:val="1A1410"/>
          <w:sz w:val="21"/>
          <w:szCs w:val="21"/>
        </w:rPr>
        <w:t xml:space="preserve">This is the one that needs action. The system has no email provider set up. When it tries to send — a decision notification, a digest, an acknowledgement to a partner — the message is written to the server log and discarded. The code then reports the send as successful, so nothing has ever appeared as an error, on any screen or in any report.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CEC" w:sz="1"/>
              <w:left w:val="single" w:color="B91C1C" w:sz="18"/>
              <w:bottom w:val="single" w:color="FDECEC" w:sz="1"/>
              <w:right w:val="single" w:color="FDECEC" w:sz="1"/>
            </w:tcBorders>
            <w:shd w:fill="FDECEC" w:val="clear"/>
            <w:tcMar>
              <w:top w:type="dxa" w:w="100"/>
              <w:left w:type="dxa" w:w="160"/>
              <w:bottom w:type="dxa" w:w="100"/>
              <w:right w:type="dxa" w:w="140"/>
            </w:tcMar>
          </w:tcPr>
          <w:p>
            <w:pPr>
              <w:spacing w:after="0" w:before="0"/>
            </w:pPr>
            <w:r>
              <w:rPr>
                <w:rFonts w:ascii="Arial" w:cs="Arial" w:eastAsia="Arial" w:hAnsi="Arial"/>
                <w:b/>
                <w:bCs/>
                <w:color w:val="B91C1C"/>
                <w:sz w:val="19"/>
                <w:szCs w:val="19"/>
              </w:rPr>
              <w:t xml:space="preserve">Needs someone — </w:t>
            </w:r>
            <w:r>
              <w:rPr>
                <w:rFonts w:ascii="Arial" w:cs="Arial" w:eastAsia="Arial" w:hAnsi="Arial"/>
                <w:color w:val="1A1410"/>
                <w:sz w:val="19"/>
                <w:szCs w:val="19"/>
              </w:rPr>
              <w:t xml:space="preserve">Practical consequence: any assumption that someone “was emailed” by the system should be treated as false until this is fixed. </w:t>
            </w:r>
            <w:r>
              <w:rPr>
                <w:rFonts w:ascii="Arial" w:cs="Arial" w:eastAsia="Arial" w:hAnsi="Arial"/>
                <w:b/>
                <w:bCs/>
                <w:color w:val="1A1410"/>
                <w:sz w:val="19"/>
                <w:szCs w:val="19"/>
              </w:rPr>
              <w:t xml:space="preserve">The fix is small — an email provider key added to the service configuration</w:t>
            </w:r>
            <w:r>
              <w:rPr>
                <w:rFonts w:ascii="Arial" w:cs="Arial" w:eastAsia="Arial" w:hAnsi="Arial"/>
                <w:color w:val="1A1410"/>
                <w:sz w:val="19"/>
                <w:szCs w:val="19"/>
              </w:rPr>
              <w:t xml:space="preserve"> — but it needs someone with an account to create the key. Nothing in the application needs changing.</w:t>
            </w:r>
          </w:p>
        </w:tc>
      </w:tr>
    </w:tbl>
    <w:p>
      <w:pPr>
        <w:pStyle w:val="Heading2"/>
      </w:pPr>
      <w:r>
        <w:t xml:space="preserve">Three scheduled jobs may not have a trigger</w:t>
      </w:r>
    </w:p>
    <w:p>
      <w:pPr>
        <w:spacing w:after="90" w:before="90"/>
      </w:pPr>
      <w:r>
        <w:rPr>
          <w:rFonts w:ascii="Arial" w:cs="Arial" w:eastAsia="Arial" w:hAnsi="Arial"/>
          <w:color w:val="1A1410"/>
          <w:sz w:val="21"/>
          <w:szCs w:val="21"/>
        </w:rPr>
        <w:t xml:space="preserve">The fund’s scheduled work — chasing overdue reports, re-screening partners, prompting for outcomes — runs from six scheduled jobs, and those are wired correctly. Three further endpoints exist (intervention timers, security scan, monitoring tick) with no scheduled job calling them. That may be intentional, if the behaviour they drive is calculated on screen instead. It is written down as something to check rather than reported as broken, because we could not tell from the outside which it is.</w:t>
      </w:r>
    </w:p>
    <w:p>
      <w:pPr>
        <w:pStyle w:val="Heading1"/>
      </w:pPr>
      <w:r>
        <w:t xml:space="preserve">How this was verified</w:t>
      </w:r>
    </w:p>
    <w:p>
      <w:pPr>
        <w:pStyle w:val="ListParagraph"/>
        <w:numPr>
          <w:ilvl w:val="0"/>
          <w:numId w:val="2"/>
        </w:numPr>
        <w:spacing w:after="40" w:before="40"/>
      </w:pPr>
      <w:r>
        <w:rPr>
          <w:rFonts w:ascii="Arial" w:cs="Arial" w:eastAsia="Arial" w:hAnsi="Arial"/>
          <w:color w:val="1A1410"/>
          <w:sz w:val="21"/>
          <w:szCs w:val="21"/>
        </w:rPr>
        <w:t xml:space="preserve">The automated gate — now 117 checks, up from 98 in the last update as the suite has grown — passed before each deployment.</w:t>
      </w:r>
    </w:p>
    <w:p>
      <w:pPr>
        <w:pStyle w:val="ListParagraph"/>
        <w:numPr>
          <w:ilvl w:val="0"/>
          <w:numId w:val="2"/>
        </w:numPr>
        <w:spacing w:after="40" w:before="40"/>
      </w:pPr>
      <w:r>
        <w:rPr>
          <w:rFonts w:ascii="Arial" w:cs="Arial" w:eastAsia="Arial" w:hAnsi="Arial"/>
          <w:color w:val="1A1410"/>
          <w:sz w:val="21"/>
          <w:szCs w:val="21"/>
        </w:rPr>
        <w:t xml:space="preserve">The corrected label was confirmed by downloading the actual file the live site serves and reading the text out of it, rather than trusting that the deployment succeeded. English and Arabic both correct; the old text appears nowhere.</w:t>
      </w:r>
    </w:p>
    <w:p>
      <w:pPr>
        <w:pStyle w:val="ListParagraph"/>
        <w:numPr>
          <w:ilvl w:val="0"/>
          <w:numId w:val="2"/>
        </w:numPr>
        <w:spacing w:after="40" w:before="40"/>
      </w:pPr>
      <w:r>
        <w:rPr>
          <w:rFonts w:ascii="Arial" w:cs="Arial" w:eastAsia="Arial" w:hAnsi="Arial"/>
          <w:color w:val="1A1410"/>
          <w:sz w:val="21"/>
          <w:szCs w:val="21"/>
        </w:rPr>
        <w:t xml:space="preserve">Demo seeding was confirmed switched off by checking the service startup log after the restart — the seeding step no longer runs.</w:t>
      </w:r>
    </w:p>
    <w:p>
      <w:pPr>
        <w:pStyle w:val="ListParagraph"/>
        <w:numPr>
          <w:ilvl w:val="0"/>
          <w:numId w:val="2"/>
        </w:numPr>
        <w:spacing w:after="40" w:before="40"/>
      </w:pPr>
      <w:r>
        <w:rPr>
          <w:rFonts w:ascii="Arial" w:cs="Arial" w:eastAsia="Arial" w:hAnsi="Arial"/>
          <w:color w:val="1A1410"/>
          <w:sz w:val="21"/>
          <w:szCs w:val="21"/>
        </w:rPr>
        <w:t xml:space="preserve">Every factual claim in the operations runbook was checked against the running system. Anything that could not be confirmed is marked “verify” in that document rather than stated as fact.</w:t>
      </w:r>
    </w:p>
    <w:p>
      <w:pPr>
        <w:pStyle w:val="ListParagraph"/>
        <w:numPr>
          <w:ilvl w:val="0"/>
          <w:numId w:val="2"/>
        </w:numPr>
        <w:spacing w:after="40" w:before="40"/>
      </w:pPr>
      <w:r>
        <w:rPr>
          <w:rFonts w:ascii="Arial" w:cs="Arial" w:eastAsia="Arial" w:hAnsi="Arial"/>
          <w:color w:val="1A1410"/>
          <w:sz w:val="21"/>
          <w:szCs w:val="21"/>
        </w:rPr>
        <w:t xml:space="preserve">The English console is unchanged apart from the one corrected label, so the UAT pack and QA scripts are unaffected.</w:t>
      </w:r>
    </w:p>
    <w:p>
      <w:pPr>
        <w:pStyle w:val="Heading1"/>
      </w:pPr>
      <w:r>
        <w:t xml:space="preserve">Corrections to the 20 July update</w:t>
      </w:r>
    </w:p>
    <w:p>
      <w:pPr>
        <w:spacing w:after="90" w:before="90"/>
      </w:pPr>
      <w:r>
        <w:rPr>
          <w:rFonts w:ascii="Arial" w:cs="Arial" w:eastAsia="Arial" w:hAnsi="Arial"/>
          <w:color w:val="1A1410"/>
          <w:sz w:val="21"/>
          <w:szCs w:val="21"/>
        </w:rPr>
        <w:t xml:space="preserve">Two things in the previous update no longer hold. Flagging them rather than quietly reissuing the document.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8"/>
                <w:szCs w:val="18"/>
              </w:rPr>
              <w:t xml:space="preserve">It said</w:t>
            </w:r>
          </w:p>
        </w:tc>
        <w:tc>
          <w:tcPr>
            <w:tcW w:type="dxa" w:w="51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8"/>
                <w:szCs w:val="18"/>
              </w:rPr>
              <w:t xml:space="preserve">Actually</w:t>
            </w:r>
          </w:p>
        </w:tc>
      </w:tr>
      <w:tr>
        <w:tc>
          <w:tcPr>
            <w:tcW w:type="dxa" w:w="42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“The CLI cannot manage domains, so this is dashboard-only.”</w:t>
            </w:r>
          </w:p>
        </w:tc>
        <w:tc>
          <w:tcPr>
            <w:tcW w:type="dxa" w:w="51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Half right. Domains can now be added from the command line — that is how both Saxansaxo domains were registered on 21 July. Removing a domain still appears to need the dashboard, so the old-domain cleanup task itself is unchanged; only the stated reason was too broad.</w:t>
            </w:r>
          </w:p>
        </w:tc>
      </w:tr>
      <w:tr>
        <w:tc>
          <w:tcPr>
            <w:tcW w:type="dxa" w:w="42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“Full regression gate (98 automated checks).”</w:t>
            </w:r>
          </w:p>
        </w:tc>
        <w:tc>
          <w:tcPr>
            <w:tcW w:type="dxa" w:w="51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That was accurate for the 20 July deployments. The suite has since grown to 117 checks. If you are quoting a current figure, use 117.</w:t>
            </w:r>
          </w:p>
        </w:tc>
      </w:tr>
    </w:tbl>
    <w:p>
      <w:pPr>
        <w:pStyle w:val="Heading1"/>
      </w:pPr>
      <w:r>
        <w:t xml:space="preserve">Outstanding operational items</w:t>
      </w:r>
    </w:p>
    <w:p>
      <w:pPr>
        <w:spacing w:after="90" w:before="90"/>
      </w:pPr>
      <w:r>
        <w:rPr>
          <w:rFonts w:ascii="Arial" w:cs="Arial" w:eastAsia="Arial" w:hAnsi="Arial"/>
          <w:color w:val="1A1410"/>
          <w:sz w:val="21"/>
          <w:szCs w:val="21"/>
        </w:rPr>
        <w:t xml:space="preserve">Things that need a person rather than code. New items first, then those carried over unchanged from 20 July.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rPr>
          <w:tblHeader/>
        </w:trPr>
        <w:tc>
          <w:tcPr>
            <w:tcW w:type="dxa" w:w="25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8"/>
                <w:szCs w:val="18"/>
              </w:rPr>
              <w:t xml:space="preserve">Item</w:t>
            </w:r>
          </w:p>
        </w:tc>
        <w:tc>
          <w:tcPr>
            <w:tcW w:type="dxa" w:w="16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8"/>
                <w:szCs w:val="18"/>
              </w:rPr>
              <w:t xml:space="preserve">Who</w:t>
            </w:r>
          </w:p>
        </w:tc>
        <w:tc>
          <w:tcPr>
            <w:tcW w:type="dxa" w:w="52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8"/>
                <w:szCs w:val="18"/>
              </w:rPr>
              <w:t xml:space="preserve">What’s needed</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NEW — Email provider</w:t>
            </w:r>
          </w:p>
        </w:tc>
        <w:tc>
          <w:tcPr>
            <w:tcW w:type="dxa" w:w="1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IT / Idiris</w:t>
            </w:r>
          </w:p>
        </w:tc>
        <w:tc>
          <w:tcPr>
            <w:tcW w:type="dxa" w:w="52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Create an email provider account and add the key to the service configuration. Until then, nothing the system “sends” is delivered. Highest priority on this list.</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NEW — Arabic partner guide review</w:t>
            </w:r>
          </w:p>
        </w:tc>
        <w:tc>
          <w:tcPr>
            <w:tcW w:type="dxa" w:w="1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Proximate team</w:t>
            </w:r>
          </w:p>
        </w:tc>
        <w:tc>
          <w:tcPr>
            <w:tcW w:type="dxa" w:w="52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The Arabic partner guide was machine-authored and carries a banner saying it is not cleared for distribution. A native Arabic speaker should read it through, then the banner comes off. Do not circulate it before that.</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NEW — Scheduled-job check</w:t>
            </w:r>
          </w:p>
        </w:tc>
        <w:tc>
          <w:tcPr>
            <w:tcW w:type="dxa" w:w="1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Platform</w:t>
            </w:r>
          </w:p>
        </w:tc>
        <w:tc>
          <w:tcPr>
            <w:tcW w:type="dxa" w:w="52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Confirm whether the three unwired endpoints above need a trigger or are redundant.</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Round 10 second-signature test</w:t>
            </w:r>
          </w:p>
        </w:tc>
        <w:tc>
          <w:tcPr>
            <w:tcW w:type="dxa" w:w="1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QA team</w:t>
            </w:r>
          </w:p>
        </w:tc>
        <w:tc>
          <w:tcPr>
            <w:tcW w:type="dxa" w:w="52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Unchanged. Still the only thing holding the signer-name fix, which ships the same day we hear back.</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UAT completion and sign-off</w:t>
            </w:r>
          </w:p>
        </w:tc>
        <w:tc>
          <w:tcPr>
            <w:tcW w:type="dxa" w:w="1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Whole team</w:t>
            </w:r>
          </w:p>
        </w:tc>
        <w:tc>
          <w:tcPr>
            <w:tcW w:type="dxa" w:w="52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Unchanged. The new walkthrough guide is intended to make this quicker — it gives a scripted path through the 84-case pack.</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Native-speaker review: FR / ES / SW / SO</w:t>
            </w:r>
          </w:p>
        </w:tc>
        <w:tc>
          <w:tcPr>
            <w:tcW w:type="dxa" w:w="1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Ops / comms</w:t>
            </w:r>
          </w:p>
        </w:tc>
        <w:tc>
          <w:tcPr>
            <w:tcW w:type="dxa" w:w="52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Unchanged. Separate from the Arabic partner guide item above.</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Old domain entry cleanup</w:t>
            </w:r>
          </w:p>
        </w:tc>
        <w:tc>
          <w:tcPr>
            <w:tcW w:type="dxa" w:w="1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Idiris (dashboard)</w:t>
            </w:r>
          </w:p>
        </w:tc>
        <w:tc>
          <w:tcPr>
            <w:tcW w:type="dxa" w:w="52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Unchanged action — see the correction above regarding the reason.</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WhatsApp templates</w:t>
            </w:r>
          </w:p>
        </w:tc>
        <w:tc>
          <w:tcPr>
            <w:tcW w:type="dxa" w:w="1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Waiting on Meta</w:t>
            </w:r>
          </w:p>
        </w:tc>
        <w:tc>
          <w:tcPr>
            <w:tcW w:type="dxa" w:w="52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Unchanged.</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QCF temporary password rotation</w:t>
            </w:r>
          </w:p>
        </w:tc>
        <w:tc>
          <w:tcPr>
            <w:tcW w:type="dxa" w:w="1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QCF contact</w:t>
            </w:r>
          </w:p>
        </w:tc>
        <w:tc>
          <w:tcPr>
            <w:tcW w:type="dxa" w:w="52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Unchanged.</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Remaining QA scope</w:t>
            </w:r>
          </w:p>
        </w:tc>
        <w:tc>
          <w:tcPr>
            <w:tcW w:type="dxa" w:w="1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QA team</w:t>
            </w:r>
          </w:p>
        </w:tc>
        <w:tc>
          <w:tcPr>
            <w:tcW w:type="dxa" w:w="52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Unchanged — observer walkthrough, mobile smoke on a real device, integration smoke.</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Post-UAT cleanup</w:t>
            </w:r>
          </w:p>
        </w:tc>
        <w:tc>
          <w:tcPr>
            <w:tcW w:type="dxa" w:w="1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Us + team</w:t>
            </w:r>
          </w:p>
        </w:tc>
        <w:tc>
          <w:tcPr>
            <w:tcW w:type="dxa" w:w="52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Unchanged. Note the demo-seeding change above means these fixtures will now stay deleted once removed.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6EC" w:sz="1"/>
              <w:left w:val="single" w:color="92400E" w:sz="18"/>
              <w:bottom w:val="single" w:color="FDF6EC" w:sz="1"/>
              <w:right w:val="single" w:color="FDF6EC" w:sz="1"/>
            </w:tcBorders>
            <w:shd w:fill="FDF6EC" w:val="clear"/>
            <w:tcMar>
              <w:top w:type="dxa" w:w="100"/>
              <w:left w:type="dxa" w:w="160"/>
              <w:bottom w:type="dxa" w:w="100"/>
              <w:right w:type="dxa" w:w="140"/>
            </w:tcMar>
          </w:tcPr>
          <w:p>
            <w:pPr>
              <w:spacing w:after="0" w:before="0"/>
            </w:pPr>
            <w:r>
              <w:rPr>
                <w:rFonts w:ascii="Arial" w:cs="Arial" w:eastAsia="Arial" w:hAnsi="Arial"/>
                <w:b/>
                <w:bCs/>
                <w:color w:val="92400E"/>
                <w:sz w:val="19"/>
                <w:szCs w:val="19"/>
              </w:rPr>
              <w:t xml:space="preserve">Worth knowing — </w:t>
            </w:r>
            <w:r>
              <w:rPr>
                <w:rFonts w:ascii="Arial" w:cs="Arial" w:eastAsia="Arial" w:hAnsi="Arial"/>
                <w:color w:val="1A1410"/>
                <w:sz w:val="19"/>
                <w:szCs w:val="19"/>
              </w:rPr>
              <w:t xml:space="preserve">Standing test-data rules remain in force until QA says otherwise: disbursement 24 stays flagged and read-only, no further uploads to disbursement 26, and Round 10 stays untouched at 1 of 2 signatures.</w:t>
            </w:r>
          </w:p>
        </w:tc>
      </w:tr>
    </w:tbl>
    <w:p>
      <w:pPr>
        <w:pStyle w:val="Heading1"/>
      </w:pPr>
      <w:r>
        <w:t xml:space="preserve">What comes after UAT sign-off</w:t>
      </w:r>
    </w:p>
    <w:p>
      <w:pPr>
        <w:spacing w:after="90" w:before="90"/>
      </w:pPr>
      <w:r>
        <w:rPr>
          <w:rFonts w:ascii="Arial" w:cs="Arial" w:eastAsia="Arial" w:hAnsi="Arial"/>
          <w:color w:val="1A1410"/>
          <w:sz w:val="21"/>
          <w:szCs w:val="21"/>
        </w:rPr>
        <w:t xml:space="preserve">Unchanged from the last update. The next build wave is specced and sequenced: the donor dashboard redesign, the OB dashboard KPI row and severity-grouped inbox, the report-review split layout, the safeguarding media checklist, and confirmation dialogs on all money actions. These restructure the exact screens the test pack is keyed to, so they wait for sign-off — and start the day it lands.</w:t>
      </w:r>
    </w:p>
    <w:p>
      <w:pPr>
        <w:spacing w:after="160" w:before="0"/>
      </w:pPr>
    </w:p>
    <w:p>
      <w:pPr>
        <w:spacing w:after="90" w:before="90"/>
      </w:pPr>
      <w:r>
        <w:rPr>
          <w:rFonts w:ascii="Arial" w:cs="Arial" w:eastAsia="Arial" w:hAnsi="Arial"/>
          <w:color w:val="6B655F"/>
          <w:sz w:val="21"/>
          <w:szCs w:val="21"/>
        </w:rPr>
        <w:t xml:space="preserve">Questions or anything unclear — send it through Idiris as usual and we will pick it up same day.</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Arial" w:cs="Arial" w:eastAsia="Arial" w:hAnsi="Arial"/>
        <w:color w:val="6B655F"/>
        <w:sz w:val="16"/>
        <w:szCs w:val="16"/>
      </w:rPr>
      <w:t xml:space="preserve">Proximate Fund — Platform Update · 21 July 2026 · page </w:t>
    </w:r>
    <w:r>
      <w:rPr>
        <w:rFonts w:ascii="Arial" w:cs="Arial" w:eastAsia="Arial" w:hAnsi="Arial"/>
        <w:color w:val="6B65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4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60"/>
      <w:outlineLvl w:val="0"/>
    </w:pPr>
    <w:rPr>
      <w:rFonts w:ascii="Arial" w:cs="Arial" w:eastAsia="Arial" w:hAnsi="Arial"/>
      <w:b/>
      <w:bCs/>
      <w:color w:val="7C2D12"/>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C2410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2026-07-22T02:35:14.404Z</dcterms:created>
  <dcterms:modified xsi:type="dcterms:W3CDTF">2026-07-22T02:35:14.406Z</dcterms:modified>
</cp:coreProperties>
</file>

<file path=docProps/custom.xml><?xml version="1.0" encoding="utf-8"?>
<Properties xmlns="http://schemas.openxmlformats.org/officeDocument/2006/custom-properties" xmlns:vt="http://schemas.openxmlformats.org/officeDocument/2006/docPropsVTypes"/>
</file>