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3864"/>
          <w:sz w:val="32"/>
        </w:rPr>
        <w:t>Blue Nile Cycle — Now Fully in the System</w:t>
      </w:r>
    </w:p>
    <w:p>
      <w:pPr>
        <w:spacing w:after="160"/>
      </w:pPr>
      <w:r>
        <w:rPr>
          <w:i/>
          <w:color w:val="555555"/>
          <w:sz w:val="19"/>
        </w:rPr>
        <w:t>The round intake features + the complete data migration from the OneDrive package  ·  15 July 2026</w:t>
      </w:r>
    </w:p>
    <w:p>
      <w:pPr>
        <w:spacing w:before="240" w:after="60"/>
      </w:pPr>
      <w:r>
        <w:rPr>
          <w:b/>
          <w:color w:val="C2410C"/>
          <w:sz w:val="26"/>
        </w:rPr>
        <w:t>Summary</w:t>
      </w:r>
    </w:p>
    <w:p>
      <w:pPr>
        <w:spacing w:after="80"/>
      </w:pPr>
      <w:r>
        <w:t>The Blue Nile round arrived as a OneDrive folder: 37 Partner Information Forms in two languages, one sam.gov screening screenshot per organization, a media-verification table, a candidate panel roster, and the situation-analysis evidence pack. As of today, every document and every record from that folder lives in the system — searchable, permission-controlled, and audit-chained — and the system has the intake features to absorb the next round the same way.</w:t>
      </w:r>
    </w:p>
    <w:p>
      <w:pPr>
        <w:spacing w:before="240" w:after="60"/>
      </w:pPr>
      <w:r>
        <w:rPr>
          <w:b/>
          <w:color w:val="C2410C"/>
          <w:sz w:val="26"/>
        </w:rPr>
        <w:t>What the system can now do (new features, live in production)</w:t>
      </w:r>
    </w:p>
    <w:p>
      <w:pPr>
        <w:pStyle w:val="ListBullet"/>
        <w:spacing w:after="40"/>
      </w:pPr>
      <w:r>
        <w:rPr>
          <w:b/>
        </w:rPr>
        <w:t xml:space="preserve">Bulk PIF import. </w:t>
      </w:r>
      <w:r>
        <w:t>Drop the Word/PDF Partner Information Forms onto the Partners page ("Import PIFs") — each becomes a nominated partner with the full structured form (identity, programme, financials, risk &amp; compliance, declaration), the original file attached, and sanctions screening run automatically. Forms the parser cannot read go through AI extraction; nothing is retyped.</w:t>
      </w:r>
    </w:p>
    <w:p>
      <w:pPr>
        <w:pStyle w:val="ListBullet"/>
        <w:spacing w:after="40"/>
      </w:pPr>
      <w:r>
        <w:rPr>
          <w:b/>
        </w:rPr>
        <w:t xml:space="preserve">Evidence files everywhere. </w:t>
      </w:r>
      <w:r>
        <w:t>Any file — a sam.gov screenshot, a needs assessment, a cluster alert — attaches to the partner, the round, or a crisis signal, with a type and label. Oversight-Body-only, and every attachment is recorded on the audit chain.</w:t>
      </w:r>
    </w:p>
    <w:p>
      <w:pPr>
        <w:pStyle w:val="ListBullet"/>
        <w:spacing w:after="40"/>
      </w:pPr>
      <w:r>
        <w:rPr>
          <w:b/>
        </w:rPr>
        <w:t xml:space="preserve">Media verification record. </w:t>
      </w:r>
      <w:r>
        <w:t>The social-footprint check the team performs (Facebook links, follower counts, activity evidence, an overall verdict) now has a proper home on each partner page, with history.</w:t>
      </w:r>
    </w:p>
    <w:p>
      <w:pPr>
        <w:pStyle w:val="ListBullet"/>
        <w:spacing w:after="40"/>
      </w:pPr>
      <w:r>
        <w:rPr>
          <w:b/>
        </w:rPr>
        <w:t xml:space="preserve">Panel roster. </w:t>
      </w:r>
      <w:r>
        <w:t>Panel candidates with rationale and location live on the round page with a vetting workflow (candidate → vetted → appointed) — no more phone numbers and emails circulating in Word tables.</w:t>
      </w:r>
    </w:p>
    <w:p>
      <w:pPr>
        <w:spacing w:before="240" w:after="60"/>
      </w:pPr>
      <w:r>
        <w:rPr>
          <w:b/>
          <w:color w:val="C2410C"/>
          <w:sz w:val="26"/>
        </w:rPr>
        <w:t>What was migrated (all verified on production)</w:t>
      </w:r>
    </w:p>
    <w:p>
      <w:pPr>
        <w:pStyle w:val="ListBullet"/>
        <w:spacing w:after="40"/>
      </w:pPr>
      <w:r>
        <w:rPr>
          <w:b/>
        </w:rPr>
        <w:t xml:space="preserve">The round: </w:t>
      </w:r>
      <w:r>
        <w:t>"Blue Nile Cycle — July 2026" (round 9), disaster trigger referencing the Kurmuk/Geisan IDP influx, with all 8 situation-analysis documents attached as its evidence pack (needs assessment, 5 site factsheets, cluster alert, plus the original planning documents).</w:t>
      </w:r>
    </w:p>
    <w:p>
      <w:pPr>
        <w:pStyle w:val="ListBullet"/>
        <w:spacing w:after="40"/>
      </w:pPr>
      <w:r>
        <w:rPr>
          <w:b/>
        </w:rPr>
        <w:t xml:space="preserve">62 partner organizations: </w:t>
      </w:r>
      <w:r>
        <w:t>37 from the Partner Information Forms (each with ~30 structured fields), 22 from the bilingual nominated-organizations list (Arabic + English names), and 3 from the media-verification table. All land as "nominated" — the normal endorsement and due-diligence journey starts from there.</w:t>
      </w:r>
    </w:p>
    <w:p>
      <w:pPr>
        <w:pStyle w:val="ListBullet"/>
        <w:spacing w:after="40"/>
      </w:pPr>
      <w:r>
        <w:rPr>
          <w:b/>
        </w:rPr>
        <w:t xml:space="preserve">38 partners carry their PIF originals </w:t>
      </w:r>
      <w:r>
        <w:t>(both the English and Arabic versions where both exist).</w:t>
      </w:r>
    </w:p>
    <w:p>
      <w:pPr>
        <w:pStyle w:val="ListBullet"/>
        <w:spacing w:after="40"/>
      </w:pPr>
      <w:r>
        <w:rPr>
          <w:b/>
        </w:rPr>
        <w:t xml:space="preserve">36 partners carry their sam.gov screening screenshot </w:t>
      </w:r>
      <w:r>
        <w:t>as screening evidence, dated 17 June 2026 — alongside the automatic sanctions screening the system ran on import.</w:t>
      </w:r>
    </w:p>
    <w:p>
      <w:pPr>
        <w:pStyle w:val="ListBullet"/>
        <w:spacing w:after="40"/>
      </w:pPr>
      <w:r>
        <w:rPr>
          <w:b/>
        </w:rPr>
        <w:t xml:space="preserve">40 media-verification records </w:t>
      </w:r>
      <w:r>
        <w:t>imported from the verification table, with links, evidence summaries, and verdicts.</w:t>
      </w:r>
    </w:p>
    <w:p>
      <w:pPr>
        <w:pStyle w:val="ListBullet"/>
        <w:spacing w:after="40"/>
      </w:pPr>
      <w:r>
        <w:rPr>
          <w:b/>
        </w:rPr>
        <w:t xml:space="preserve">All 5 panel candidates </w:t>
      </w:r>
      <w:r>
        <w:t>(Hamdan Mohamed Hamdan, Ibrahim Saeed, Nahla Elbedry, Zahra Haidar, Shaima Ahmed) on the round roster with their rationale and location.</w:t>
      </w:r>
    </w:p>
    <w:p>
      <w:pPr>
        <w:spacing w:before="240" w:after="60"/>
      </w:pPr>
      <w:r>
        <w:rPr>
          <w:b/>
          <w:color w:val="C2410C"/>
          <w:sz w:val="26"/>
        </w:rPr>
        <w:t>Data quality notes (worth knowing)</w:t>
      </w:r>
    </w:p>
    <w:p>
      <w:pPr>
        <w:pStyle w:val="ListBullet"/>
        <w:spacing w:after="40"/>
      </w:pPr>
      <w:r>
        <w:rPr>
          <w:b/>
        </w:rPr>
        <w:t xml:space="preserve">Duplicate names were merged. </w:t>
      </w:r>
      <w:r>
        <w:t>A few organizations appear under different names across the documents (e.g. "Kotof" vs "Katoof"). Where the same organization was clearly listed twice, the records were merged so each org has one file.</w:t>
      </w:r>
    </w:p>
    <w:p>
      <w:pPr>
        <w:pStyle w:val="ListBullet"/>
        <w:spacing w:after="40"/>
      </w:pPr>
      <w:r>
        <w:rPr>
          <w:b/>
        </w:rPr>
        <w:t xml:space="preserve">One machine-translation artifact was corrected: </w:t>
      </w:r>
      <w:r>
        <w:t>the English PIF for Nawafiz Al Niswia translated the organization name literally ("Feminist windows…"); the record now carries the proper name in both languages. Other English PIFs contain similar translation quirks in their field values — the Arabic originals are attached to every record as the authority.</w:t>
      </w:r>
    </w:p>
    <w:p>
      <w:pPr>
        <w:pStyle w:val="ListBullet"/>
        <w:spacing w:after="40"/>
      </w:pPr>
      <w:r>
        <w:rPr>
          <w:b/>
        </w:rPr>
        <w:t xml:space="preserve">Six organizations in the nominated list vs PIF set are ambiguous matches </w:t>
      </w:r>
      <w:r>
        <w:t>— they were kept as separate records rather than merged on a guess. Cheap to merge later if the team confirms they are the same org.</w:t>
      </w:r>
    </w:p>
    <w:p>
      <w:pPr>
        <w:spacing w:before="240" w:after="60"/>
      </w:pPr>
      <w:r>
        <w:rPr>
          <w:b/>
          <w:color w:val="C2410C"/>
          <w:sz w:val="26"/>
        </w:rPr>
        <w:t>A security upgrade worth stating</w:t>
      </w:r>
    </w:p>
    <w:p>
      <w:pPr>
        <w:spacing w:after="80"/>
      </w:pPr>
      <w:r>
        <w:t>The PIFs contain full bank account numbers and personal phone numbers, and until today they circulated as plain files in shared folders. In the system, those fields sit behind the Oversight-Body-only permission layer that QA verified across four rounds of testing — donors, endorsers, and platform admins cannot see them, and every access path is tested on every release. Recommendation: treat the system as the single source of record for this round and retire the zip-file sharing.</w:t>
      </w:r>
    </w:p>
    <w:p>
      <w:pPr>
        <w:spacing w:before="200"/>
      </w:pPr>
      <w:r>
        <w:rPr>
          <w:b/>
          <w:color w:val="1B7A3D"/>
          <w:sz w:val="21"/>
        </w:rPr>
        <w:t>Bottom line: the Blue Nile Cycle is in the system end to end — 62 partner organizations, ~100 evidence files, the panel, the media checks, and the crisis evidence pack. The next round can be ingested the same way in an afternoon.</w:t>
      </w:r>
    </w:p>
    <w:p>
      <w:pPr>
        <w:spacing w:before="200"/>
      </w:pPr>
      <w:r>
        <w:rPr>
          <w:i/>
          <w:color w:val="555555"/>
          <w:sz w:val="16"/>
        </w:rPr>
        <w:t>Production build 39cc4089 · regression gate 89/89 (new intake surfaces included in the role-boundary matrix) · round 9 on the Proximate tenant · prepared by the engineering team, 15 July 2026.</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