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b/>
          <w:bCs/>
          <w:color w:val="173F35"/>
          <w:sz w:val="40"/>
          <w:szCs w:val="40"/>
          <w:rFonts w:ascii="Calibri" w:cs="Calibri" w:eastAsia="Calibri" w:hAnsi="Calibri"/>
        </w:rPr>
        <w:t xml:space="preserve">Proximate — Arabic follow-up pack</w:t>
      </w:r>
    </w:p>
    <w:p>
      <w:pPr>
        <w:pBdr>
          <w:bottom w:val="single" w:color="DBE9AA" w:sz="18" w:space="6"/>
        </w:pBdr>
        <w:spacing w:after="240"/>
      </w:pPr>
      <w:r>
        <w:rPr>
          <w:color w:val="225648"/>
          <w:sz w:val="22"/>
          <w:szCs w:val="22"/>
          <w:rFonts w:ascii="Calibri" w:cs="Calibri" w:eastAsia="Calibri" w:hAnsi="Calibri"/>
        </w:rPr>
        <w:t xml:space="preserve">The same terminology, in the strings the first review did not cover · 3 August 2026</w:t>
      </w:r>
    </w:p>
    <w:tbl>
      <w:tblPr>
        <w:tblW w:type="pct" w:w="100%"/>
        <w:tblBorders>
          <w:top w:val="single" w:color="CFDBC7" w:sz="6"/>
          <w:left w:val="single" w:color="CFDBC7" w:sz="6"/>
          <w:bottom w:val="single" w:color="CFDBC7" w:sz="6"/>
          <w:right w:val="single" w:color="CFDBC7" w:sz="6"/>
          <w:insideH w:val="single" w:color="CFDBC7" w:sz="6"/>
          <w:insideV w:val="single" w:color="CFDBC7" w:sz="6"/>
        </w:tblBorders>
      </w:tblPr>
      <w:tblGrid>
        <w:gridCol w:w="100"/>
      </w:tblGrid>
      <w:tr>
        <w:tc>
          <w:tcPr>
            <w:shd w:fill="EDF2E8" w:color="auto" w:val="clear"/>
            <w:tcMar>
              <w:top w:type="dxa" w:w="120"/>
              <w:left w:type="dxa" w:w="160"/>
              <w:bottom w:type="dxa" w:w="120"/>
              <w:right w:type="dxa" w:w="160"/>
            </w:tcMar>
          </w:tcPr>
          <w:p>
            <w:pPr>
              <w:spacing w:after="40"/>
            </w:pPr>
            <w:r>
              <w:rPr>
                <w:b/>
                <w:bCs/>
                <w:color w:val="173F35"/>
                <w:sz w:val="21"/>
                <w:szCs w:val="21"/>
                <w:rFonts w:ascii="Calibri" w:cs="Calibri" w:eastAsia="Calibri" w:hAnsi="Calibri"/>
              </w:rPr>
              <w:t xml:space="preserve">Why there is a second pack</w:t>
            </w:r>
          </w:p>
          <w:p>
            <w:r>
              <w:rPr>
                <w:color w:val="1C2925"/>
                <w:sz w:val="20"/>
                <w:szCs w:val="20"/>
                <w:rFonts w:ascii="Calibri" w:cs="Calibri" w:eastAsia="Calibri" w:hAnsi="Calibri"/>
              </w:rPr>
              <w:t xml:space="preserve">Thank you — all 60 of your revisions are applied and live. Five of them were not just better wording, they were DECISIONS about which Arabic word the product should use: round is دورة not جولة, endorsement is تأييد not تزكية, Adeso is written أديسو not in Latin letters, and the Oversight Body is هيئة الإشراف. Those decisions are right, and they create a problem we cannot fix without you: 38 other strings — ones that were not in the first pack — still use the old words. If we changed only the 60 you saw, a user would meet both words for the same thing on the same screen. We did not simply find-and-replace the rest, because Arabic agreement follows grammatical gender: تزكية is feminine and تأييد is masculine, so “قُدّمت تزكية” has to become “قُدّم تأييد” — the verb changes too, and guessing at that across a dozen screens would produce confident, wrong Arabic. So here are exactly those strings. They are short.</w:t>
            </w:r>
          </w:p>
        </w:tc>
      </w:tr>
    </w:tbl>
    <w:p>
      <w:pPr>
        <w:spacing w:after="120" w:line="264"/>
      </w:pPr>
      <w:r>
        <w:rPr>
          <w:b/>
          <w:bCs/>
          <w:color w:val="1C2925"/>
          <w:sz w:val="21"/>
          <w:szCs w:val="21"/>
          <w:rFonts w:ascii="Calibri" w:cs="Calibri" w:eastAsia="Calibri" w:hAnsi="Calibri"/>
        </w:rPr>
        <w:t xml:space="preserve">How to use this: </w:t>
      </w:r>
      <w:r>
        <w:rPr>
          <w:color w:val="1C2925"/>
          <w:sz w:val="21"/>
          <w:szCs w:val="21"/>
          <w:rFonts w:ascii="Calibri" w:cs="Calibri" w:eastAsia="Calibri" w:hAnsi="Calibri"/>
        </w:rPr>
        <w:t xml:space="preserve">for each row, write the corrected Arabic in the last column, applying the term you chose and fixing any agreement the change requires. If a row reads fine as it is, leave it blank and we will not touch it.</w:t>
      </w:r>
    </w:p>
    <w:p>
      <w:r>
        <w:br w:type="page"/>
      </w:r>
    </w:p>
    <w:p>
      <w:pPr>
        <w:pStyle w:val="Heading1"/>
        <w:spacing w:before="300" w:after="100"/>
      </w:pPr>
      <w:r>
        <w:rPr>
          <w:b/>
          <w:bCs/>
          <w:color w:val="173F35"/>
          <w:sz w:val="28"/>
          <w:szCs w:val="28"/>
          <w:rFonts w:ascii="Calibri" w:cs="Calibri" w:eastAsia="Calibri" w:hAnsi="Calibri"/>
        </w:rPr>
        <w:t xml:space="preserve">Round — 23 strings</w:t>
      </w:r>
    </w:p>
    <w:p>
      <w:pPr>
        <w:spacing w:after="120" w:line="264"/>
      </w:pPr>
      <w:r>
        <w:rPr>
          <w:b/>
          <w:bCs/>
          <w:color w:val="1C2925"/>
          <w:sz w:val="21"/>
          <w:szCs w:val="21"/>
          <w:rFonts w:ascii="Calibri" w:cs="Calibri" w:eastAsia="Calibri" w:hAnsi="Calibri"/>
        </w:rPr>
        <w:t xml:space="preserve">You chose: </w:t>
      </w:r>
      <w:r>
        <w:rPr>
          <w:color w:val="1C2925"/>
          <w:sz w:val="21"/>
          <w:szCs w:val="21"/>
          <w:rFonts w:ascii="Calibri" w:cs="Calibri" w:eastAsia="Calibri" w:hAnsi="Calibri"/>
        </w:rPr>
        <w:t xml:space="preserve">جولة  →  دورة</w:t>
      </w:r>
    </w:p>
    <w:p>
      <w:pPr>
        <w:spacing w:after="120" w:line="264"/>
      </w:pPr>
      <w:r>
        <w:rPr>
          <w:i/>
          <w:iCs/>
          <w:color w:val="1C2925"/>
          <w:sz w:val="21"/>
          <w:szCs w:val="21"/>
          <w:rFonts w:ascii="Calibri" w:cs="Calibri" w:eastAsia="Calibri" w:hAnsi="Calibri"/>
        </w:rPr>
        <w:t xml:space="preserve">Please check the agreement, not just the noun.</w:t>
      </w:r>
    </w:p>
    <w:tbl>
      <w:tblPr>
        <w:tblW w:type="pct" w:w="100%"/>
        <w:tblBorders>
          <w:top w:val="single" w:color="D7DDD7" w:sz="4"/>
          <w:left w:val="single" w:color="D7DDD7" w:sz="4"/>
          <w:bottom w:val="single" w:color="D7DDD7" w:sz="4"/>
          <w:right w:val="single" w:color="D7DDD7" w:sz="4"/>
          <w:insideH w:val="single" w:color="D7DDD7" w:sz="4"/>
          <w:insideV w:val="single" w:color="D7DDD7" w:sz="4"/>
        </w:tblBorders>
      </w:tblPr>
      <w:tblGrid>
        <w:gridCol w:w="2880"/>
        <w:gridCol w:w="3264"/>
        <w:gridCol w:w="3456"/>
      </w:tblGrid>
      <w:tr>
        <w:trPr>
          <w:tblHeader/>
        </w:trPr>
        <w:tc>
          <w:tcPr>
            <w:tcW w:type="pct" w:w="30%"/>
            <w:shd w:fill="173F35" w:color="auto" w:val="clear"/>
            <w:tcMar>
              <w:top w:type="dxa" w:w="70"/>
              <w:left w:type="dxa" w:w="90"/>
              <w:bottom w:type="dxa" w:w="70"/>
              <w:right w:type="dxa" w:w="90"/>
            </w:tcMar>
            <w:vAlign w:val="center"/>
          </w:tcPr>
          <w:p>
            <w:pPr>
              <w:jc w:val="left"/>
            </w:pPr>
            <w:r>
              <w:rPr>
                <w:b/>
                <w:bCs/>
                <w:color w:val="FFFFFF"/>
                <w:sz w:val="17"/>
                <w:szCs w:val="17"/>
                <w:rFonts w:ascii="Calibri" w:cs="Calibri" w:eastAsia="Calibri" w:hAnsi="Calibri"/>
              </w:rPr>
              <w:t xml:space="preserve">English</w:t>
            </w:r>
          </w:p>
        </w:tc>
        <w:tc>
          <w:tcPr>
            <w:tcW w:type="pct" w:w="34%"/>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Current Arabic</w:t>
            </w:r>
          </w:p>
        </w:tc>
        <w:tc>
          <w:tcPr>
            <w:tcW w:type="pct" w:w="36%"/>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Corrected Arabic (fill in)</w:t>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Not selected this round.
applications.detail.summary_subtitle_rejected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غير مختار في هذه الجولة.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Round awaiting signatures — {round}
attention.round_sign.title</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جولة بانتظار التوقيعات — {round}</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Allocate from the round detail page.
prox_grant.allocate_from_round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خصّص من صفحة تفاصيل الجولة.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AI drafts this report from real round and disbursement data
prox_grant.draft_report_tooltip</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يقوم AI بصياغة هذا التقرير من بيانات الجولات والصرف الفعلية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Editing report #{id} — AI drafts from real round data; review every line before submitting.
prox_grant.editing_report</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تحرير التقرير #{id} — يقوم AI بالصياغة من بيانات الجولات الفعلية؛ راجع كل سطر قبل الإرسال.</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No rounds have drawn from this grant yet.
prox_grant.no_rounds_drawn</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لم تسحب أي جولة من هذه المنحة بعد.</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Round allocations ({n})
prox_grant.round_allocations</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تخصيصات الجولة ({n})</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Counted from rounds allocated from this grant
prox_grant.source_auto_rounds</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محسوب من الجولات المخصَّصة من هذه المنحة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Rounds
proximate.bottom_nav.rounds</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الجولات</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e.g. Which round has the highest 90-day attestation rate?
proximate.donor.ask_placeholder</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مثال: أي جولة لديها أعلى معدل شهادات بعد 90 يوماً؟</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The whole grant: money reconciliation per round, deliverables against targets, the report history and the audit anchor.
proximate.donor.assurance.hint_grant</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المنحة بأكملها: المطابقة المالية لكل جولة، والمخرجات مقابل الأهداف، وسجل التقارير، ومرساة التدقيق.</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This round end to end: what was released, who reported, what was verified, and the audit anchor.
proximate.donor.assurance.hint_round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هذه الجولة من أولها إلى آخرها: ما صُرف، ومن قدَّم التقارير، وما جرى التحقق منه، ومرساة التدقيق.</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Money set aside for a specific funding round. It has a purpose and a budget, but it has not left the account.
proximate.donor.explain.allocated.body</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أموال جرى تخصيصها لجولة تمويل محددة. لها غرض وميزانية، لكنها لم تغادر الحساب.</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disbursement(s) were flagged by the OB. Open the round to see the reason.
proximate.donor.flagged_warning_body</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صرفية/صرفيات رفع جهاز المراقبة إشارة عليها. افتح الجولة لمعرفة السبب.</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No signed grant agreement is on file yet, so this figure cannot be shown. The stages below start from what has been allocated to rounds.
proximate.donor.funnel.committed_unknown_note</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لا توجد اتفاقية منحة موقَّعة في الملف حتى الآن، لذا لا يمكن عرض هذا الرقم. تبدأ المراحل أدناه ممّا خُصِّص للجولات.</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Round closed
proximate.history.event.closeout</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إغلاق الجولة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Round
proximate.messaging.subject.round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جولة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Round opened
proximate.messaging.template.round_activated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فتح جولة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Sign this round (no COI)
proximate.rounds.next_sign</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وقّع على الجولة (ما في تضارب)</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Replay onboarding tour
shortcuts.replay_tour</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إعادة تشغيل جولة التعريف</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Not funded this round
status.app.rejected.coaching</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لم يتم اختياره في هذه الجولة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Not awarded this round — feedback coming soon
status.ngo.rejected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غير ممنوحة في هذه الجولة — ستصلك ملاحظات قريباً</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Skip tour
tour.skip_aria</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تخطي الجولة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bl>
    <w:p>
      <w:r>
        <w:br w:type="page"/>
      </w:r>
    </w:p>
    <w:p>
      <w:pPr>
        <w:pStyle w:val="Heading1"/>
        <w:spacing w:before="300" w:after="100"/>
      </w:pPr>
      <w:r>
        <w:rPr>
          <w:b/>
          <w:bCs/>
          <w:color w:val="173F35"/>
          <w:sz w:val="28"/>
          <w:szCs w:val="28"/>
          <w:rFonts w:ascii="Calibri" w:cs="Calibri" w:eastAsia="Calibri" w:hAnsi="Calibri"/>
        </w:rPr>
        <w:t xml:space="preserve">Endorsement — 14 strings</w:t>
      </w:r>
    </w:p>
    <w:p>
      <w:pPr>
        <w:spacing w:after="120" w:line="264"/>
      </w:pPr>
      <w:r>
        <w:rPr>
          <w:b/>
          <w:bCs/>
          <w:color w:val="1C2925"/>
          <w:sz w:val="21"/>
          <w:szCs w:val="21"/>
          <w:rFonts w:ascii="Calibri" w:cs="Calibri" w:eastAsia="Calibri" w:hAnsi="Calibri"/>
        </w:rPr>
        <w:t xml:space="preserve">You chose: </w:t>
      </w:r>
      <w:r>
        <w:rPr>
          <w:color w:val="1C2925"/>
          <w:sz w:val="21"/>
          <w:szCs w:val="21"/>
          <w:rFonts w:ascii="Calibri" w:cs="Calibri" w:eastAsia="Calibri" w:hAnsi="Calibri"/>
        </w:rPr>
        <w:t xml:space="preserve">تزكية  →  تأييد</w:t>
      </w:r>
    </w:p>
    <w:p>
      <w:pPr>
        <w:spacing w:after="120" w:line="264"/>
      </w:pPr>
      <w:r>
        <w:rPr>
          <w:i/>
          <w:iCs/>
          <w:color w:val="1C2925"/>
          <w:sz w:val="21"/>
          <w:szCs w:val="21"/>
          <w:rFonts w:ascii="Calibri" w:cs="Calibri" w:eastAsia="Calibri" w:hAnsi="Calibri"/>
        </w:rPr>
        <w:t xml:space="preserve">Please check the agreement, not just the noun.</w:t>
      </w:r>
    </w:p>
    <w:tbl>
      <w:tblPr>
        <w:tblW w:type="pct" w:w="100%"/>
        <w:tblBorders>
          <w:top w:val="single" w:color="D7DDD7" w:sz="4"/>
          <w:left w:val="single" w:color="D7DDD7" w:sz="4"/>
          <w:bottom w:val="single" w:color="D7DDD7" w:sz="4"/>
          <w:right w:val="single" w:color="D7DDD7" w:sz="4"/>
          <w:insideH w:val="single" w:color="D7DDD7" w:sz="4"/>
          <w:insideV w:val="single" w:color="D7DDD7" w:sz="4"/>
        </w:tblBorders>
      </w:tblPr>
      <w:tblGrid>
        <w:gridCol w:w="2880"/>
        <w:gridCol w:w="3264"/>
        <w:gridCol w:w="3456"/>
      </w:tblGrid>
      <w:tr>
        <w:trPr>
          <w:tblHeader/>
        </w:trPr>
        <w:tc>
          <w:tcPr>
            <w:tcW w:type="pct" w:w="30%"/>
            <w:shd w:fill="173F35" w:color="auto" w:val="clear"/>
            <w:tcMar>
              <w:top w:type="dxa" w:w="70"/>
              <w:left w:type="dxa" w:w="90"/>
              <w:bottom w:type="dxa" w:w="70"/>
              <w:right w:type="dxa" w:w="90"/>
            </w:tcMar>
            <w:vAlign w:val="center"/>
          </w:tcPr>
          <w:p>
            <w:pPr>
              <w:jc w:val="left"/>
            </w:pPr>
            <w:r>
              <w:rPr>
                <w:b/>
                <w:bCs/>
                <w:color w:val="FFFFFF"/>
                <w:sz w:val="17"/>
                <w:szCs w:val="17"/>
                <w:rFonts w:ascii="Calibri" w:cs="Calibri" w:eastAsia="Calibri" w:hAnsi="Calibri"/>
              </w:rPr>
              <w:t xml:space="preserve">English</w:t>
            </w:r>
          </w:p>
        </w:tc>
        <w:tc>
          <w:tcPr>
            <w:tcW w:type="pct" w:w="34%"/>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Current Arabic</w:t>
            </w:r>
          </w:p>
        </w:tc>
        <w:tc>
          <w:tcPr>
            <w:tcW w:type="pct" w:w="36%"/>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Corrected Arabic (fill in)</w:t>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Approve or reject in the endorser queue
attention.endorser_kyc.sub</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اقبل أو ارفض في قائمة المزكّين</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Endorsement submitted
audit_label.proximate.endorsement.submitted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قُدّمت تزكية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Endorsement submitted (invite link)
audit_label.proximate.endorsement.submitted_via_invite</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قُدّمت تزكية (عبر رابط دعوة)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Endorsements opened
audit_label.proximate.partner.endorsements_opened</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فُتح باب التزكيات</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No endorsements are waiting for you right now. Thank you!
proximate.endorse.empty</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ما في تزكيات مطلوبة منك حالياً. شكراً!</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Endorsements we have asked you for
proximate.endorse.list_title</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التزكيات المطلوبة منك</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Send my endorsement
proximate.endorse.submit</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إرسال التزكية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Approve this endorser? They will be able to endorse partners and their reputation will start counting toward trust clears.
proximate.endorser_queue.confirm_approve_body</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هل توافق على هذا المؤيّد؟ سيتمكن من تزكية الشركاء وسيبدأ احتساب سمعته ضمن اجتيازات الثقة.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Replies from partners and endorsers — and proof of what actually reached them.
proximate.messaging.subtitle</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ردود الشركاء والمزكّين — وإثبات ما وصلهم فعلاً.</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Endorsement invite
proximate.messaging.template.endorsement_invite</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دعوة تزكية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Endorsement reminder
proximate.messaging.template.endorsement_reminder</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تذكير بالتزكية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Start endorsements
proximate.rounds.journey_start_endorsements</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ابدأ التزكيات</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two conflict-free endorsements
proximate.why.missing.endorsements</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تزكيتين خاليتين من تضارب المصالح</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endorsers with a higher reputation score
proximate.why.missing.reputation_floor</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مزكّين بدرجة سمعة أعلى</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bl>
    <w:p>
      <w:r>
        <w:br w:type="page"/>
      </w:r>
    </w:p>
    <w:p>
      <w:pPr>
        <w:pStyle w:val="Heading1"/>
        <w:spacing w:before="300" w:after="100"/>
      </w:pPr>
      <w:r>
        <w:rPr>
          <w:b/>
          <w:bCs/>
          <w:color w:val="173F35"/>
          <w:sz w:val="28"/>
          <w:szCs w:val="28"/>
          <w:rFonts w:ascii="Calibri" w:cs="Calibri" w:eastAsia="Calibri" w:hAnsi="Calibri"/>
        </w:rPr>
        <w:t xml:space="preserve">Adeso — 2 strings</w:t>
      </w:r>
    </w:p>
    <w:p>
      <w:pPr>
        <w:spacing w:after="120" w:line="264"/>
      </w:pPr>
      <w:r>
        <w:rPr>
          <w:b/>
          <w:bCs/>
          <w:color w:val="1C2925"/>
          <w:sz w:val="21"/>
          <w:szCs w:val="21"/>
          <w:rFonts w:ascii="Calibri" w:cs="Calibri" w:eastAsia="Calibri" w:hAnsi="Calibri"/>
        </w:rPr>
        <w:t xml:space="preserve">You chose: </w:t>
      </w:r>
      <w:r>
        <w:rPr>
          <w:color w:val="1C2925"/>
          <w:sz w:val="21"/>
          <w:szCs w:val="21"/>
          <w:rFonts w:ascii="Calibri" w:cs="Calibri" w:eastAsia="Calibri" w:hAnsi="Calibri"/>
        </w:rPr>
        <w:t xml:space="preserve">Adeso (Latin script)  →  أديسو</w:t>
      </w:r>
    </w:p>
    <w:p>
      <w:pPr>
        <w:spacing w:after="120" w:line="264"/>
      </w:pPr>
      <w:r>
        <w:rPr>
          <w:i/>
          <w:iCs/>
          <w:color w:val="1C2925"/>
          <w:sz w:val="21"/>
          <w:szCs w:val="21"/>
          <w:rFonts w:ascii="Calibri" w:cs="Calibri" w:eastAsia="Calibri" w:hAnsi="Calibri"/>
        </w:rPr>
        <w:t xml:space="preserve">Please check the agreement, not just the noun.</w:t>
      </w:r>
    </w:p>
    <w:tbl>
      <w:tblPr>
        <w:tblW w:type="pct" w:w="100%"/>
        <w:tblBorders>
          <w:top w:val="single" w:color="D7DDD7" w:sz="4"/>
          <w:left w:val="single" w:color="D7DDD7" w:sz="4"/>
          <w:bottom w:val="single" w:color="D7DDD7" w:sz="4"/>
          <w:right w:val="single" w:color="D7DDD7" w:sz="4"/>
          <w:insideH w:val="single" w:color="D7DDD7" w:sz="4"/>
          <w:insideV w:val="single" w:color="D7DDD7" w:sz="4"/>
        </w:tblBorders>
      </w:tblPr>
      <w:tblGrid>
        <w:gridCol w:w="2880"/>
        <w:gridCol w:w="3264"/>
        <w:gridCol w:w="3456"/>
      </w:tblGrid>
      <w:tr>
        <w:trPr>
          <w:tblHeader/>
        </w:trPr>
        <w:tc>
          <w:tcPr>
            <w:tcW w:type="pct" w:w="30%"/>
            <w:shd w:fill="173F35" w:color="auto" w:val="clear"/>
            <w:tcMar>
              <w:top w:type="dxa" w:w="70"/>
              <w:left w:type="dxa" w:w="90"/>
              <w:bottom w:type="dxa" w:w="70"/>
              <w:right w:type="dxa" w:w="90"/>
            </w:tcMar>
            <w:vAlign w:val="center"/>
          </w:tcPr>
          <w:p>
            <w:pPr>
              <w:jc w:val="left"/>
            </w:pPr>
            <w:r>
              <w:rPr>
                <w:b/>
                <w:bCs/>
                <w:color w:val="FFFFFF"/>
                <w:sz w:val="17"/>
                <w:szCs w:val="17"/>
                <w:rFonts w:ascii="Calibri" w:cs="Calibri" w:eastAsia="Calibri" w:hAnsi="Calibri"/>
              </w:rPr>
              <w:t xml:space="preserve">English</w:t>
            </w:r>
          </w:p>
        </w:tc>
        <w:tc>
          <w:tcPr>
            <w:tcW w:type="pct" w:w="34%"/>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Current Arabic</w:t>
            </w:r>
          </w:p>
        </w:tc>
        <w:tc>
          <w:tcPr>
            <w:tcW w:type="pct" w:w="36%"/>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Corrected Arabic (fill in)</w:t>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What the agreement commits Adeso to, against live system data.
prox_grant.deliverables_description</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ما تلتزم به Adeso بموجب الاتفاقية، مقابل بيانات النظام الحيّة.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Adeso will read this. You may hear back if there is a follow-up question.
proximate.outcome.thanks_body</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سيقرأ فريق Adeso هذا. قد تتلقى رداً إذا كان هناك سؤال متابعة.</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bl>
    <w:p>
      <w:r>
        <w:br w:type="page"/>
      </w:r>
    </w:p>
    <w:p>
      <w:pPr>
        <w:pStyle w:val="Heading1"/>
        <w:spacing w:before="300" w:after="100"/>
      </w:pPr>
      <w:r>
        <w:rPr>
          <w:b/>
          <w:bCs/>
          <w:color w:val="173F35"/>
          <w:sz w:val="28"/>
          <w:szCs w:val="28"/>
          <w:rFonts w:ascii="Calibri" w:cs="Calibri" w:eastAsia="Calibri" w:hAnsi="Calibri"/>
        </w:rPr>
        <w:t xml:space="preserve">Oversight Body — 1 string</w:t>
      </w:r>
    </w:p>
    <w:p>
      <w:pPr>
        <w:spacing w:after="120" w:line="264"/>
      </w:pPr>
      <w:r>
        <w:rPr>
          <w:b/>
          <w:bCs/>
          <w:color w:val="1C2925"/>
          <w:sz w:val="21"/>
          <w:szCs w:val="21"/>
          <w:rFonts w:ascii="Calibri" w:cs="Calibri" w:eastAsia="Calibri" w:hAnsi="Calibri"/>
        </w:rPr>
        <w:t xml:space="preserve">You chose: </w:t>
      </w:r>
      <w:r>
        <w:rPr>
          <w:color w:val="1C2925"/>
          <w:sz w:val="21"/>
          <w:szCs w:val="21"/>
          <w:rFonts w:ascii="Calibri" w:cs="Calibri" w:eastAsia="Calibri" w:hAnsi="Calibri"/>
        </w:rPr>
        <w:t xml:space="preserve">جهاز المراقبة  →  هيئة الإشراف</w:t>
      </w:r>
    </w:p>
    <w:p>
      <w:pPr>
        <w:spacing w:after="120" w:line="264"/>
      </w:pPr>
      <w:r>
        <w:rPr>
          <w:i/>
          <w:iCs/>
          <w:color w:val="1C2925"/>
          <w:sz w:val="21"/>
          <w:szCs w:val="21"/>
          <w:rFonts w:ascii="Calibri" w:cs="Calibri" w:eastAsia="Calibri" w:hAnsi="Calibri"/>
        </w:rPr>
        <w:t xml:space="preserve">Please check the agreement, not just the noun.</w:t>
      </w:r>
    </w:p>
    <w:tbl>
      <w:tblPr>
        <w:tblW w:type="pct" w:w="100%"/>
        <w:tblBorders>
          <w:top w:val="single" w:color="D7DDD7" w:sz="4"/>
          <w:left w:val="single" w:color="D7DDD7" w:sz="4"/>
          <w:bottom w:val="single" w:color="D7DDD7" w:sz="4"/>
          <w:right w:val="single" w:color="D7DDD7" w:sz="4"/>
          <w:insideH w:val="single" w:color="D7DDD7" w:sz="4"/>
          <w:insideV w:val="single" w:color="D7DDD7" w:sz="4"/>
        </w:tblBorders>
      </w:tblPr>
      <w:tblGrid>
        <w:gridCol w:w="2880"/>
        <w:gridCol w:w="3264"/>
        <w:gridCol w:w="3456"/>
      </w:tblGrid>
      <w:tr>
        <w:trPr>
          <w:tblHeader/>
        </w:trPr>
        <w:tc>
          <w:tcPr>
            <w:tcW w:type="pct" w:w="30%"/>
            <w:shd w:fill="173F35" w:color="auto" w:val="clear"/>
            <w:tcMar>
              <w:top w:type="dxa" w:w="70"/>
              <w:left w:type="dxa" w:w="90"/>
              <w:bottom w:type="dxa" w:w="70"/>
              <w:right w:type="dxa" w:w="90"/>
            </w:tcMar>
            <w:vAlign w:val="center"/>
          </w:tcPr>
          <w:p>
            <w:pPr>
              <w:jc w:val="left"/>
            </w:pPr>
            <w:r>
              <w:rPr>
                <w:b/>
                <w:bCs/>
                <w:color w:val="FFFFFF"/>
                <w:sz w:val="17"/>
                <w:szCs w:val="17"/>
                <w:rFonts w:ascii="Calibri" w:cs="Calibri" w:eastAsia="Calibri" w:hAnsi="Calibri"/>
              </w:rPr>
              <w:t xml:space="preserve">English</w:t>
            </w:r>
          </w:p>
        </w:tc>
        <w:tc>
          <w:tcPr>
            <w:tcW w:type="pct" w:w="34%"/>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Current Arabic</w:t>
            </w:r>
          </w:p>
        </w:tc>
        <w:tc>
          <w:tcPr>
            <w:tcW w:type="pct" w:w="36%"/>
            <w:shd w:fill="173F35" w:color="auto" w:val="clear"/>
            <w:tcMar>
              <w:top w:type="dxa" w:w="70"/>
              <w:left w:type="dxa" w:w="90"/>
              <w:bottom w:type="dxa" w:w="70"/>
              <w:right w:type="dxa" w:w="90"/>
            </w:tcMar>
            <w:vAlign w:val="center"/>
          </w:tcPr>
          <w:p>
            <w:pPr>
              <w:jc w:val="center"/>
            </w:pPr>
            <w:r>
              <w:rPr>
                <w:b/>
                <w:bCs/>
                <w:color w:val="FFFFFF"/>
                <w:sz w:val="17"/>
                <w:szCs w:val="17"/>
                <w:rFonts w:ascii="Calibri" w:cs="Calibri" w:eastAsia="Calibri" w:hAnsi="Calibri"/>
              </w:rPr>
              <w:t xml:space="preserve">Corrected Arabic (fill in)</w:t>
            </w:r>
          </w:p>
        </w:tc>
      </w:tr>
      <w:tr>
        <w:tc>
          <w:tcPr>
            <w:tcW w:type="pct" w:w="30%"/>
            <w:tcMar>
              <w:top w:type="dxa" w:w="60"/>
              <w:left w:type="dxa" w:w="90"/>
              <w:bottom w:type="dxa" w:w="60"/>
              <w:right w:type="dxa" w:w="90"/>
            </w:tcMar>
            <w:vAlign w:val="center"/>
          </w:tcPr>
          <w:p>
            <w:pPr>
              <w:jc w:val="left"/>
            </w:pPr>
            <w:r>
              <w:rPr>
                <w:color w:val="1C2925"/>
                <w:sz w:val="15"/>
                <w:szCs w:val="15"/>
                <w:rFonts w:ascii="Calibri" w:cs="Calibri" w:eastAsia="Calibri" w:hAnsi="Calibri"/>
              </w:rPr>
              <w:t xml:space="preserve">disbursement(s) were flagged by the OB. Open the round to see the reason.
proximate.donor.flagged_warning_body</w:t>
            </w:r>
          </w:p>
        </w:tc>
        <w:tc>
          <w:tcPr>
            <w:tcW w:type="pct" w:w="34%"/>
            <w:tcMar>
              <w:top w:type="dxa" w:w="60"/>
              <w:left w:type="dxa" w:w="90"/>
              <w:bottom w:type="dxa" w:w="60"/>
              <w:right w:type="dxa" w:w="90"/>
            </w:tcMar>
            <w:vAlign w:val="center"/>
          </w:tcPr>
          <w:p>
            <w:pPr>
              <w:jc w:val="left"/>
            </w:pPr>
            <w:r>
              <w:rPr>
                <w:color w:val="1C2925"/>
                <w:sz w:val="16"/>
                <w:szCs w:val="16"/>
                <w:rFonts w:ascii="Calibri" w:cs="Calibri" w:eastAsia="Calibri" w:hAnsi="Calibri"/>
              </w:rPr>
              <w:t xml:space="preserve">صرفية/صرفيات رفع جهاز المراقبة إشارة عليها. افتح الجولة لمعرفة السبب.</w:t>
            </w:r>
          </w:p>
        </w:tc>
        <w:tc>
          <w:tcPr>
            <w:tcW w:type="pct" w:w="36%"/>
            <w:tcMar>
              <w:top w:type="dxa" w:w="60"/>
              <w:left w:type="dxa" w:w="90"/>
              <w:bottom w:type="dxa" w:w="60"/>
              <w:right w:type="dxa" w:w="90"/>
            </w:tcMar>
            <w:vAlign w:val="center"/>
          </w:tcPr>
          <w:p>
            <w:pPr>
              <w:jc w:val="left"/>
            </w:pPr>
            <w:r>
              <w:rPr>
                <w:color w:val="1C2925"/>
                <w:sz w:val="16"/>
                <w:szCs w:val="16"/>
                <w:rFonts w:ascii="Calibri" w:cs="Calibri" w:eastAsia="Calibri" w:hAnsi="Calibri"/>
              </w:rPr>
            </w:r>
          </w:p>
        </w:tc>
      </w:tr>
    </w:tbl>
    <w:p>
      <w:r>
        <w:br w:type="page"/>
      </w:r>
    </w:p>
    <w:p>
      <w:pPr>
        <w:pStyle w:val="Heading1"/>
        <w:spacing w:before="300" w:after="100"/>
      </w:pPr>
      <w:r>
        <w:rPr>
          <w:b/>
          <w:bCs/>
          <w:color w:val="173F35"/>
          <w:sz w:val="28"/>
          <w:szCs w:val="28"/>
          <w:rFonts w:ascii="Calibri" w:cs="Calibri" w:eastAsia="Calibri" w:hAnsi="Calibri"/>
        </w:rPr>
        <w:t xml:space="preserve">One question, not a string</w:t>
      </w:r>
    </w:p>
    <w:p>
      <w:pPr>
        <w:spacing w:after="120" w:line="264"/>
      </w:pPr>
      <w:r>
        <w:rPr>
          <w:color w:val="1C2925"/>
          <w:sz w:val="21"/>
          <w:szCs w:val="21"/>
          <w:rFonts w:ascii="Calibri" w:cs="Calibri" w:eastAsia="Calibri" w:hAnsi="Calibri"/>
        </w:rPr>
        <w:t xml:space="preserve">Several of your revisions changed the way the reader is addressed — from the plural form (قمتم، تخدمون) to the singular (قمت، تخدم). We have applied that everywhere you marked it.</w:t>
      </w:r>
    </w:p>
    <w:p>
      <w:pPr>
        <w:spacing w:after="120" w:line="264"/>
      </w:pPr>
      <w:r>
        <w:rPr>
          <w:b/>
          <w:bCs/>
          <w:color w:val="1C2925"/>
          <w:sz w:val="21"/>
          <w:szCs w:val="21"/>
          <w:rFonts w:ascii="Calibri" w:cs="Calibri" w:eastAsia="Calibri" w:hAnsi="Calibri"/>
        </w:rPr>
        <w:t xml:space="preserve">Is singular the rule for the whole product, or only for those screens? </w:t>
      </w:r>
      <w:r>
        <w:rPr>
          <w:color w:val="1C2925"/>
          <w:sz w:val="21"/>
          <w:szCs w:val="21"/>
          <w:rFonts w:ascii="Calibri" w:cs="Calibri" w:eastAsia="Calibri" w:hAnsi="Calibri"/>
        </w:rPr>
        <w:t xml:space="preserve">The partner-facing pages are read by one person on a phone, so singular sounds right to us — but the nomination form is filled in on behalf of a GROUP, which may be why the plural was there originally. Tell us which you want and we will make the rest match; we would rather ask once than change 600 strings on an assumption.</w:t>
      </w:r>
    </w:p>
    <w:p>
      <w:pPr>
        <w:spacing w:after="120" w:line="264"/>
      </w:pPr>
      <w:r>
        <w:rPr>
          <w:b/>
          <w:bCs/>
          <w:color w:val="1C2925"/>
          <w:sz w:val="21"/>
          <w:szCs w:val="21"/>
          <w:rFonts w:ascii="Calibri" w:cs="Calibri" w:eastAsia="Calibri" w:hAnsi="Calibri"/>
        </w:rPr>
        <w:t xml:space="preserve">A concrete case, visible right now on the live nomination page: </w:t>
      </w:r>
      <w:r>
        <w:rPr>
          <w:color w:val="1C2925"/>
          <w:sz w:val="21"/>
          <w:szCs w:val="21"/>
          <w:rFonts w:ascii="Calibri" w:cs="Calibri" w:eastAsia="Calibri" w:hAnsi="Calibri"/>
        </w:rPr>
        <w:t xml:space="preserve">the form still asks “ماذا تعمل مجموعتكم؟” and “منطقة عملكم” in the plural, and the confirmation after submitting now reads “شكرًا لك — تم استلام ترشيحك” in the singular. That is one person, one journey, two registers, and it exists because your revisions covered the confirmation but not the form. It is not wrong yet — but it should be one or the other, and that is your call rather than ours.</w:t>
      </w:r>
    </w:p>
    <w:p>
      <w:pPr>
        <w:spacing w:after="60"/>
      </w:pPr>
    </w:p>
    <w:tbl>
      <w:tblPr>
        <w:tblW w:type="pct" w:w="100%"/>
        <w:tblBorders>
          <w:top w:val="single" w:color="CFDBC7" w:sz="6"/>
          <w:left w:val="single" w:color="CFDBC7" w:sz="6"/>
          <w:bottom w:val="single" w:color="CFDBC7" w:sz="6"/>
          <w:right w:val="single" w:color="CFDBC7" w:sz="6"/>
          <w:insideH w:val="single" w:color="CFDBC7" w:sz="6"/>
          <w:insideV w:val="single" w:color="CFDBC7" w:sz="6"/>
        </w:tblBorders>
      </w:tblPr>
      <w:tblGrid>
        <w:gridCol w:w="100"/>
      </w:tblGrid>
      <w:tr>
        <w:tc>
          <w:tcPr>
            <w:shd w:fill="EDF2E8" w:color="auto" w:val="clear"/>
            <w:tcMar>
              <w:top w:type="dxa" w:w="120"/>
              <w:left w:type="dxa" w:w="160"/>
              <w:bottom w:type="dxa" w:w="120"/>
              <w:right w:type="dxa" w:w="160"/>
            </w:tcMar>
          </w:tcPr>
          <w:p>
            <w:pPr>
              <w:spacing w:after="40"/>
            </w:pPr>
            <w:r>
              <w:rPr>
                <w:b/>
                <w:bCs/>
                <w:color w:val="173F35"/>
                <w:sz w:val="21"/>
                <w:szCs w:val="21"/>
                <w:rFonts w:ascii="Calibri" w:cs="Calibri" w:eastAsia="Calibri" w:hAnsi="Calibri"/>
              </w:rPr>
              <w:t xml:space="preserve">What happens next</w:t>
            </w:r>
          </w:p>
          <w:p>
            <w:r>
              <w:rPr>
                <w:color w:val="1C2925"/>
                <w:sz w:val="20"/>
                <w:szCs w:val="20"/>
                <w:rFonts w:ascii="Calibri" w:cs="Calibri" w:eastAsia="Calibri" w:hAnsi="Calibri"/>
              </w:rPr>
              <w:t xml:space="preserve">This pack covers 40 strings and should take well under an hour. Send it back in any form — this document, a list, or notes in an email — and we will apply it the same day and confirm on the live system. After that the Arabic is consistent end to end, and the remaining translation debt is French, Spanish, Swahili and Somali, none of which has had a native review yet.</w:t>
            </w:r>
          </w:p>
        </w:tc>
      </w:tr>
    </w:tbl>
    <w:sectPr>
      <w:footerReference w:type="default" r:id="rId6"/>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DD7" w:sz="4" w:space="6"/>
      </w:pBdr>
      <w:jc w:val="center"/>
    </w:pPr>
    <w:r>
      <w:rPr>
        <w:color w:val="5B6560"/>
        <w:sz w:val="15"/>
        <w:szCs w:val="15"/>
        <w:rFonts w:ascii="Calibri" w:cs="Calibri" w:eastAsia="Calibri" w:hAnsi="Calibri"/>
      </w:rPr>
      <w:t xml:space="preserve">Proximate — Arabic follow-up pack, 3 August 2026   ·   Kuja · Confidential — Internal &amp; Investor Use   ·   Page </w:t>
    </w:r>
    <w:r>
      <w:rPr>
        <w:color w:val="5B656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2925"/>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Proximate — Arabic follow-up pack, 3 August 2026</dc:title>
  <dc:creator>Kuja</dc:creator>
  <cp:lastModifiedBy>Un-named</cp:lastModifiedBy>
  <cp:revision>1</cp:revision>
  <dcterms:created xsi:type="dcterms:W3CDTF">2026-08-03T15:32:52.004Z</dcterms:created>
  <dcterms:modified xsi:type="dcterms:W3CDTF">2026-08-03T15:32:52.008Z</dcterms:modified>
</cp:coreProperties>
</file>

<file path=docProps/custom.xml><?xml version="1.0" encoding="utf-8"?>
<Properties xmlns="http://schemas.openxmlformats.org/officeDocument/2006/custom-properties" xmlns:vt="http://schemas.openxmlformats.org/officeDocument/2006/docPropsVTypes"/>
</file>