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C2410C"/>
          <w:sz w:val="96"/>
          <w:szCs w:val="96"/>
        </w:rPr>
        <w:t xml:space="preserve">KUJA</w:t>
      </w:r>
    </w:p>
    <w:p>
      <w:pPr>
        <w:spacing w:after="0" w:before="100"/>
      </w:pPr>
      <w:r>
        <w:rPr>
          <w:rFonts w:ascii="Arial" w:cs="Arial" w:eastAsia="Arial" w:hAnsi="Arial"/>
          <w:b/>
          <w:bCs/>
          <w:color w:val="1A1410"/>
          <w:sz w:val="56"/>
          <w:szCs w:val="56"/>
        </w:rPr>
        <w:t xml:space="preserve">Business Strategy 2026–2028</w:t>
      </w:r>
    </w:p>
    <w:p>
      <w:pPr>
        <w:spacing w:after="0" w:before="200"/>
      </w:pPr>
      <w:r>
        <w:rPr>
          <w:rFonts w:ascii="Arial" w:cs="Arial" w:eastAsia="Arial" w:hAnsi="Arial"/>
          <w:i/>
          <w:iCs/>
          <w:color w:val="7C2D12"/>
          <w:sz w:val="32"/>
          <w:szCs w:val="32"/>
        </w:rPr>
        <w:t xml:space="preserve">One platform. Four pillars. Three motions.</w:t>
      </w:r>
    </w:p>
    <w:p>
      <w:pPr>
        <w:spacing w:after="0" w:before="80"/>
      </w:pPr>
      <w:r>
        <w:rPr>
          <w:rFonts w:ascii="Arial" w:cs="Arial" w:eastAsia="Arial" w:hAnsi="Arial"/>
          <w:i/>
          <w:iCs/>
          <w:color w:val="6B6660"/>
          <w:sz w:val="28"/>
          <w:szCs w:val="28"/>
        </w:rPr>
        <w:t xml:space="preserve">AI-native. Global South-built. Trust as the product.</w:t>
      </w:r>
    </w:p>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6"/>
                <w:szCs w:val="26"/>
              </w:rPr>
              <w:t xml:space="preserve">Production-deployed platform.</w:t>
            </w:r>
          </w:p>
          <w:p>
            <w:pPr>
              <w:spacing w:before="80"/>
            </w:pPr>
            <w:r>
              <w:rPr>
                <w:rFonts w:ascii="Arial" w:cs="Arial" w:eastAsia="Arial" w:hAnsi="Arial"/>
                <w:color w:val="1A1410"/>
                <w:sz w:val="22"/>
                <w:szCs w:val="22"/>
              </w:rPr>
              <w:t xml:space="preserve">50+ AI surfaces shipped. 130+ phases delivered. The reference architecture for peer-governed network funding — co-developed with NEAR (the Network for Empowered Aid Response), which Adeso co-founded in 2016.</w:t>
            </w:r>
          </w:p>
        </w:tc>
      </w:tr>
    </w:tbl>
    <w:p>
      <w:pPr>
        <w:spacing w:after="0" w:before="800"/>
      </w:pPr>
      <w:r>
        <w:t xml:space="preserve"/>
      </w:r>
    </w:p>
    <w:p>
      <w:pPr>
        <w:spacing w:after="0" w:before="200"/>
      </w:pPr>
      <w:r>
        <w:rPr>
          <w:rFonts w:ascii="Arial" w:cs="Arial" w:eastAsia="Arial" w:hAnsi="Arial"/>
          <w:b/>
          <w:bCs/>
          <w:color w:val="6B6660"/>
          <w:sz w:val="22"/>
          <w:szCs w:val="22"/>
        </w:rPr>
        <w:t xml:space="preserve">Version 3.6 · June 2026 · Synced with Grant Market Analysis, Elevate Market Analysis, and Pitch Deck V9</w:t>
      </w:r>
    </w:p>
    <w:p>
      <w:pPr>
        <w:spacing w:after="0" w:before="80"/>
      </w:pPr>
      <w:r>
        <w:rPr>
          <w:rFonts w:ascii="Arial" w:cs="Arial" w:eastAsia="Arial" w:hAnsi="Arial"/>
          <w:color w:val="6B6660"/>
          <w:sz w:val="22"/>
          <w:szCs w:val="22"/>
        </w:rPr>
        <w:t xml:space="preserve">Adeso · Nairobi, Kenya · kuja@adeso.org</w:t>
      </w:r>
    </w:p>
    <w:p>
      <w:pPr>
        <w:spacing w:after="0" w:before="40"/>
      </w:pPr>
      <w:r>
        <w:rPr>
          <w:rFonts w:ascii="Arial" w:cs="Arial" w:eastAsia="Arial" w:hAnsi="Arial"/>
          <w:i/>
          <w:iCs/>
          <w:color w:val="6B6660"/>
          <w:sz w:val="20"/>
          <w:szCs w:val="20"/>
        </w:rPr>
        <w:t xml:space="preserve">Confidential — for partner foundations, donors, and network secretariats</w:t>
      </w:r>
    </w:p>
    <w:p>
      <w:pPr>
        <w:pStyle w:val="Heading1"/>
        <w:pageBreakBefore/>
        <w:spacing w:after="200" w:before="320"/>
      </w:pPr>
      <w:r>
        <w:rPr>
          <w:rFonts w:ascii="Arial" w:cs="Arial" w:eastAsia="Arial" w:hAnsi="Arial"/>
          <w:b/>
          <w:bCs/>
          <w:color w:val="C2410C"/>
          <w:sz w:val="36"/>
          <w:szCs w:val="36"/>
        </w:rPr>
        <w:t xml:space="preserve">1. Executive Summary</w:t>
      </w:r>
    </w:p>
    <w:p>
      <w:pPr>
        <w:spacing w:after="80" w:before="60" w:line="300"/>
        <w:jc w:val="left"/>
      </w:pPr>
      <w:r>
        <w:rPr>
          <w:rFonts w:ascii="Arial" w:cs="Arial" w:eastAsia="Arial" w:hAnsi="Arial"/>
          <w:color w:val="1A1410"/>
          <w:sz w:val="22"/>
          <w:szCs w:val="22"/>
        </w:rPr>
        <w:t xml:space="preserve">Kuja is the operating system for locally-led funding. Adeso — a Somali-founded, Nairobi-based social enterprise — has spent eighteen months building, in production, what the sector has been arguing about for a decade. The platform is deployed and ready. The market need has never been more acute.</w:t>
      </w:r>
    </w:p>
    <w:p>
      <w:pPr>
        <w:spacing w:after="80" w:before="160" w:line="300"/>
        <w:jc w:val="left"/>
      </w:pPr>
      <w:r>
        <w:rPr>
          <w:rFonts w:ascii="Arial" w:cs="Arial" w:eastAsia="Arial" w:hAnsi="Arial"/>
          <w:b/>
          <w:bCs/>
          <w:color w:val="1A1410"/>
          <w:sz w:val="22"/>
          <w:szCs w:val="22"/>
        </w:rPr>
        <w:t xml:space="preserve">The strategy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Kuja sells </w:t>
            </w:r>
            <w:r>
              <w:rPr>
                <w:rFonts w:ascii="Arial" w:cs="Arial" w:eastAsia="Arial" w:hAnsi="Arial"/>
                <w:b/>
                <w:bCs/>
                <w:color w:val="C2410C"/>
                <w:sz w:val="22"/>
                <w:szCs w:val="22"/>
              </w:rPr>
              <w:t xml:space="preserve">one AI-native platform</w:t>
            </w:r>
            <w:r>
              <w:rPr>
                <w:rFonts w:ascii="Arial" w:cs="Arial" w:eastAsia="Arial" w:hAnsi="Arial"/>
                <w:color w:val="1A1410"/>
                <w:sz w:val="22"/>
                <w:szCs w:val="22"/>
              </w:rPr>
              <w:t xml:space="preserve"> to seven buyer segments through </w:t>
            </w:r>
            <w:r>
              <w:rPr>
                <w:rFonts w:ascii="Arial" w:cs="Arial" w:eastAsia="Arial" w:hAnsi="Arial"/>
                <w:b/>
                <w:bCs/>
                <w:color w:val="C2410C"/>
                <w:sz w:val="22"/>
                <w:szCs w:val="22"/>
              </w:rPr>
              <w:t xml:space="preserve">three go-to-market motions</w:t>
            </w:r>
            <w:r>
              <w:rPr>
                <w:rFonts w:ascii="Arial" w:cs="Arial" w:eastAsia="Arial" w:hAnsi="Arial"/>
                <w:color w:val="1A1410"/>
                <w:sz w:val="22"/>
                <w:szCs w:val="22"/>
              </w:rPr>
              <w:t xml:space="preserve">. The platform is four integrated pillars — Marketplace, Grant, Elevate, ERP — sharing one customer record, one Trust Profile, one audit chain, and one AI memory. Every pillar reinforces the others. Every customer engagement compounds. The result is a defensible data and trust position that legacy nonprofit-software vendors are years of architectural rebuild away from matching.</w:t>
            </w:r>
          </w:p>
        </w:tc>
      </w:tr>
    </w:tbl>
    <w:p>
      <w:pPr>
        <w:spacing w:after="80" w:before="200" w:line="300"/>
        <w:jc w:val="left"/>
      </w:pPr>
      <w:r>
        <w:rPr>
          <w:rFonts w:ascii="Arial" w:cs="Arial" w:eastAsia="Arial" w:hAnsi="Arial"/>
          <w:b/>
          <w:bCs/>
          <w:color w:val="1A1410"/>
          <w:sz w:val="22"/>
          <w:szCs w:val="22"/>
        </w:rPr>
        <w:t xml:space="preserve">Why now — the verified opportunity:</w:t>
      </w:r>
    </w:p>
    <w:p>
      <w:pPr>
        <w:pStyle w:val="ListParagraph"/>
        <w:numPr>
          <w:ilvl w:val="0"/>
          <w:numId w:val="2"/>
        </w:numPr>
        <w:spacing w:after="60" w:before="30" w:line="280"/>
      </w:pPr>
      <w:r>
        <w:rPr>
          <w:rFonts w:ascii="Arial" w:cs="Arial" w:eastAsia="Arial" w:hAnsi="Arial"/>
          <w:b/>
          <w:bCs/>
          <w:color w:val="1A1410"/>
          <w:sz w:val="22"/>
          <w:szCs w:val="22"/>
        </w:rPr>
        <w:t xml:space="preserve">Global development funding is in historic retreat. </w:t>
      </w:r>
      <w:r>
        <w:rPr>
          <w:rFonts w:ascii="Arial" w:cs="Arial" w:eastAsia="Arial" w:hAnsi="Arial"/>
          <w:color w:val="1A1410"/>
          <w:sz w:val="22"/>
          <w:szCs w:val="22"/>
        </w:rPr>
        <w:t xml:space="preserve">OECD ODA fell 23.1% in real terms in 2025, the largest annual decline ever recorded (OECD, 2026). USAID was officially closed on 1 July 2025; 86% of USAID programs — $75.9B in program value — were terminated (Reuters/Donor Tracker, 2025–2026).</w:t>
      </w:r>
    </w:p>
    <w:p>
      <w:pPr>
        <w:pStyle w:val="ListParagraph"/>
        <w:numPr>
          <w:ilvl w:val="0"/>
          <w:numId w:val="2"/>
        </w:numPr>
        <w:spacing w:after="60" w:before="30" w:line="280"/>
      </w:pPr>
      <w:r>
        <w:rPr>
          <w:rFonts w:ascii="Arial" w:cs="Arial" w:eastAsia="Arial" w:hAnsi="Arial"/>
          <w:b/>
          <w:bCs/>
          <w:color w:val="1A1410"/>
          <w:sz w:val="22"/>
          <w:szCs w:val="22"/>
        </w:rPr>
        <w:t xml:space="preserve">Localization is failing. </w:t>
      </w:r>
      <w:r>
        <w:rPr>
          <w:rFonts w:ascii="Arial" w:cs="Arial" w:eastAsia="Arial" w:hAnsi="Arial"/>
          <w:color w:val="1A1410"/>
          <w:sz w:val="22"/>
          <w:szCs w:val="22"/>
        </w:rPr>
        <w:t xml:space="preserve">Total direct + indirect funding to local and national actors fell to 7.5% in 2024 (ALNAP GHA 2025), against a Grand Bargain target of 25%. Direct-only measures sit lower — 3.1% across all donors, 0.6% from Grand Bargain signatories. The gap is now operational, not political.</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architectural opportunity. </w:t>
      </w:r>
      <w:r>
        <w:rPr>
          <w:rFonts w:ascii="Arial" w:cs="Arial" w:eastAsia="Arial" w:hAnsi="Arial"/>
          <w:color w:val="1A1410"/>
          <w:sz w:val="22"/>
          <w:szCs w:val="22"/>
        </w:rPr>
        <w:t xml:space="preserve">92% of nonprofits report using AI tools, but only 7% report major organizational impact (Virtuous + Fundraising.AI, 2026). 97% of foundations are NOT yet using AI to screen grant applications (Candid, 2024). The window for an AI-native challenger is open — legacy vendors are bolting AI onto rigid data models.</w:t>
      </w:r>
    </w:p>
    <w:p>
      <w:pPr>
        <w:pStyle w:val="ListParagraph"/>
        <w:numPr>
          <w:ilvl w:val="0"/>
          <w:numId w:val="2"/>
        </w:numPr>
        <w:spacing w:after="60" w:before="30" w:line="280"/>
      </w:pPr>
      <w:r>
        <w:rPr>
          <w:rFonts w:ascii="Arial" w:cs="Arial" w:eastAsia="Arial" w:hAnsi="Arial"/>
          <w:b/>
          <w:bCs/>
          <w:color w:val="1A1410"/>
          <w:sz w:val="22"/>
          <w:szCs w:val="22"/>
        </w:rPr>
        <w:t xml:space="preserve">Trust-based philanthropy needs a delivery vehicle. </w:t>
      </w:r>
      <w:r>
        <w:rPr>
          <w:rFonts w:ascii="Arial" w:cs="Arial" w:eastAsia="Arial" w:hAnsi="Arial"/>
          <w:color w:val="1A1410"/>
          <w:sz w:val="22"/>
          <w:szCs w:val="22"/>
        </w:rPr>
        <w:t xml:space="preserve">Co-Impact, Ford BUILD ($1.6B to date), MacKenzie Scott ($7.1B in 2025 alone), and IKEA Foundation (€349M in 2024) are funding unrestricted operational strengthening. Kuja Elevate productizes the delivery.</w:t>
      </w:r>
    </w:p>
    <w:p>
      <w:pPr>
        <w:spacing w:after="80" w:before="200" w:line="300"/>
        <w:jc w:val="left"/>
      </w:pPr>
      <w:r>
        <w:rPr>
          <w:rFonts w:ascii="Arial" w:cs="Arial" w:eastAsia="Arial" w:hAnsi="Arial"/>
          <w:b/>
          <w:bCs/>
          <w:color w:val="1A1410"/>
          <w:sz w:val="22"/>
          <w:szCs w:val="22"/>
        </w:rPr>
        <w:t xml:space="preserve">What is in this document:</w:t>
      </w:r>
    </w:p>
    <w:p>
      <w:pPr>
        <w:pStyle w:val="ListParagraph"/>
        <w:numPr>
          <w:ilvl w:val="0"/>
          <w:numId w:val="2"/>
        </w:numPr>
        <w:spacing w:after="60" w:before="30" w:line="280"/>
      </w:pPr>
      <w:r>
        <w:rPr>
          <w:rFonts w:ascii="Arial" w:cs="Arial" w:eastAsia="Arial" w:hAnsi="Arial"/>
          <w:color w:val="1A1410"/>
          <w:sz w:val="22"/>
          <w:szCs w:val="22"/>
        </w:rPr>
        <w:t xml:space="preserve">Sections 2–3 — the sector moment, vision, mission, values.</w:t>
      </w:r>
    </w:p>
    <w:p>
      <w:pPr>
        <w:pStyle w:val="ListParagraph"/>
        <w:numPr>
          <w:ilvl w:val="0"/>
          <w:numId w:val="2"/>
        </w:numPr>
        <w:spacing w:after="60" w:before="30" w:line="280"/>
      </w:pPr>
      <w:r>
        <w:rPr>
          <w:rFonts w:ascii="Arial" w:cs="Arial" w:eastAsia="Arial" w:hAnsi="Arial"/>
          <w:color w:val="1A1410"/>
          <w:sz w:val="22"/>
          <w:szCs w:val="22"/>
        </w:rPr>
        <w:t xml:space="preserve">Sections 4–6 — the four pillars, the trust loop, and the AI architecture.</w:t>
      </w:r>
    </w:p>
    <w:p>
      <w:pPr>
        <w:pStyle w:val="ListParagraph"/>
        <w:numPr>
          <w:ilvl w:val="0"/>
          <w:numId w:val="2"/>
        </w:numPr>
        <w:spacing w:after="60" w:before="30" w:line="280"/>
      </w:pPr>
      <w:r>
        <w:rPr>
          <w:rFonts w:ascii="Arial" w:cs="Arial" w:eastAsia="Arial" w:hAnsi="Arial"/>
          <w:color w:val="1A1410"/>
          <w:sz w:val="22"/>
          <w:szCs w:val="22"/>
        </w:rPr>
        <w:t xml:space="preserve">Sections 7–8 — three go-to-market motions and seven market segments, including the new Kuja-hosted network option for buyers without their own network.</w:t>
      </w:r>
    </w:p>
    <w:p>
      <w:pPr>
        <w:pStyle w:val="ListParagraph"/>
        <w:numPr>
          <w:ilvl w:val="0"/>
          <w:numId w:val="2"/>
        </w:numPr>
        <w:spacing w:after="60" w:before="30" w:line="280"/>
      </w:pPr>
      <w:r>
        <w:rPr>
          <w:rFonts w:ascii="Arial" w:cs="Arial" w:eastAsia="Arial" w:hAnsi="Arial"/>
          <w:color w:val="1A1410"/>
          <w:sz w:val="22"/>
          <w:szCs w:val="22"/>
        </w:rPr>
        <w:t xml:space="preserve">Sections 9–11 — three pilot programs (Grant-only, Donor cohort, Network tenant), pricing benchmarked against verified competitor data, and revenue projections through 2030.</w:t>
      </w:r>
    </w:p>
    <w:p>
      <w:pPr>
        <w:pStyle w:val="ListParagraph"/>
        <w:numPr>
          <w:ilvl w:val="0"/>
          <w:numId w:val="2"/>
        </w:numPr>
        <w:spacing w:after="60" w:before="30" w:line="280"/>
      </w:pPr>
      <w:r>
        <w:rPr>
          <w:rFonts w:ascii="Arial" w:cs="Arial" w:eastAsia="Arial" w:hAnsi="Arial"/>
          <w:color w:val="1A1410"/>
          <w:sz w:val="22"/>
          <w:szCs w:val="22"/>
        </w:rPr>
        <w:t xml:space="preserve">Sections 12–17 — competitive positioning, phased GTM, why Adeso/Kuja, risks, capital strategy, and a snapshot of production status as of June 2026.</w:t>
      </w:r>
    </w:p>
    <w:p>
      <w:pPr>
        <w:pStyle w:val="ListParagraph"/>
        <w:numPr>
          <w:ilvl w:val="0"/>
          <w:numId w:val="2"/>
        </w:numPr>
        <w:spacing w:after="60" w:before="30" w:line="280"/>
      </w:pPr>
      <w:r>
        <w:rPr>
          <w:rFonts w:ascii="Arial" w:cs="Arial" w:eastAsia="Arial" w:hAnsi="Arial"/>
          <w:color w:val="1A1410"/>
          <w:sz w:val="22"/>
          <w:szCs w:val="22"/>
        </w:rPr>
        <w:t xml:space="preserve">Section 18 — bibliography of every cited source.</w:t>
      </w:r>
    </w:p>
    <w:p>
      <w:pPr>
        <w:pStyle w:val="Heading1"/>
        <w:pageBreakBefore/>
        <w:spacing w:after="200" w:before="320"/>
      </w:pPr>
      <w:r>
        <w:rPr>
          <w:rFonts w:ascii="Arial" w:cs="Arial" w:eastAsia="Arial" w:hAnsi="Arial"/>
          <w:b/>
          <w:bCs/>
          <w:color w:val="C2410C"/>
          <w:sz w:val="36"/>
          <w:szCs w:val="36"/>
        </w:rPr>
        <w:t xml:space="preserve">2. The Moment</w:t>
      </w:r>
    </w:p>
    <w:p>
      <w:pPr>
        <w:spacing w:after="80" w:before="60" w:line="300"/>
        <w:jc w:val="left"/>
      </w:pPr>
      <w:r>
        <w:rPr>
          <w:rFonts w:ascii="Arial" w:cs="Arial" w:eastAsia="Arial" w:hAnsi="Arial"/>
          <w:color w:val="1A1410"/>
          <w:sz w:val="22"/>
          <w:szCs w:val="22"/>
        </w:rPr>
        <w:t xml:space="preserve">The aid system has been dismantled and rebuilt in real time over the last twenty-four months. Six trend lines are converging — each verified against the most authoritative public source available.</w:t>
      </w:r>
    </w:p>
    <w:p>
      <w:pPr>
        <w:spacing w:after="60" w:before="220"/>
      </w:pPr>
      <w:r>
        <w:rPr>
          <w:rFonts w:ascii="Arial" w:cs="Arial" w:eastAsia="Arial" w:hAnsi="Arial"/>
          <w:b/>
          <w:bCs/>
          <w:color w:val="F97316"/>
          <w:spacing w:val="30"/>
          <w:sz w:val="18"/>
          <w:szCs w:val="18"/>
        </w:rPr>
        <w:t xml:space="preserve">TREND 1 — THE POST-USAID LANDSCAPE</w:t>
      </w:r>
    </w:p>
    <w:p>
      <w:pPr>
        <w:pStyle w:val="Heading3"/>
        <w:spacing w:after="100" w:before="220"/>
      </w:pPr>
      <w:r>
        <w:rPr>
          <w:rFonts w:ascii="Arial" w:cs="Arial" w:eastAsia="Arial" w:hAnsi="Arial"/>
          <w:b/>
          <w:bCs/>
          <w:color w:val="1A1410"/>
          <w:sz w:val="24"/>
          <w:szCs w:val="24"/>
        </w:rPr>
        <w:t xml:space="preserve">A historic funding shock</w:t>
      </w:r>
    </w:p>
    <w:p>
      <w:pPr>
        <w:spacing w:after="80" w:before="60" w:line="300"/>
        <w:jc w:val="left"/>
      </w:pPr>
      <w:r>
        <w:rPr>
          <w:rFonts w:ascii="Arial" w:cs="Arial" w:eastAsia="Arial" w:hAnsi="Arial"/>
          <w:b/>
          <w:bCs/>
          <w:color w:val="1A1410"/>
          <w:sz w:val="22"/>
          <w:szCs w:val="22"/>
        </w:rPr>
        <w:t xml:space="preserve">USAID was officially closed on 1 July 2025. </w:t>
      </w:r>
      <w:r>
        <w:rPr>
          <w:rFonts w:ascii="Arial" w:cs="Arial" w:eastAsia="Arial" w:hAnsi="Arial"/>
          <w:color w:val="1A1410"/>
          <w:sz w:val="22"/>
          <w:szCs w:val="22"/>
        </w:rPr>
        <w:t xml:space="preserve">Staffing was reduced to a statutory minimum of 15 positions, with remaining programs transferred to the State Department (Donor Tracker, 2025). On 10 March 2025, Secretary of State Rubio announced the cancellation of </w:t>
      </w:r>
      <w:r>
        <w:rPr>
          <w:rFonts w:ascii="Arial" w:cs="Arial" w:eastAsia="Arial" w:hAnsi="Arial"/>
          <w:b/>
          <w:bCs/>
          <w:color w:val="1A1410"/>
          <w:sz w:val="22"/>
          <w:szCs w:val="22"/>
        </w:rPr>
        <w:t xml:space="preserve">83% of USAID programs (approximately 5,200 contracts)</w:t>
      </w:r>
      <w:r>
        <w:rPr>
          <w:rFonts w:ascii="Arial" w:cs="Arial" w:eastAsia="Arial" w:hAnsi="Arial"/>
          <w:color w:val="1A1410"/>
          <w:sz w:val="22"/>
          <w:szCs w:val="22"/>
        </w:rPr>
        <w:t xml:space="preserve">. Later figures show </w:t>
      </w:r>
      <w:r>
        <w:rPr>
          <w:rFonts w:ascii="Arial" w:cs="Arial" w:eastAsia="Arial" w:hAnsi="Arial"/>
          <w:b/>
          <w:bCs/>
          <w:color w:val="1A1410"/>
          <w:sz w:val="22"/>
          <w:szCs w:val="22"/>
        </w:rPr>
        <w:t xml:space="preserve">86% terminated — 5,341 contracts representing $75.9B in program value</w:t>
      </w:r>
      <w:r>
        <w:rPr>
          <w:rFonts w:ascii="Arial" w:cs="Arial" w:eastAsia="Arial" w:hAnsi="Arial"/>
          <w:color w:val="1A1410"/>
          <w:sz w:val="22"/>
          <w:szCs w:val="22"/>
        </w:rPr>
        <w:t xml:space="preserve"> (Reuters via Malay Mail, 2025).</w:t>
      </w:r>
    </w:p>
    <w:p>
      <w:pPr>
        <w:spacing w:after="80" w:before="60" w:line="300"/>
        <w:jc w:val="left"/>
      </w:pPr>
      <w:r>
        <w:rPr>
          <w:rFonts w:ascii="Arial" w:cs="Arial" w:eastAsia="Arial" w:hAnsi="Arial"/>
          <w:b/>
          <w:bCs/>
          <w:color w:val="1A1410"/>
          <w:sz w:val="22"/>
          <w:szCs w:val="22"/>
        </w:rPr>
        <w:t xml:space="preserve">OECD reported a historic decline in global ODA. </w:t>
      </w:r>
      <w:r>
        <w:rPr>
          <w:rFonts w:ascii="Arial" w:cs="Arial" w:eastAsia="Arial" w:hAnsi="Arial"/>
          <w:color w:val="1A1410"/>
          <w:sz w:val="22"/>
          <w:szCs w:val="22"/>
        </w:rPr>
        <w:t xml:space="preserve">Total 2025 ODA from DAC donors was USD 174.3B — down </w:t>
      </w:r>
      <w:r>
        <w:rPr>
          <w:rFonts w:ascii="Arial" w:cs="Arial" w:eastAsia="Arial" w:hAnsi="Arial"/>
          <w:b/>
          <w:bCs/>
          <w:color w:val="1A1410"/>
          <w:sz w:val="22"/>
          <w:szCs w:val="22"/>
        </w:rPr>
        <w:t xml:space="preserve">23.1% in real terms versus 2024</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the largest annual decline ever recorded</w:t>
      </w:r>
      <w:r>
        <w:rPr>
          <w:rFonts w:ascii="Arial" w:cs="Arial" w:eastAsia="Arial" w:hAnsi="Arial"/>
          <w:color w:val="1A1410"/>
          <w:sz w:val="22"/>
          <w:szCs w:val="22"/>
        </w:rPr>
        <w:t xml:space="preserve">. ODA/GNI fell from 0.34% to 0.26%. Germany overtook the United States as the largest DAC donor at $29.1B vs $29.0B (OECD, April 2026).</w:t>
      </w:r>
    </w:p>
    <w:p>
      <w:pPr>
        <w:spacing w:after="60" w:before="220"/>
      </w:pPr>
      <w:r>
        <w:rPr>
          <w:rFonts w:ascii="Arial" w:cs="Arial" w:eastAsia="Arial" w:hAnsi="Arial"/>
          <w:b/>
          <w:bCs/>
          <w:color w:val="F97316"/>
          <w:spacing w:val="30"/>
          <w:sz w:val="18"/>
          <w:szCs w:val="18"/>
        </w:rPr>
        <w:t xml:space="preserve">TREND 2 — BILATERAL BUDGETS ACROSS MAJOR DONORS</w:t>
      </w:r>
    </w:p>
    <w:p>
      <w:pPr>
        <w:pStyle w:val="Heading3"/>
        <w:spacing w:after="100" w:before="220"/>
      </w:pPr>
      <w:r>
        <w:rPr>
          <w:rFonts w:ascii="Arial" w:cs="Arial" w:eastAsia="Arial" w:hAnsi="Arial"/>
          <w:b/>
          <w:bCs/>
          <w:color w:val="1A1410"/>
          <w:sz w:val="24"/>
          <w:szCs w:val="24"/>
        </w:rPr>
        <w:t xml:space="preserve">Cuts are systemic, not limited to USAID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Donor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Cut announced</w:t>
            </w:r>
          </w:p>
        </w:tc>
        <w:tc>
          <w:tcPr>
            <w:tcW w:type="dxa" w:w="4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UK FCDO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from 0.5% to 0.3% GNI by 2027/28; program ODA £9.3B → £6.2B (-33%); Africa bilateral -56% by FY28/29</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House of Commons Library CBP-10243; Bond, March 2026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Germany BMZ</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2025 budget €10.3B (~8% cut); multilateral cooperation -15%</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Tracker,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Sweden Sida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ODA SEK 56B → SEK 53B (2026–28); Sida operational -18%; Africa allocation -57% (2021→2026)</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Devex, Dec 2024; Donor Tracker</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Norway Norad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Roughly flat in NOK; ~5% real-terms decline</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Norad, 2025</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Australia DFAT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 5.097B 2025–26; +2.7% nominal, small real-terms decline</w:t>
            </w:r>
          </w:p>
        </w:tc>
        <w:tc>
          <w:tcPr>
            <w:tcW w:type="dxa" w:w="4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DFAT Budget Summary 2025–26</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Canada GAC</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CAD 2.7B cut over 4 years; ODA CAD 9.9B → 6.1B (-38%) by FY28/29</w:t>
            </w:r>
          </w:p>
        </w:tc>
        <w:tc>
          <w:tcPr>
            <w:tcW w:type="dxa" w:w="4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CBC News, 2025</w:t>
            </w:r>
          </w:p>
        </w:tc>
      </w:tr>
    </w:tbl>
    <w:p>
      <w:pPr>
        <w:spacing w:after="60" w:before="220"/>
      </w:pPr>
      <w:r>
        <w:rPr>
          <w:rFonts w:ascii="Arial" w:cs="Arial" w:eastAsia="Arial" w:hAnsi="Arial"/>
          <w:b/>
          <w:bCs/>
          <w:color w:val="F97316"/>
          <w:spacing w:val="30"/>
          <w:sz w:val="18"/>
          <w:szCs w:val="18"/>
        </w:rPr>
        <w:t xml:space="preserve">TREND 3 — LOCALIZATION IS FAILING</w:t>
      </w:r>
    </w:p>
    <w:p>
      <w:pPr>
        <w:pStyle w:val="Heading3"/>
        <w:spacing w:after="100" w:before="220"/>
      </w:pPr>
      <w:r>
        <w:rPr>
          <w:rFonts w:ascii="Arial" w:cs="Arial" w:eastAsia="Arial" w:hAnsi="Arial"/>
          <w:b/>
          <w:bCs/>
          <w:color w:val="1A1410"/>
          <w:sz w:val="24"/>
          <w:szCs w:val="24"/>
        </w:rPr>
        <w:t xml:space="preserve">Stuck at 7.5% (direct + indirect) after a decade of pledges</w:t>
      </w:r>
    </w:p>
    <w:p>
      <w:pPr>
        <w:spacing w:after="80" w:before="60" w:line="300"/>
        <w:jc w:val="left"/>
      </w:pPr>
      <w:r>
        <w:rPr>
          <w:rFonts w:ascii="Arial" w:cs="Arial" w:eastAsia="Arial" w:hAnsi="Arial"/>
          <w:color w:val="1A1410"/>
          <w:sz w:val="22"/>
          <w:szCs w:val="22"/>
        </w:rPr>
        <w:t xml:space="preserve">The most recent authoritative measure: </w:t>
      </w:r>
      <w:r>
        <w:rPr>
          <w:rFonts w:ascii="Arial" w:cs="Arial" w:eastAsia="Arial" w:hAnsi="Arial"/>
          <w:b/>
          <w:bCs/>
          <w:color w:val="1A1410"/>
          <w:sz w:val="22"/>
          <w:szCs w:val="22"/>
        </w:rPr>
        <w:t xml:space="preserve">total funding (direct + indirect) reaching local and national actors fell to 7.5% in 2024</w:t>
      </w:r>
      <w:r>
        <w:rPr>
          <w:rFonts w:ascii="Arial" w:cs="Arial" w:eastAsia="Arial" w:hAnsi="Arial"/>
          <w:color w:val="1A1410"/>
          <w:sz w:val="22"/>
          <w:szCs w:val="22"/>
        </w:rPr>
        <w:t xml:space="preserve"> — characterised by the ALNAP team as "stagnation and reversal" (ALNAP Global Humanitarian Assistance Report 2025). Direct-only measures are lower still: roughly </w:t>
      </w:r>
      <w:r>
        <w:rPr>
          <w:rFonts w:ascii="Arial" w:cs="Arial" w:eastAsia="Arial" w:hAnsi="Arial"/>
          <w:b/>
          <w:bCs/>
          <w:color w:val="1A1410"/>
          <w:sz w:val="22"/>
          <w:szCs w:val="22"/>
        </w:rPr>
        <w:t xml:space="preserve">3.1% across all donors</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0.6% from Grand Bargain signatory donors specifically</w:t>
      </w:r>
      <w:r>
        <w:rPr>
          <w:rFonts w:ascii="Arial" w:cs="Arial" w:eastAsia="Arial" w:hAnsi="Arial"/>
          <w:color w:val="1A1410"/>
          <w:sz w:val="22"/>
          <w:szCs w:val="22"/>
        </w:rPr>
        <w:t xml:space="preserve"> (ReliefWeb; IASC Grand Bargain Workstream). The Development Initiatives narrower frame puts direct-only funding at </w:t>
      </w:r>
      <w:r>
        <w:rPr>
          <w:rFonts w:ascii="Arial" w:cs="Arial" w:eastAsia="Arial" w:hAnsi="Arial"/>
          <w:b/>
          <w:bCs/>
          <w:color w:val="1A1410"/>
          <w:sz w:val="22"/>
          <w:szCs w:val="22"/>
        </w:rPr>
        <w:t xml:space="preserve">3.8% in 2024</w:t>
      </w:r>
      <w:r>
        <w:rPr>
          <w:rFonts w:ascii="Arial" w:cs="Arial" w:eastAsia="Arial" w:hAnsi="Arial"/>
          <w:color w:val="1A1410"/>
          <w:sz w:val="22"/>
          <w:szCs w:val="22"/>
        </w:rPr>
        <w:t xml:space="preserve">, declining roughly one-third versus the prior year. All four figures sit far below the 25% Grand Bargain target signed in 2016. The diagnosis is no longer "more political will" — it is "infrastructure local actors can actually use, that donors will actually trust." The bright spot: OCHA Country-Based Pooled Funds, where local NGO share rose from 22.8% (2016) to </w:t>
      </w:r>
      <w:r>
        <w:rPr>
          <w:rFonts w:ascii="Arial" w:cs="Arial" w:eastAsia="Arial" w:hAnsi="Arial"/>
          <w:b/>
          <w:bCs/>
          <w:color w:val="1A1410"/>
          <w:sz w:val="22"/>
          <w:szCs w:val="22"/>
        </w:rPr>
        <w:t xml:space="preserve">34% (2021)</w:t>
      </w:r>
      <w:r>
        <w:rPr>
          <w:rFonts w:ascii="Arial" w:cs="Arial" w:eastAsia="Arial" w:hAnsi="Arial"/>
          <w:color w:val="1A1410"/>
          <w:sz w:val="22"/>
          <w:szCs w:val="22"/>
        </w:rPr>
        <w:t xml:space="preserve"> — proof that the gap is operational, not aspirational.</w:t>
      </w:r>
    </w:p>
    <w:p>
      <w:pPr>
        <w:spacing w:after="60" w:before="220"/>
      </w:pPr>
      <w:r>
        <w:rPr>
          <w:rFonts w:ascii="Arial" w:cs="Arial" w:eastAsia="Arial" w:hAnsi="Arial"/>
          <w:b/>
          <w:bCs/>
          <w:color w:val="F97316"/>
          <w:spacing w:val="30"/>
          <w:sz w:val="18"/>
          <w:szCs w:val="18"/>
        </w:rPr>
        <w:t xml:space="preserve">TREND 4 — FOUNDATIONS PIVOT TOWARD DIRECT AND UNRESTRICTED</w:t>
      </w:r>
    </w:p>
    <w:p>
      <w:pPr>
        <w:pStyle w:val="Heading3"/>
        <w:spacing w:after="100" w:before="220"/>
      </w:pPr>
      <w:r>
        <w:rPr>
          <w:rFonts w:ascii="Arial" w:cs="Arial" w:eastAsia="Arial" w:hAnsi="Arial"/>
          <w:b/>
          <w:bCs/>
          <w:color w:val="1A1410"/>
          <w:sz w:val="24"/>
          <w:szCs w:val="24"/>
        </w:rPr>
        <w:t xml:space="preserve">Trust-based philanthropy is no longer a niche</w:t>
      </w:r>
    </w:p>
    <w:p>
      <w:pPr>
        <w:spacing w:after="80" w:before="60" w:line="300"/>
        <w:jc w:val="left"/>
      </w:pPr>
      <w:r>
        <w:rPr>
          <w:rFonts w:ascii="Arial" w:cs="Arial" w:eastAsia="Arial" w:hAnsi="Arial"/>
          <w:color w:val="1A1410"/>
          <w:sz w:val="22"/>
          <w:szCs w:val="22"/>
        </w:rPr>
        <w:t xml:space="preserve">OECD reports that private philanthropy to developing countries totalled </w:t>
      </w:r>
      <w:r>
        <w:rPr>
          <w:rFonts w:ascii="Arial" w:cs="Arial" w:eastAsia="Arial" w:hAnsi="Arial"/>
          <w:b/>
          <w:bCs/>
          <w:color w:val="1A1410"/>
          <w:sz w:val="22"/>
          <w:szCs w:val="22"/>
        </w:rPr>
        <w:t xml:space="preserve">USD 68.2B over 2020–2023</w:t>
      </w:r>
      <w:r>
        <w:rPr>
          <w:rFonts w:ascii="Arial" w:cs="Arial" w:eastAsia="Arial" w:hAnsi="Arial"/>
          <w:color w:val="1A1410"/>
          <w:sz w:val="22"/>
          <w:szCs w:val="22"/>
        </w:rPr>
        <w:t xml:space="preserve"> (~$17B per year average), of which $52.8B was cross-border. Only </w:t>
      </w:r>
      <w:r>
        <w:rPr>
          <w:rFonts w:ascii="Arial" w:cs="Arial" w:eastAsia="Arial" w:hAnsi="Arial"/>
          <w:b/>
          <w:bCs/>
          <w:color w:val="1A1410"/>
          <w:sz w:val="22"/>
          <w:szCs w:val="22"/>
        </w:rPr>
        <w:t xml:space="preserve">11% — approximately $5B over the period — reached local entities directly</w:t>
      </w:r>
      <w:r>
        <w:rPr>
          <w:rFonts w:ascii="Arial" w:cs="Arial" w:eastAsia="Arial" w:hAnsi="Arial"/>
          <w:color w:val="1A1410"/>
          <w:sz w:val="22"/>
          <w:szCs w:val="22"/>
        </w:rPr>
        <w:t xml:space="preserve"> (OECD Private Philanthropy for Development, 3rd Edition, Dec 2025). Major trust-based funders include:</w:t>
      </w:r>
    </w:p>
    <w:p>
      <w:pPr>
        <w:pStyle w:val="ListParagraph"/>
        <w:numPr>
          <w:ilvl w:val="0"/>
          <w:numId w:val="2"/>
        </w:numPr>
        <w:spacing w:after="60" w:before="30" w:line="280"/>
      </w:pPr>
      <w:r>
        <w:rPr>
          <w:rFonts w:ascii="Arial" w:cs="Arial" w:eastAsia="Arial" w:hAnsi="Arial"/>
          <w:b/>
          <w:bCs/>
          <w:color w:val="1A1410"/>
          <w:sz w:val="22"/>
          <w:szCs w:val="22"/>
        </w:rPr>
        <w:t xml:space="preserve">MacKenzie Scott: </w:t>
      </w:r>
      <w:r>
        <w:rPr>
          <w:rFonts w:ascii="Arial" w:cs="Arial" w:eastAsia="Arial" w:hAnsi="Arial"/>
          <w:color w:val="1A1410"/>
          <w:sz w:val="22"/>
          <w:szCs w:val="22"/>
        </w:rPr>
        <w:t xml:space="preserve">$7.1B distributed in 2025 alone; cumulative giving exceeds $19B to 2,000+ nonprofits (CBS News, 2025; NonProfit Times).</w:t>
      </w:r>
    </w:p>
    <w:p>
      <w:pPr>
        <w:pStyle w:val="ListParagraph"/>
        <w:numPr>
          <w:ilvl w:val="0"/>
          <w:numId w:val="2"/>
        </w:numPr>
        <w:spacing w:after="60" w:before="30" w:line="280"/>
      </w:pPr>
      <w:r>
        <w:rPr>
          <w:rFonts w:ascii="Arial" w:cs="Arial" w:eastAsia="Arial" w:hAnsi="Arial"/>
          <w:b/>
          <w:bCs/>
          <w:color w:val="1A1410"/>
          <w:sz w:val="22"/>
          <w:szCs w:val="22"/>
        </w:rPr>
        <w:t xml:space="preserve">Ford Foundation BUILD: </w:t>
      </w:r>
      <w:r>
        <w:rPr>
          <w:rFonts w:ascii="Arial" w:cs="Arial" w:eastAsia="Arial" w:hAnsi="Arial"/>
          <w:color w:val="1A1410"/>
          <w:sz w:val="22"/>
          <w:szCs w:val="22"/>
        </w:rPr>
        <w:t xml:space="preserve">$1.6B across 600 grants in 45 countries to date; $2B planned over twelve years (Ford Foundation, 2024).</w:t>
      </w:r>
    </w:p>
    <w:p>
      <w:pPr>
        <w:pStyle w:val="ListParagraph"/>
        <w:numPr>
          <w:ilvl w:val="0"/>
          <w:numId w:val="2"/>
        </w:numPr>
        <w:spacing w:after="60" w:before="30" w:line="280"/>
      </w:pPr>
      <w:r>
        <w:rPr>
          <w:rFonts w:ascii="Arial" w:cs="Arial" w:eastAsia="Arial" w:hAnsi="Arial"/>
          <w:b/>
          <w:bCs/>
          <w:color w:val="1A1410"/>
          <w:sz w:val="22"/>
          <w:szCs w:val="22"/>
        </w:rPr>
        <w:t xml:space="preserve">IKEA Foundation: </w:t>
      </w:r>
      <w:r>
        <w:rPr>
          <w:rFonts w:ascii="Arial" w:cs="Arial" w:eastAsia="Arial" w:hAnsi="Arial"/>
          <w:color w:val="1A1410"/>
          <w:sz w:val="22"/>
          <w:szCs w:val="22"/>
        </w:rPr>
        <w:t xml:space="preserve">€349M paid out in 2024 — a record year; 44 new grants, 119 active partners (IKEA Foundation Annual Report 2024).</w:t>
      </w:r>
    </w:p>
    <w:p>
      <w:pPr>
        <w:pStyle w:val="ListParagraph"/>
        <w:numPr>
          <w:ilvl w:val="0"/>
          <w:numId w:val="2"/>
        </w:numPr>
        <w:spacing w:after="60" w:before="30" w:line="280"/>
      </w:pPr>
      <w:r>
        <w:rPr>
          <w:rFonts w:ascii="Arial" w:cs="Arial" w:eastAsia="Arial" w:hAnsi="Arial"/>
          <w:b/>
          <w:bCs/>
          <w:color w:val="1A1410"/>
          <w:sz w:val="22"/>
          <w:szCs w:val="22"/>
        </w:rPr>
        <w:t xml:space="preserve">Co-Impact: </w:t>
      </w:r>
      <w:r>
        <w:rPr>
          <w:rFonts w:ascii="Arial" w:cs="Arial" w:eastAsia="Arial" w:hAnsi="Arial"/>
          <w:color w:val="1A1410"/>
          <w:sz w:val="22"/>
          <w:szCs w:val="22"/>
        </w:rPr>
        <w:t xml:space="preserve">Foundational Fund launched in 2019 at $80M, co-funded by IKEA Foundation and MacKenzie Scott (Inside Philanthropy).</w:t>
      </w:r>
    </w:p>
    <w:p>
      <w:pPr>
        <w:spacing w:after="60" w:before="220"/>
      </w:pPr>
      <w:r>
        <w:rPr>
          <w:rFonts w:ascii="Arial" w:cs="Arial" w:eastAsia="Arial" w:hAnsi="Arial"/>
          <w:b/>
          <w:bCs/>
          <w:color w:val="F97316"/>
          <w:spacing w:val="30"/>
          <w:sz w:val="18"/>
          <w:szCs w:val="18"/>
        </w:rPr>
        <w:t xml:space="preserve">TREND 5 — AI IS THE ARCHITECTURAL OPPORTUNITY</w:t>
      </w:r>
    </w:p>
    <w:p>
      <w:pPr>
        <w:pStyle w:val="Heading3"/>
        <w:spacing w:after="100" w:before="220"/>
      </w:pPr>
      <w:r>
        <w:rPr>
          <w:rFonts w:ascii="Arial" w:cs="Arial" w:eastAsia="Arial" w:hAnsi="Arial"/>
          <w:b/>
          <w:bCs/>
          <w:color w:val="1A1410"/>
          <w:sz w:val="24"/>
          <w:szCs w:val="24"/>
        </w:rPr>
        <w:t xml:space="preserve">Adoption is universal. Impact is not.</w:t>
      </w:r>
    </w:p>
    <w:p>
      <w:pPr>
        <w:spacing w:after="80" w:before="60" w:line="300"/>
        <w:jc w:val="left"/>
      </w:pPr>
      <w:r>
        <w:rPr>
          <w:rFonts w:ascii="Arial" w:cs="Arial" w:eastAsia="Arial" w:hAnsi="Arial"/>
          <w:b/>
          <w:bCs/>
          <w:color w:val="1A1410"/>
          <w:sz w:val="22"/>
          <w:szCs w:val="22"/>
        </w:rPr>
        <w:t xml:space="preserve">92% of nonprofits report using AI tools</w:t>
      </w:r>
      <w:r>
        <w:rPr>
          <w:rFonts w:ascii="Arial" w:cs="Arial" w:eastAsia="Arial" w:hAnsi="Arial"/>
          <w:color w:val="1A1410"/>
          <w:sz w:val="22"/>
          <w:szCs w:val="22"/>
        </w:rPr>
        <w:t xml:space="preserve"> in some capacity — but </w:t>
      </w:r>
      <w:r>
        <w:rPr>
          <w:rFonts w:ascii="Arial" w:cs="Arial" w:eastAsia="Arial" w:hAnsi="Arial"/>
          <w:b/>
          <w:bCs/>
          <w:color w:val="1A1410"/>
          <w:sz w:val="22"/>
          <w:szCs w:val="22"/>
        </w:rPr>
        <w:t xml:space="preserve">only 7% report major organizational impact</w:t>
      </w:r>
      <w:r>
        <w:rPr>
          <w:rFonts w:ascii="Arial" w:cs="Arial" w:eastAsia="Arial" w:hAnsi="Arial"/>
          <w:color w:val="1A1410"/>
          <w:sz w:val="22"/>
          <w:szCs w:val="22"/>
        </w:rPr>
        <w:t xml:space="preserve"> (Virtuous + Fundraising.AI, 2026 Nonprofit AI Adoption Report). This is the strongest case for an AI-native challenger: the incumbents have ticked the AI feature box without re-architecting their workflows.</w:t>
      </w:r>
    </w:p>
    <w:p>
      <w:pPr>
        <w:spacing w:after="80" w:before="60" w:line="300"/>
        <w:jc w:val="left"/>
      </w:pPr>
      <w:r>
        <w:rPr>
          <w:rFonts w:ascii="Arial" w:cs="Arial" w:eastAsia="Arial" w:hAnsi="Arial"/>
          <w:b/>
          <w:bCs/>
          <w:color w:val="1A1410"/>
          <w:sz w:val="22"/>
          <w:szCs w:val="22"/>
        </w:rPr>
        <w:t xml:space="preserve">On the grantmaker side, AI use is even less mature. </w:t>
      </w:r>
      <w:r>
        <w:rPr>
          <w:rFonts w:ascii="Arial" w:cs="Arial" w:eastAsia="Arial" w:hAnsi="Arial"/>
          <w:color w:val="1A1410"/>
          <w:sz w:val="22"/>
          <w:szCs w:val="22"/>
        </w:rPr>
        <w:t xml:space="preserve">97% of foundations are NOT currently using generative AI to screen grant applications, and only 1 in 10 funders say they would accept AI-generated proposal content (Candid, 2024). </w:t>
      </w:r>
      <w:r>
        <w:rPr>
          <w:rFonts w:ascii="Arial" w:cs="Arial" w:eastAsia="Arial" w:hAnsi="Arial"/>
          <w:b/>
          <w:bCs/>
          <w:color w:val="1A1410"/>
          <w:sz w:val="22"/>
          <w:szCs w:val="22"/>
        </w:rPr>
        <w:t xml:space="preserve">AI-assisted grant review is a 2026–2028 wave, not current practice.</w:t>
      </w:r>
    </w:p>
    <w:p>
      <w:pPr>
        <w:spacing w:after="80" w:before="60" w:line="300"/>
        <w:jc w:val="left"/>
      </w:pPr>
      <w:r>
        <w:rPr>
          <w:rFonts w:ascii="Arial" w:cs="Arial" w:eastAsia="Arial" w:hAnsi="Arial"/>
          <w:color w:val="1A1410"/>
          <w:sz w:val="22"/>
          <w:szCs w:val="22"/>
        </w:rPr>
        <w:t xml:space="preserve">Two governance tailwinds reinforce the AI-native opportunity:</w:t>
      </w:r>
    </w:p>
    <w:p>
      <w:pPr>
        <w:pStyle w:val="ListParagraph"/>
        <w:numPr>
          <w:ilvl w:val="0"/>
          <w:numId w:val="2"/>
        </w:numPr>
        <w:spacing w:after="60" w:before="30" w:line="280"/>
      </w:pPr>
      <w:r>
        <w:rPr>
          <w:rFonts w:ascii="Arial" w:cs="Arial" w:eastAsia="Arial" w:hAnsi="Arial"/>
          <w:b/>
          <w:bCs/>
          <w:color w:val="1A1410"/>
          <w:sz w:val="22"/>
          <w:szCs w:val="22"/>
        </w:rPr>
        <w:t xml:space="preserve">Humanity AI: </w:t>
      </w:r>
      <w:r>
        <w:rPr>
          <w:rFonts w:ascii="Arial" w:cs="Arial" w:eastAsia="Arial" w:hAnsi="Arial"/>
          <w:color w:val="1A1410"/>
          <w:sz w:val="22"/>
          <w:szCs w:val="22"/>
        </w:rPr>
        <w:t xml:space="preserve">Ford Foundation, MacArthur, and 8 other major funders launched a $500M / 5-year initiative in October 2025 to ensure AI advances the public interest (Ford Foundation, 2025).</w:t>
      </w:r>
    </w:p>
    <w:p>
      <w:pPr>
        <w:pStyle w:val="ListParagraph"/>
        <w:numPr>
          <w:ilvl w:val="0"/>
          <w:numId w:val="2"/>
        </w:numPr>
        <w:spacing w:after="60" w:before="30" w:line="280"/>
      </w:pPr>
      <w:r>
        <w:rPr>
          <w:rFonts w:ascii="Arial" w:cs="Arial" w:eastAsia="Arial" w:hAnsi="Arial"/>
          <w:b/>
          <w:bCs/>
          <w:color w:val="1A1410"/>
          <w:sz w:val="22"/>
          <w:szCs w:val="22"/>
        </w:rPr>
        <w:t xml:space="preserve">Gates Foundation AI Principles: </w:t>
      </w:r>
      <w:r>
        <w:rPr>
          <w:rFonts w:ascii="Arial" w:cs="Arial" w:eastAsia="Arial" w:hAnsi="Arial"/>
          <w:color w:val="1A1410"/>
          <w:sz w:val="22"/>
          <w:szCs w:val="22"/>
        </w:rPr>
        <w:t xml:space="preserve">Published explicit Principles for Development on equity, transparency, and safety; signed a $200M / 4-year partnership with Anthropic (Gates Foundation, 2026).</w:t>
      </w:r>
    </w:p>
    <w:p>
      <w:pPr>
        <w:spacing w:after="80" w:before="60" w:line="300"/>
        <w:jc w:val="left"/>
      </w:pPr>
      <w:r>
        <w:rPr>
          <w:rFonts w:ascii="Arial" w:cs="Arial" w:eastAsia="Arial" w:hAnsi="Arial"/>
          <w:color w:val="1A1410"/>
          <w:sz w:val="22"/>
          <w:szCs w:val="22"/>
        </w:rPr>
        <w:t xml:space="preserve">Donors are increasingly demanding grounded, auditable, citation-bearing AI outputs. Legacy NGO software vendors — Submittable, Salesforce Einstein Nonprofit Cloud, Bonterra — are bolting AI onto rigid data models. None ship a per-claim provenance layer.</w:t>
      </w:r>
    </w:p>
    <w:p>
      <w:pPr>
        <w:spacing w:after="60" w:before="220"/>
      </w:pPr>
      <w:r>
        <w:rPr>
          <w:rFonts w:ascii="Arial" w:cs="Arial" w:eastAsia="Arial" w:hAnsi="Arial"/>
          <w:b/>
          <w:bCs/>
          <w:color w:val="F97316"/>
          <w:spacing w:val="30"/>
          <w:sz w:val="18"/>
          <w:szCs w:val="18"/>
        </w:rPr>
        <w:t xml:space="preserve">TREND 6 — MULTILINGUAL AI GAP IN GLOBAL SOUTH LANGUAGES</w:t>
      </w:r>
    </w:p>
    <w:p>
      <w:pPr>
        <w:pStyle w:val="Heading3"/>
        <w:spacing w:after="100" w:before="220"/>
      </w:pPr>
      <w:r>
        <w:rPr>
          <w:rFonts w:ascii="Arial" w:cs="Arial" w:eastAsia="Arial" w:hAnsi="Arial"/>
          <w:b/>
          <w:bCs/>
          <w:color w:val="1A1410"/>
          <w:sz w:val="24"/>
          <w:szCs w:val="24"/>
        </w:rPr>
        <w:t xml:space="preserve">Mainstream LLMs do not yet serve the markets Kuja serves</w:t>
      </w:r>
    </w:p>
    <w:p>
      <w:pPr>
        <w:spacing w:after="80" w:before="60" w:line="300"/>
        <w:jc w:val="left"/>
      </w:pPr>
      <w:r>
        <w:rPr>
          <w:rFonts w:ascii="Arial" w:cs="Arial" w:eastAsia="Arial" w:hAnsi="Arial"/>
          <w:b/>
          <w:bCs/>
          <w:color w:val="1A1410"/>
          <w:sz w:val="22"/>
          <w:szCs w:val="22"/>
        </w:rPr>
        <w:t xml:space="preserve">More than 98% of African languages remain unsupported by mainstream LLMs</w:t>
      </w:r>
      <w:r>
        <w:rPr>
          <w:rFonts w:ascii="Arial" w:cs="Arial" w:eastAsia="Arial" w:hAnsi="Arial"/>
          <w:color w:val="1A1410"/>
          <w:sz w:val="22"/>
          <w:szCs w:val="22"/>
        </w:rPr>
        <w:t xml:space="preserve"> (Where Are We? Evaluating LLM Performance on African Languages, arXiv:2502.19582). OpenAI Whisper was trained on ~680,000 hours of audio across 96 languages — but </w:t>
      </w:r>
      <w:r>
        <w:rPr>
          <w:rFonts w:ascii="Arial" w:cs="Arial" w:eastAsia="Arial" w:hAnsi="Arial"/>
          <w:b/>
          <w:bCs/>
          <w:color w:val="1A1410"/>
          <w:sz w:val="22"/>
          <w:szCs w:val="22"/>
        </w:rPr>
        <w:t xml:space="preserve">Yoruba and Hausa together received fewer than 600 hours</w:t>
      </w:r>
      <w:r>
        <w:rPr>
          <w:rFonts w:ascii="Arial" w:cs="Arial" w:eastAsia="Arial" w:hAnsi="Arial"/>
          <w:color w:val="1A1410"/>
          <w:sz w:val="22"/>
          <w:szCs w:val="22"/>
        </w:rPr>
        <w:t xml:space="preserve"> of training data, with word error rates dropping sharply on most African languages (Benchmarking ASR for African Languages, arXiv:2512.10968).</w:t>
      </w:r>
    </w:p>
    <w:p>
      <w:pPr>
        <w:spacing w:after="80" w:before="60" w:line="300"/>
        <w:jc w:val="left"/>
      </w:pPr>
      <w:r>
        <w:rPr>
          <w:rFonts w:ascii="Arial" w:cs="Arial" w:eastAsia="Arial" w:hAnsi="Arial"/>
          <w:color w:val="1A1410"/>
          <w:sz w:val="22"/>
          <w:szCs w:val="22"/>
        </w:rPr>
        <w:t xml:space="preserve">Auditing studies further show that LLMs assign </w:t>
      </w:r>
      <w:r>
        <w:rPr>
          <w:rFonts w:ascii="Arial" w:cs="Arial" w:eastAsia="Arial" w:hAnsi="Arial"/>
          <w:b/>
          <w:bCs/>
          <w:color w:val="1A1410"/>
          <w:sz w:val="22"/>
          <w:szCs w:val="22"/>
        </w:rPr>
        <w:t xml:space="preserve">systematically lower scores to non-Western entities</w:t>
      </w:r>
      <w:r>
        <w:rPr>
          <w:rFonts w:ascii="Arial" w:cs="Arial" w:eastAsia="Arial" w:hAnsi="Arial"/>
          <w:color w:val="1A1410"/>
          <w:sz w:val="22"/>
          <w:szCs w:val="22"/>
        </w:rPr>
        <w:t xml:space="preserve"> — transcripts from Indian institutions scored consistently lower than UK ones across multiple dimensions (Invisible Filters, AIES 2025).</w:t>
      </w:r>
    </w:p>
    <w:p>
      <w:pPr>
        <w:spacing w:after="80" w:before="60" w:line="300"/>
        <w:jc w:val="left"/>
      </w:pPr>
      <w:r>
        <w:rPr>
          <w:rFonts w:ascii="Arial" w:cs="Arial" w:eastAsia="Arial" w:hAnsi="Arial"/>
          <w:color w:val="1A1410"/>
          <w:sz w:val="22"/>
          <w:szCs w:val="22"/>
        </w:rPr>
        <w:t xml:space="preserve">Kuja's six-language platform parity (EN, FR, AR, SW, SO, ES), OpenAI Whisper fallback for Somali and Swahili, and grounded-with-citation AI architecture were designed for exactly this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color w:val="1A1410"/>
                <w:sz w:val="22"/>
                <w:szCs w:val="22"/>
              </w:rPr>
              <w:t xml:space="preserve">Net: </w:t>
            </w:r>
            <w:r>
              <w:rPr>
                <w:rFonts w:ascii="Arial" w:cs="Arial" w:eastAsia="Arial" w:hAnsi="Arial"/>
                <w:b/>
                <w:bCs/>
                <w:color w:val="C2410C"/>
                <w:sz w:val="22"/>
                <w:szCs w:val="22"/>
              </w:rPr>
              <w:t xml:space="preserve">The sector is moving toward locally-led, network-governed, AI-augmented, trust-based funding.</w:t>
            </w:r>
            <w:r>
              <w:rPr>
                <w:rFonts w:ascii="Arial" w:cs="Arial" w:eastAsia="Arial" w:hAnsi="Arial"/>
                <w:color w:val="1A1410"/>
                <w:sz w:val="22"/>
                <w:szCs w:val="22"/>
              </w:rPr>
              <w:t xml:space="preserve"> The funding shock is the largest in modern history. The technology gap is widest where Kuja has shipped. Every other vendor is one or two architectural rebuilds away from competing.</w:t>
            </w:r>
          </w:p>
        </w:tc>
      </w:tr>
    </w:tbl>
    <w:p>
      <w:pPr>
        <w:pStyle w:val="Heading1"/>
        <w:pageBreakBefore/>
        <w:spacing w:after="200" w:before="320"/>
      </w:pPr>
      <w:r>
        <w:rPr>
          <w:rFonts w:ascii="Arial" w:cs="Arial" w:eastAsia="Arial" w:hAnsi="Arial"/>
          <w:b/>
          <w:bCs/>
          <w:color w:val="C2410C"/>
          <w:sz w:val="36"/>
          <w:szCs w:val="36"/>
        </w:rPr>
        <w:t xml:space="preserve">3. Vision, Mission, and Values</w:t>
      </w:r>
    </w:p>
    <w:p>
      <w:pPr>
        <w:pStyle w:val="Heading3"/>
        <w:spacing w:after="100" w:before="220"/>
      </w:pPr>
      <w:r>
        <w:rPr>
          <w:rFonts w:ascii="Arial" w:cs="Arial" w:eastAsia="Arial" w:hAnsi="Arial"/>
          <w:b/>
          <w:bCs/>
          <w:color w:val="1A1410"/>
          <w:sz w:val="24"/>
          <w:szCs w:val="24"/>
        </w:rPr>
        <w:t xml:space="preserve">Vision</w:t>
      </w:r>
    </w:p>
    <w:p>
      <w:pPr>
        <w:spacing w:after="80" w:before="60" w:line="300"/>
        <w:jc w:val="left"/>
      </w:pPr>
      <w:r>
        <w:rPr>
          <w:rFonts w:ascii="Arial" w:cs="Arial" w:eastAsia="Arial" w:hAnsi="Arial"/>
          <w:i/>
          <w:iCs/>
          <w:color w:val="7C2D12"/>
          <w:sz w:val="24"/>
          <w:szCs w:val="24"/>
        </w:rPr>
        <w:t xml:space="preserve">A world in which local organizations in the Global South are findable, trusted, and fully resourced to lead sustainable change in their communities.</w:t>
      </w:r>
    </w:p>
    <w:p>
      <w:pPr>
        <w:pStyle w:val="Heading3"/>
        <w:spacing w:after="100" w:before="220"/>
      </w:pPr>
      <w:r>
        <w:rPr>
          <w:rFonts w:ascii="Arial" w:cs="Arial" w:eastAsia="Arial" w:hAnsi="Arial"/>
          <w:b/>
          <w:bCs/>
          <w:color w:val="1A1410"/>
          <w:sz w:val="24"/>
          <w:szCs w:val="24"/>
        </w:rPr>
        <w:t xml:space="preserve">Mission</w:t>
      </w:r>
    </w:p>
    <w:p>
      <w:pPr>
        <w:spacing w:after="80" w:before="60" w:line="300"/>
        <w:jc w:val="left"/>
      </w:pPr>
      <w:r>
        <w:rPr>
          <w:rFonts w:ascii="Arial" w:cs="Arial" w:eastAsia="Arial" w:hAnsi="Arial"/>
          <w:i/>
          <w:iCs/>
          <w:color w:val="7C2D12"/>
          <w:sz w:val="24"/>
          <w:szCs w:val="24"/>
        </w:rPr>
        <w:t xml:space="preserve">Kuja equips and connects changemakers in the Global South — and the donors who fund them — with the infrastructure to do locally-led funding at network speed.</w:t>
      </w:r>
    </w:p>
    <w:p>
      <w:pPr>
        <w:pStyle w:val="Heading3"/>
        <w:spacing w:after="100" w:before="220"/>
      </w:pPr>
      <w:r>
        <w:rPr>
          <w:rFonts w:ascii="Arial" w:cs="Arial" w:eastAsia="Arial" w:hAnsi="Arial"/>
          <w:b/>
          <w:bCs/>
          <w:color w:val="1A1410"/>
          <w:sz w:val="24"/>
          <w:szCs w:val="24"/>
        </w:rPr>
        <w:t xml:space="preserve">Operating Principles</w:t>
      </w:r>
    </w:p>
    <w:p>
      <w:pPr>
        <w:pStyle w:val="ListParagraph"/>
        <w:numPr>
          <w:ilvl w:val="0"/>
          <w:numId w:val="2"/>
        </w:numPr>
        <w:spacing w:after="60" w:before="30" w:line="280"/>
      </w:pPr>
      <w:r>
        <w:rPr>
          <w:rFonts w:ascii="Arial" w:cs="Arial" w:eastAsia="Arial" w:hAnsi="Arial"/>
          <w:b/>
          <w:bCs/>
          <w:color w:val="1A1410"/>
          <w:sz w:val="22"/>
          <w:szCs w:val="22"/>
        </w:rPr>
        <w:t xml:space="preserve">Built BY the Global South, FOR the Global South. </w:t>
      </w:r>
      <w:r>
        <w:rPr>
          <w:rFonts w:ascii="Arial" w:cs="Arial" w:eastAsia="Arial" w:hAnsi="Arial"/>
          <w:color w:val="1A1410"/>
          <w:sz w:val="22"/>
          <w:szCs w:val="22"/>
        </w:rPr>
        <w:t xml:space="preserve">Six languages at platform parity (EN, FR, AR, SW, SO, ES). Mobile-first. Low-bandwidth optimised. Voice and photo evidence as primary input modalities for languages mainstream LLMs do not fully support.</w:t>
      </w:r>
    </w:p>
    <w:p>
      <w:pPr>
        <w:pStyle w:val="ListParagraph"/>
        <w:numPr>
          <w:ilvl w:val="0"/>
          <w:numId w:val="2"/>
        </w:numPr>
        <w:spacing w:after="60" w:before="30" w:line="280"/>
      </w:pPr>
      <w:r>
        <w:rPr>
          <w:rFonts w:ascii="Arial" w:cs="Arial" w:eastAsia="Arial" w:hAnsi="Arial"/>
          <w:b/>
          <w:bCs/>
          <w:color w:val="1A1410"/>
          <w:sz w:val="22"/>
          <w:szCs w:val="22"/>
        </w:rPr>
        <w:t xml:space="preserve">Trust is the product. </w:t>
      </w:r>
      <w:r>
        <w:rPr>
          <w:rFonts w:ascii="Arial" w:cs="Arial" w:eastAsia="Arial" w:hAnsi="Arial"/>
          <w:color w:val="1A1410"/>
          <w:sz w:val="22"/>
          <w:szCs w:val="22"/>
        </w:rPr>
        <w:t xml:space="preserve">A Trust Profile per organization — identity, registration, sanctions, adverse media, bank verification, conflict-of-interest, capacity — travels with the NGO across every donor, every grant, every audit.</w:t>
      </w:r>
    </w:p>
    <w:p>
      <w:pPr>
        <w:pStyle w:val="ListParagraph"/>
        <w:numPr>
          <w:ilvl w:val="0"/>
          <w:numId w:val="2"/>
        </w:numPr>
        <w:spacing w:after="60" w:before="30" w:line="280"/>
      </w:pPr>
      <w:r>
        <w:rPr>
          <w:rFonts w:ascii="Arial" w:cs="Arial" w:eastAsia="Arial" w:hAnsi="Arial"/>
          <w:b/>
          <w:bCs/>
          <w:color w:val="1A1410"/>
          <w:sz w:val="22"/>
          <w:szCs w:val="22"/>
        </w:rPr>
        <w:t xml:space="preserve">AI is the architecture, not a chatbot. </w:t>
      </w:r>
      <w:r>
        <w:rPr>
          <w:rFonts w:ascii="Arial" w:cs="Arial" w:eastAsia="Arial" w:hAnsi="Arial"/>
          <w:color w:val="1A1410"/>
          <w:sz w:val="22"/>
          <w:szCs w:val="22"/>
        </w:rPr>
        <w:t xml:space="preserve">Grounded, tenant-specific, action-oriented, fallback-aware, telemetered. Every output cites its source. Every workflow has a manual path.</w:t>
      </w:r>
    </w:p>
    <w:p>
      <w:pPr>
        <w:pStyle w:val="ListParagraph"/>
        <w:numPr>
          <w:ilvl w:val="0"/>
          <w:numId w:val="2"/>
        </w:numPr>
        <w:spacing w:after="60" w:before="30" w:line="280"/>
      </w:pPr>
      <w:r>
        <w:rPr>
          <w:rFonts w:ascii="Arial" w:cs="Arial" w:eastAsia="Arial" w:hAnsi="Arial"/>
          <w:b/>
          <w:bCs/>
          <w:color w:val="1A1410"/>
          <w:sz w:val="22"/>
          <w:szCs w:val="22"/>
        </w:rPr>
        <w:t xml:space="preserve">Hash-anchored audit. </w:t>
      </w:r>
      <w:r>
        <w:rPr>
          <w:rFonts w:ascii="Arial" w:cs="Arial" w:eastAsia="Arial" w:hAnsi="Arial"/>
          <w:color w:val="1A1410"/>
          <w:sz w:val="22"/>
          <w:szCs w:val="22"/>
        </w:rPr>
        <w:t xml:space="preserve">Every governance action is anchored to a tamper-evident audit chain. The answer to "how do you know?" is a URL.</w:t>
      </w:r>
    </w:p>
    <w:p>
      <w:pPr>
        <w:pStyle w:val="ListParagraph"/>
        <w:numPr>
          <w:ilvl w:val="0"/>
          <w:numId w:val="2"/>
        </w:numPr>
        <w:spacing w:after="60" w:before="30" w:line="280"/>
      </w:pPr>
      <w:r>
        <w:rPr>
          <w:rFonts w:ascii="Arial" w:cs="Arial" w:eastAsia="Arial" w:hAnsi="Arial"/>
          <w:b/>
          <w:bCs/>
          <w:color w:val="1A1410"/>
          <w:sz w:val="22"/>
          <w:szCs w:val="22"/>
        </w:rPr>
        <w:t xml:space="preserve">Compounding data. </w:t>
      </w:r>
      <w:r>
        <w:rPr>
          <w:rFonts w:ascii="Arial" w:cs="Arial" w:eastAsia="Arial" w:hAnsi="Arial"/>
          <w:color w:val="1A1410"/>
          <w:sz w:val="22"/>
          <w:szCs w:val="22"/>
        </w:rPr>
        <w:t xml:space="preserve">Every grant, every report, every interaction strengthens Kuja's shared corpus. Legacy NGO software vendors cannot replicate this without rebuilding their data model.</w:t>
      </w:r>
    </w:p>
    <w:p>
      <w:pPr>
        <w:pStyle w:val="Heading1"/>
        <w:pageBreakBefore/>
        <w:spacing w:after="200" w:before="320"/>
      </w:pPr>
      <w:r>
        <w:rPr>
          <w:rFonts w:ascii="Arial" w:cs="Arial" w:eastAsia="Arial" w:hAnsi="Arial"/>
          <w:b/>
          <w:bCs/>
          <w:color w:val="C2410C"/>
          <w:sz w:val="36"/>
          <w:szCs w:val="36"/>
        </w:rPr>
        <w:t xml:space="preserve">4. The Kuja Platform — Four Integrated Pillars</w:t>
      </w:r>
    </w:p>
    <w:p>
      <w:pPr>
        <w:spacing w:after="80" w:before="60" w:line="300"/>
        <w:jc w:val="left"/>
      </w:pPr>
      <w:r>
        <w:rPr>
          <w:rFonts w:ascii="Arial" w:cs="Arial" w:eastAsia="Arial" w:hAnsi="Arial"/>
          <w:color w:val="1A1410"/>
          <w:sz w:val="22"/>
          <w:szCs w:val="22"/>
        </w:rPr>
        <w:t xml:space="preserve">Kuja is one platform sold four ways. All four pillars share </w:t>
      </w:r>
      <w:r>
        <w:rPr>
          <w:rFonts w:ascii="Arial" w:cs="Arial" w:eastAsia="Arial" w:hAnsi="Arial"/>
          <w:b/>
          <w:bCs/>
          <w:color w:val="1A1410"/>
          <w:sz w:val="22"/>
          <w:szCs w:val="22"/>
        </w:rPr>
        <w:t xml:space="preserve">one customer record</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Trust Profile</w:t>
      </w:r>
      <w:r>
        <w:rPr>
          <w:rFonts w:ascii="Arial" w:cs="Arial" w:eastAsia="Arial" w:hAnsi="Arial"/>
          <w:color w:val="1A1410"/>
          <w:sz w:val="22"/>
          <w:szCs w:val="22"/>
        </w:rPr>
        <w:t xml:space="preserve">, </w:t>
      </w:r>
      <w:r>
        <w:rPr>
          <w:rFonts w:ascii="Arial" w:cs="Arial" w:eastAsia="Arial" w:hAnsi="Arial"/>
          <w:b/>
          <w:bCs/>
          <w:color w:val="1A1410"/>
          <w:sz w:val="22"/>
          <w:szCs w:val="22"/>
        </w:rPr>
        <w:t xml:space="preserve">one AI memory</w:t>
      </w:r>
      <w:r>
        <w:rPr>
          <w:rFonts w:ascii="Arial" w:cs="Arial" w:eastAsia="Arial" w:hAnsi="Arial"/>
          <w:color w:val="1A1410"/>
          <w:sz w:val="22"/>
          <w:szCs w:val="22"/>
        </w:rPr>
        <w:t xml:space="preserve">, and </w:t>
      </w:r>
      <w:r>
        <w:rPr>
          <w:rFonts w:ascii="Arial" w:cs="Arial" w:eastAsia="Arial" w:hAnsi="Arial"/>
          <w:b/>
          <w:bCs/>
          <w:color w:val="1A1410"/>
          <w:sz w:val="22"/>
          <w:szCs w:val="22"/>
        </w:rPr>
        <w:t xml:space="preserve">one audit chain</w:t>
      </w:r>
      <w:r>
        <w:rPr>
          <w:rFonts w:ascii="Arial" w:cs="Arial" w:eastAsia="Arial" w:hAnsi="Arial"/>
          <w:color w:val="1A1410"/>
          <w:sz w:val="22"/>
          <w:szCs w:val="22"/>
        </w:rPr>
        <w:t xml:space="preserve">. PMO-as-a-Service runs across all four as the cross-pillar accelerator. A new feature shipped for one customer is available to every customer the next deploy.</w:t>
      </w:r>
    </w:p>
    <w:p>
      <w:pPr>
        <w:pStyle w:val="Heading2"/>
        <w:spacing w:after="140" w:before="280"/>
      </w:pPr>
      <w:r>
        <w:rPr>
          <w:rFonts w:ascii="Arial" w:cs="Arial" w:eastAsia="Arial" w:hAnsi="Arial"/>
          <w:b/>
          <w:bCs/>
          <w:color w:val="7C2D12"/>
          <w:sz w:val="28"/>
          <w:szCs w:val="28"/>
        </w:rPr>
        <w:t xml:space="preserve">4.1 Kuja Marketplace — discovery and ecosystem connectivity</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free or freemium for NGOs; donor-funded publishing tier for campaigns and featured placement.</w:t>
      </w:r>
    </w:p>
    <w:p>
      <w:pPr>
        <w:spacing w:after="80" w:before="60" w:line="300"/>
        <w:jc w:val="left"/>
      </w:pPr>
      <w:r>
        <w:rPr>
          <w:rFonts w:ascii="Arial" w:cs="Arial" w:eastAsia="Arial" w:hAnsi="Arial"/>
          <w:color w:val="1A1410"/>
          <w:sz w:val="22"/>
          <w:szCs w:val="22"/>
        </w:rPr>
        <w:t xml:space="preserve">The Marketplace is the front door. NGOs publish a profile that becomes their public face: capacity score, sectors, geographies, past grants, public Trust Passport. Donors discover NGOs matched to their grant criteria with AI-grounded recommendations citing actual evidence. Networks consume the Marketplace inside their tenant — members publish profiles visible across the network. The Trust Passport is portable: a Marketplace NGO's verified due-diligence travels with them to any donor.</w:t>
      </w:r>
    </w:p>
    <w:p>
      <w:pPr>
        <w:pStyle w:val="Heading2"/>
        <w:spacing w:after="140" w:before="280"/>
      </w:pPr>
      <w:r>
        <w:rPr>
          <w:rFonts w:ascii="Arial" w:cs="Arial" w:eastAsia="Arial" w:hAnsi="Arial"/>
          <w:b/>
          <w:bCs/>
          <w:color w:val="7C2D12"/>
          <w:sz w:val="28"/>
          <w:szCs w:val="28"/>
        </w:rPr>
        <w:t xml:space="preserve">4.2 Kuja Grant — end-to-end grant lifecycle</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INGOs, family offices, bilateral donors, donor-advised funds. SaaS tier by org type and workflow volume.</w:t>
      </w:r>
    </w:p>
    <w:p>
      <w:pPr>
        <w:spacing w:after="80" w:before="60" w:line="300"/>
        <w:jc w:val="left"/>
      </w:pPr>
      <w:r>
        <w:rPr>
          <w:rFonts w:ascii="Arial" w:cs="Arial" w:eastAsia="Arial" w:hAnsi="Arial"/>
          <w:color w:val="1A1410"/>
          <w:sz w:val="22"/>
          <w:szCs w:val="22"/>
        </w:rPr>
        <w:t xml:space="preserve">Kuja Grant runs the full lifecycle from grant design to compliance close-out. Donors design grants in a wizard. AI grounds every recommendation in the donor's own program documents — no black-box ranking. NGOs apply with AI assistance. Reviewer panels are auto-assigned, calibrated, anonymous to the applicant, and surfaced with per-criterion evidence citations. Reporting is AI-evaluated against the agreement, per requirement, with structured compliance signals.</w:t>
      </w:r>
    </w:p>
    <w:p>
      <w:pPr>
        <w:spacing w:after="80" w:before="60" w:line="300"/>
        <w:jc w:val="left"/>
      </w:pPr>
      <w:r>
        <w:rPr>
          <w:rFonts w:ascii="Arial" w:cs="Arial" w:eastAsia="Arial" w:hAnsi="Arial"/>
          <w:b/>
          <w:bCs/>
          <w:color w:val="1A1410"/>
          <w:sz w:val="22"/>
          <w:szCs w:val="22"/>
        </w:rPr>
        <w:t xml:space="preserve">Recent enhancements (June 2026 session): </w:t>
      </w:r>
      <w:r>
        <w:rPr>
          <w:rFonts w:ascii="Arial" w:cs="Arial" w:eastAsia="Arial" w:hAnsi="Arial"/>
          <w:color w:val="1A1410"/>
          <w:sz w:val="22"/>
          <w:szCs w:val="22"/>
        </w:rPr>
        <w:t xml:space="preserve">Voice-to-report with MediaRecorder backup; OpenAI Whisper fallback for Somali, Swahili, and Arabic; photo-as-evidence with AI extraction; consolidated AI tools accordion per draft; tenant-scoped applications, grants, reports, and reviews; admin AI telemetry with per-endpoint failure rates; reviewer queue counts unified from one canonical source.</w:t>
      </w:r>
    </w:p>
    <w:p>
      <w:pPr>
        <w:pStyle w:val="Heading2"/>
        <w:spacing w:after="140" w:before="280"/>
      </w:pPr>
      <w:r>
        <w:rPr>
          <w:rFonts w:ascii="Arial" w:cs="Arial" w:eastAsia="Arial" w:hAnsi="Arial"/>
          <w:b/>
          <w:bCs/>
          <w:color w:val="7C2D12"/>
          <w:sz w:val="28"/>
          <w:szCs w:val="28"/>
        </w:rPr>
        <w:t xml:space="preserve">4.3 Kuja Elevate — the operating system for mid-size NGOs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Elevate is not a maturity-assessment tool. It is the operating backbone of a mid-size NGO.</w:t>
            </w:r>
          </w:p>
          <w:p>
            <w:pPr>
              <w:spacing w:before="80"/>
            </w:pPr>
            <w:r>
              <w:rPr>
                <w:rFonts w:ascii="Arial" w:cs="Arial" w:eastAsia="Arial" w:hAnsi="Arial"/>
                <w:color w:val="1A1410"/>
                <w:sz w:val="22"/>
                <w:szCs w:val="22"/>
              </w:rPr>
              <w:t xml:space="preserve">A $5M–$50M NGO today runs its operations across </w:t>
            </w:r>
            <w:r>
              <w:rPr>
                <w:rFonts w:ascii="Arial" w:cs="Arial" w:eastAsia="Arial" w:hAnsi="Arial"/>
                <w:b/>
                <w:bCs/>
                <w:color w:val="1A1410"/>
                <w:sz w:val="22"/>
                <w:szCs w:val="22"/>
              </w:rPr>
              <w:t xml:space="preserve">six to ten disconnected SaaS tools</w:t>
            </w:r>
            <w:r>
              <w:rPr>
                <w:rFonts w:ascii="Arial" w:cs="Arial" w:eastAsia="Arial" w:hAnsi="Arial"/>
                <w:color w:val="1A1410"/>
                <w:sz w:val="22"/>
                <w:szCs w:val="22"/>
              </w:rPr>
              <w:t xml:space="preserve"> — Salesforce or HubSpot for partnerships, DocuSign or PandaDoc for contracts, BoardEffect or email for governance, Asana or spreadsheets for projects, ClearPoint or nothing for KPIs, ConvergePoint or SharePoint for policies, plus whatever they cobbled together for grants compliance. Combined annual cost: typically </w:t>
            </w:r>
            <w:r>
              <w:rPr>
                <w:rFonts w:ascii="Arial" w:cs="Arial" w:eastAsia="Arial" w:hAnsi="Arial"/>
                <w:b/>
                <w:bCs/>
                <w:color w:val="1A1410"/>
                <w:sz w:val="22"/>
                <w:szCs w:val="22"/>
              </w:rPr>
              <w:t xml:space="preserve">$80K–$220K</w:t>
            </w:r>
            <w:r>
              <w:rPr>
                <w:rFonts w:ascii="Arial" w:cs="Arial" w:eastAsia="Arial" w:hAnsi="Arial"/>
                <w:color w:val="1A1410"/>
                <w:sz w:val="22"/>
                <w:szCs w:val="22"/>
              </w:rPr>
              <w:t xml:space="preserve">. Combined integration: zero. AI: none of it. Designed for Global South NGOs: none of them.</w:t>
            </w:r>
          </w:p>
          <w:p>
            <w:pPr>
              <w:spacing w:before="80"/>
            </w:pPr>
            <w:r>
              <w:rPr>
                <w:rFonts w:ascii="Arial" w:cs="Arial" w:eastAsia="Arial" w:hAnsi="Arial"/>
                <w:color w:val="1A1410"/>
                <w:sz w:val="22"/>
                <w:szCs w:val="22"/>
              </w:rPr>
              <w:t xml:space="preserve">Kuja Elevate is </w:t>
            </w:r>
            <w:r>
              <w:rPr>
                <w:rFonts w:ascii="Arial" w:cs="Arial" w:eastAsia="Arial" w:hAnsi="Arial"/>
                <w:b/>
                <w:bCs/>
                <w:color w:val="1A1410"/>
                <w:sz w:val="22"/>
                <w:szCs w:val="22"/>
              </w:rPr>
              <w:t xml:space="preserve">one platform that replaces all of that</w:t>
            </w:r>
            <w:r>
              <w:rPr>
                <w:rFonts w:ascii="Arial" w:cs="Arial" w:eastAsia="Arial" w:hAnsi="Arial"/>
                <w:color w:val="1A1410"/>
                <w:sz w:val="22"/>
                <w:szCs w:val="22"/>
              </w:rPr>
              <w:t xml:space="preserve">. AI-native. Built BY Adeso, FOR Global South NGOs. Adeso runs its own operations on it today — every KPI, every contract, every board pack, every SOP, every partner conversation. The strategy is to sell that same platform to the rest of the sector.</w:t>
            </w:r>
          </w:p>
        </w:tc>
      </w:tr>
    </w:tbl>
    <w:p>
      <w:pPr>
        <w:pStyle w:val="Heading3"/>
        <w:spacing w:after="100" w:before="220"/>
      </w:pPr>
      <w:r>
        <w:rPr>
          <w:rFonts w:ascii="Arial" w:cs="Arial" w:eastAsia="Arial" w:hAnsi="Arial"/>
          <w:b/>
          <w:bCs/>
          <w:color w:val="1A1410"/>
          <w:sz w:val="24"/>
          <w:szCs w:val="24"/>
        </w:rPr>
        <w:t xml:space="preserve">The eleven module families</w:t>
      </w:r>
    </w:p>
    <w:p>
      <w:pPr>
        <w:spacing w:after="80" w:before="60" w:line="300"/>
        <w:jc w:val="left"/>
      </w:pPr>
      <w:r>
        <w:rPr>
          <w:rFonts w:ascii="Arial" w:cs="Arial" w:eastAsia="Arial" w:hAnsi="Arial"/>
          <w:color w:val="1A1410"/>
          <w:sz w:val="22"/>
          <w:szCs w:val="22"/>
        </w:rPr>
        <w:t xml:space="preserve">Elevate is structured as eleven integrated module families, each first-class — not bolt-ons to a primary product. Adopt one at a time or all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Module</w:t>
            </w:r>
          </w:p>
        </w:tc>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does</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replaces today</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Home &amp; Daily Work</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Inbox, Today, Notifications, Calendar, Search across every module — "what needs me right now?"</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Six logins, six dashboards, lost emails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KPIs &amp; Performance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PMO defines the measurement framework; departments report values; executive sees the rollup</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ClearPoint Strategy ($10K–$50K/yr), Workboard, Quantive, Excel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Initiatives &amp; Projects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Strategic project management — milestones, status updates, executive reviews</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Asana, Monday, Smartsheet, MS Project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Business Development &amp; Partnerships</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Opportunity pipeline, partner CRM, donor relationship data, decision log, win/loss</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($15K–$60K/yr), HubSpot, Affinity, spreadsheets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Grants &amp; Compliance</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 agreements, deliverables, deadlines, AI-evaluated reporting, audit-evidence export</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Fluxx, Submittable, Bonterra (for grantees)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Contracts</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 service contract lifecycle, AI clause extraction, approval routing, signing, obligation tracking</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DocuSign CLM ($30K+), Ironclad, ContractWorks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SOPs &amp; Policies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Single source of truth, acknowledgement tracking, versioning, change history</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ConvergePoint ($10K–$40K/yr), PolicyMedical, PowerDMS</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&amp; Governance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packs, meetings, minutes, resolutions, action items, secure portal</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BoardEffect ($5K–$15K/yr), OnBoard, Diligent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Departments &amp; Teams</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Unit-level views of KPIs, initiatives, grants, contracts owned by each department</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PowerBI / Tableau dashboards built bespoke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Executive</w:t>
            </w:r>
          </w:p>
        </w:tc>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Org-wide cross-department rollups with weekly status auto-generation</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Manual board prep, Excel dashboards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AI Co-pilot</w:t>
            </w:r>
          </w:p>
        </w:tc>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Cross-cutting throughout — document extraction, data assistant, plain-language compliance flags, drafting</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Not present in incumbent stacks</w:t>
            </w:r>
          </w:p>
        </w:tc>
      </w:tr>
    </w:tbl>
    <w:p>
      <w:pPr>
        <w:pStyle w:val="Heading3"/>
        <w:spacing w:after="100" w:before="220"/>
      </w:pPr>
      <w:r>
        <w:rPr>
          <w:rFonts w:ascii="Arial" w:cs="Arial" w:eastAsia="Arial" w:hAnsi="Arial"/>
          <w:b/>
          <w:bCs/>
          <w:color w:val="1A1410"/>
          <w:sz w:val="24"/>
          <w:szCs w:val="24"/>
        </w:rPr>
        <w:t xml:space="preserve">What makes Elevate different from the stitched stack</w:t>
      </w:r>
    </w:p>
    <w:p>
      <w:pPr>
        <w:pStyle w:val="ListParagraph"/>
        <w:numPr>
          <w:ilvl w:val="0"/>
          <w:numId w:val="2"/>
        </w:numPr>
        <w:spacing w:after="60" w:before="30" w:line="280"/>
      </w:pPr>
      <w:r>
        <w:rPr>
          <w:rFonts w:ascii="Arial" w:cs="Arial" w:eastAsia="Arial" w:hAnsi="Arial"/>
          <w:b/>
          <w:bCs/>
          <w:color w:val="1A1410"/>
          <w:sz w:val="22"/>
          <w:szCs w:val="22"/>
        </w:rPr>
        <w:t xml:space="preserve">One platform, one customer record. </w:t>
      </w:r>
      <w:r>
        <w:rPr>
          <w:rFonts w:ascii="Arial" w:cs="Arial" w:eastAsia="Arial" w:hAnsi="Arial"/>
          <w:color w:val="1A1410"/>
          <w:sz w:val="22"/>
          <w:szCs w:val="22"/>
        </w:rPr>
        <w:t xml:space="preserve">A contract signed in Contracts auto-updates the obligation tracker in Compliance, which surfaces in the Departments view, which rolls into the Executive dashboard. The stitched stack does none of this without paid integrations.</w:t>
      </w:r>
    </w:p>
    <w:p>
      <w:pPr>
        <w:pStyle w:val="ListParagraph"/>
        <w:numPr>
          <w:ilvl w:val="0"/>
          <w:numId w:val="2"/>
        </w:numPr>
        <w:spacing w:after="60" w:before="30" w:line="280"/>
      </w:pPr>
      <w:r>
        <w:rPr>
          <w:rFonts w:ascii="Arial" w:cs="Arial" w:eastAsia="Arial" w:hAnsi="Arial"/>
          <w:b/>
          <w:bCs/>
          <w:color w:val="1A1410"/>
          <w:sz w:val="22"/>
          <w:szCs w:val="22"/>
        </w:rPr>
        <w:t xml:space="preserve">AI-native from day one. </w:t>
      </w:r>
      <w:r>
        <w:rPr>
          <w:rFonts w:ascii="Arial" w:cs="Arial" w:eastAsia="Arial" w:hAnsi="Arial"/>
          <w:color w:val="1A1410"/>
          <w:sz w:val="22"/>
          <w:szCs w:val="22"/>
        </w:rPr>
        <w:t xml:space="preserve">AI runs inside every module — extracting contracts, summarising board packs, drafting policies, answering staff questions across the corpus. The incumbents are bolting AI onto rigid data models built before the AI era.</w:t>
      </w:r>
    </w:p>
    <w:p>
      <w:pPr>
        <w:pStyle w:val="ListParagraph"/>
        <w:numPr>
          <w:ilvl w:val="0"/>
          <w:numId w:val="2"/>
        </w:numPr>
        <w:spacing w:after="60" w:before="30" w:line="280"/>
      </w:pPr>
      <w:r>
        <w:rPr>
          <w:rFonts w:ascii="Arial" w:cs="Arial" w:eastAsia="Arial" w:hAnsi="Arial"/>
          <w:b/>
          <w:bCs/>
          <w:color w:val="1A1410"/>
          <w:sz w:val="22"/>
          <w:szCs w:val="22"/>
        </w:rPr>
        <w:t xml:space="preserve">Built BY the Global South FOR the Global South. </w:t>
      </w:r>
      <w:r>
        <w:rPr>
          <w:rFonts w:ascii="Arial" w:cs="Arial" w:eastAsia="Arial" w:hAnsi="Arial"/>
          <w:color w:val="1A1410"/>
          <w:sz w:val="22"/>
          <w:szCs w:val="22"/>
        </w:rPr>
        <w:t xml:space="preserve">Six languages at platform parity (EN, FR, AR, SW, SO, ES). Donor-compliance regimes encoded (USAID legacy frameworks, EU INTPA, UN HACT, etc.). Seven country registries pre-mapped (Kenya, Nigeria, South Africa, Uganda, Tanzania, Somalia, Ethiopia). Mobile-first because that is how the market works.</w:t>
      </w:r>
    </w:p>
    <w:p>
      <w:pPr>
        <w:pStyle w:val="ListParagraph"/>
        <w:numPr>
          <w:ilvl w:val="0"/>
          <w:numId w:val="2"/>
        </w:numPr>
        <w:spacing w:after="60" w:before="30" w:line="280"/>
      </w:pPr>
      <w:r>
        <w:rPr>
          <w:rFonts w:ascii="Arial" w:cs="Arial" w:eastAsia="Arial" w:hAnsi="Arial"/>
          <w:b/>
          <w:bCs/>
          <w:color w:val="1A1410"/>
          <w:sz w:val="22"/>
          <w:szCs w:val="22"/>
        </w:rPr>
        <w:t xml:space="preserve">Real product proof — Adeso runs on it. </w:t>
      </w:r>
      <w:r>
        <w:rPr>
          <w:rFonts w:ascii="Arial" w:cs="Arial" w:eastAsia="Arial" w:hAnsi="Arial"/>
          <w:color w:val="1A1410"/>
          <w:sz w:val="22"/>
          <w:szCs w:val="22"/>
        </w:rPr>
        <w:t xml:space="preserve">Every claim in the user guide is something Adeso operates today. KPIs are reported. Contracts are signed. Board packs are generated. Policies are versioned. We are not selling a roadmap.</w:t>
      </w:r>
    </w:p>
    <w:p>
      <w:pPr>
        <w:pStyle w:val="ListParagraph"/>
        <w:numPr>
          <w:ilvl w:val="0"/>
          <w:numId w:val="2"/>
        </w:numPr>
        <w:spacing w:after="60" w:before="30" w:line="280"/>
      </w:pPr>
      <w:r>
        <w:rPr>
          <w:rFonts w:ascii="Arial" w:cs="Arial" w:eastAsia="Arial" w:hAnsi="Arial"/>
          <w:b/>
          <w:bCs/>
          <w:color w:val="1A1410"/>
          <w:sz w:val="22"/>
          <w:szCs w:val="22"/>
        </w:rPr>
        <w:t xml:space="preserve">One-third the TCO. </w:t>
      </w:r>
      <w:r>
        <w:rPr>
          <w:rFonts w:ascii="Arial" w:cs="Arial" w:eastAsia="Arial" w:hAnsi="Arial"/>
          <w:color w:val="1A1410"/>
          <w:sz w:val="22"/>
          <w:szCs w:val="22"/>
        </w:rPr>
        <w:t xml:space="preserve">The stitched enterprise stack runs $80K–$220K/year all-in. Elevate Platform direct-sale tier sits at $30K–$120K/year for the same functional coverage. Plus zero integration cost. Plus AI included, not extra.</w:t>
      </w:r>
    </w:p>
    <w:p>
      <w:pPr>
        <w:pStyle w:val="Heading3"/>
        <w:spacing w:after="100" w:before="220"/>
      </w:pPr>
      <w:r>
        <w:rPr>
          <w:rFonts w:ascii="Arial" w:cs="Arial" w:eastAsia="Arial" w:hAnsi="Arial"/>
          <w:b/>
          <w:bCs/>
          <w:color w:val="1A1410"/>
          <w:sz w:val="24"/>
          <w:szCs w:val="24"/>
        </w:rPr>
        <w:t xml:space="preserve">Two products, sold separately or together</w:t>
      </w:r>
    </w:p>
    <w:p>
      <w:pPr>
        <w:spacing w:after="80" w:before="60" w:line="300"/>
        <w:jc w:val="left"/>
      </w:pPr>
      <w:r>
        <w:rPr>
          <w:rFonts w:ascii="Arial" w:cs="Arial" w:eastAsia="Arial" w:hAnsi="Arial"/>
          <w:color w:val="1A1410"/>
          <w:sz w:val="22"/>
          <w:szCs w:val="22"/>
        </w:rPr>
        <w:t xml:space="preserve">Elevate is the Platform (SaaS). Elevate Advisory is the optional services engagement that helps an NGO get from current-state to deployed-and-running.</w:t>
      </w:r>
    </w:p>
    <w:p>
      <w:pPr>
        <w:pStyle w:val="Heading3"/>
        <w:spacing w:after="100" w:before="220"/>
      </w:pPr>
      <w:r>
        <w:rPr>
          <w:rFonts w:ascii="Arial" w:cs="Arial" w:eastAsia="Arial" w:hAnsi="Arial"/>
          <w:b/>
          <w:bCs/>
          <w:color w:val="1A1410"/>
          <w:sz w:val="24"/>
          <w:szCs w:val="24"/>
        </w:rPr>
        <w:t xml:space="preserve">Elevate Platform — the SaaS</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three tiers by NGO revenue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Best fit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Subsidized (donor-sponsored grantees, smaller NGOs)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$12K–$25K / yr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Donor-paid Year 1 under cohort pilot model. Limited module footprint to start; expand over time.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Standard (mid-size NGO direct, $5M–$25M revenue)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 / yr</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Platform across all modules. Most common tier for direct-NGO sales — the one replacing the stitched stack.</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Enterprise (large NGO, multi-entity, networks, $25M+ revenue)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$60K–$120K / yr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Platform plus multi-entity, custom modules, dedicated success manager.</w:t>
            </w:r>
          </w:p>
        </w:tc>
      </w:tr>
    </w:tbl>
    <w:p>
      <w:pPr>
        <w:pStyle w:val="Heading3"/>
        <w:spacing w:after="100" w:before="220"/>
      </w:pPr>
      <w:r>
        <w:rPr>
          <w:rFonts w:ascii="Arial" w:cs="Arial" w:eastAsia="Arial" w:hAnsi="Arial"/>
          <w:b/>
          <w:bCs/>
          <w:color w:val="1A1410"/>
          <w:sz w:val="24"/>
          <w:szCs w:val="24"/>
        </w:rPr>
        <w:t xml:space="preserve">Elevate Advisory — the optional services engagement</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sponsoring grantee cohorts; mid-size NGOs that want hands-on implementation help; NGOs that need a structured operational transformation, not just software.</w:t>
      </w:r>
    </w:p>
    <w:p>
      <w:pPr>
        <w:spacing w:after="80" w:before="60" w:line="300"/>
        <w:jc w:val="left"/>
      </w:pPr>
      <w:r>
        <w:rPr>
          <w:rFonts w:ascii="Arial" w:cs="Arial" w:eastAsia="Arial" w:hAnsi="Arial"/>
          <w:b/>
          <w:bCs/>
          <w:color w:val="1A1410"/>
          <w:sz w:val="22"/>
          <w:szCs w:val="22"/>
        </w:rPr>
        <w:t xml:space="preserve">Pricing: </w:t>
      </w:r>
      <w:r>
        <w:rPr>
          <w:rFonts w:ascii="Arial" w:cs="Arial" w:eastAsia="Arial" w:hAnsi="Arial"/>
          <w:color w:val="1A1410"/>
          <w:sz w:val="22"/>
          <w:szCs w:val="22"/>
        </w:rPr>
        <w:t xml:space="preserve">three tiers by depth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Best fit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Onboarding (light-touch)</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$40K–$60K, 3 months</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Diagnose + Improve + Automate cycle for a single grantee. Most common tier under donor cohort sponsorship.</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Transformation</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$80K–$150K, 6–9 months</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 purchase. Deeper Improve cycle, change management, multi-module deployment.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Custom Enterprise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$150K+</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Large NGO or network. Custom scope. Multi-entity. Sometimes co-delivered with regional implementation partner.</w:t>
            </w:r>
          </w:p>
        </w:tc>
      </w:tr>
    </w:tbl>
    <w:p>
      <w:pPr>
        <w:spacing w:after="80" w:before="60" w:line="300"/>
        <w:jc w:val="left"/>
      </w:pPr>
      <w:r>
        <w:rPr>
          <w:rFonts w:ascii="Arial" w:cs="Arial" w:eastAsia="Arial" w:hAnsi="Arial"/>
          <w:color w:val="1A1410"/>
          <w:sz w:val="22"/>
          <w:szCs w:val="22"/>
        </w:rPr>
        <w:t xml:space="preserve">Advisory is delivered by former NGO finance and operations directors — people who have actually run the work. Not Big-4 graduates retraining as NGO advisors.</w:t>
      </w:r>
    </w:p>
    <w:p>
      <w:pPr>
        <w:pStyle w:val="Heading3"/>
        <w:spacing w:after="100" w:before="220"/>
      </w:pPr>
      <w:r>
        <w:rPr>
          <w:rFonts w:ascii="Arial" w:cs="Arial" w:eastAsia="Arial" w:hAnsi="Arial"/>
          <w:b/>
          <w:bCs/>
          <w:color w:val="1A1410"/>
          <w:sz w:val="24"/>
          <w:szCs w:val="24"/>
        </w:rPr>
        <w:t xml:space="preserve">Elevate Bundle — Platform + Advisory together</w:t>
      </w:r>
    </w:p>
    <w:p>
      <w:pPr>
        <w:spacing w:after="80" w:before="60" w:line="300"/>
        <w:jc w:val="left"/>
      </w:pPr>
      <w:r>
        <w:rPr>
          <w:rFonts w:ascii="Arial" w:cs="Arial" w:eastAsia="Arial" w:hAnsi="Arial"/>
          <w:color w:val="1A1410"/>
          <w:sz w:val="22"/>
          <w:szCs w:val="22"/>
        </w:rPr>
        <w:t xml:space="preserve">For buyers who want both at once, three Bundle tiers map to the Advisory tiers above:</w:t>
      </w:r>
    </w:p>
    <w:p>
      <w:pPr>
        <w:pStyle w:val="ListParagraph"/>
        <w:numPr>
          <w:ilvl w:val="0"/>
          <w:numId w:val="2"/>
        </w:numPr>
        <w:spacing w:after="60" w:before="30" w:line="280"/>
      </w:pPr>
      <w:r>
        <w:rPr>
          <w:rFonts w:ascii="Arial" w:cs="Arial" w:eastAsia="Arial" w:hAnsi="Arial"/>
          <w:b/>
          <w:bCs/>
          <w:color w:val="1A1410"/>
          <w:sz w:val="22"/>
          <w:szCs w:val="22"/>
        </w:rPr>
        <w:t xml:space="preserve">Cohort Bundle: </w:t>
      </w:r>
      <w:r>
        <w:rPr>
          <w:rFonts w:ascii="Arial" w:cs="Arial" w:eastAsia="Arial" w:hAnsi="Arial"/>
          <w:color w:val="1A1410"/>
          <w:sz w:val="22"/>
          <w:szCs w:val="22"/>
        </w:rPr>
        <w:t xml:space="preserve">$50K–$80K per grantee (Subsidized Platform + Onboarding Advisory + 6 months support, donor-sponsored).</w:t>
      </w:r>
    </w:p>
    <w:p>
      <w:pPr>
        <w:pStyle w:val="ListParagraph"/>
        <w:numPr>
          <w:ilvl w:val="0"/>
          <w:numId w:val="2"/>
        </w:numPr>
        <w:spacing w:after="60" w:before="30" w:line="280"/>
      </w:pPr>
      <w:r>
        <w:rPr>
          <w:rFonts w:ascii="Arial" w:cs="Arial" w:eastAsia="Arial" w:hAnsi="Arial"/>
          <w:b/>
          <w:bCs/>
          <w:color w:val="1A1410"/>
          <w:sz w:val="22"/>
          <w:szCs w:val="22"/>
        </w:rPr>
        <w:t xml:space="preserve">Mid-size Bundle: </w:t>
      </w:r>
      <w:r>
        <w:rPr>
          <w:rFonts w:ascii="Arial" w:cs="Arial" w:eastAsia="Arial" w:hAnsi="Arial"/>
          <w:color w:val="1A1410"/>
          <w:sz w:val="22"/>
          <w:szCs w:val="22"/>
        </w:rPr>
        <w:t xml:space="preserve">$100K–$200K (Standard Platform + Full Transformation Advisory).</w:t>
      </w:r>
    </w:p>
    <w:p>
      <w:pPr>
        <w:pStyle w:val="ListParagraph"/>
        <w:numPr>
          <w:ilvl w:val="0"/>
          <w:numId w:val="2"/>
        </w:numPr>
        <w:spacing w:after="60" w:before="30" w:line="280"/>
      </w:pPr>
      <w:r>
        <w:rPr>
          <w:rFonts w:ascii="Arial" w:cs="Arial" w:eastAsia="Arial" w:hAnsi="Arial"/>
          <w:b/>
          <w:bCs/>
          <w:color w:val="1A1410"/>
          <w:sz w:val="22"/>
          <w:szCs w:val="22"/>
        </w:rPr>
        <w:t xml:space="preserve">Enterprise Bundle: </w:t>
      </w:r>
      <w:r>
        <w:rPr>
          <w:rFonts w:ascii="Arial" w:cs="Arial" w:eastAsia="Arial" w:hAnsi="Arial"/>
          <w:color w:val="1A1410"/>
          <w:sz w:val="22"/>
          <w:szCs w:val="22"/>
        </w:rPr>
        <w:t xml:space="preserve">$200K+ (Enterprise Platform + Custom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Trust Loop — downstream benefit, not the headline.</w:t>
            </w:r>
          </w:p>
          <w:p>
            <w:pPr>
              <w:spacing w:before="80"/>
            </w:pPr>
            <w:r>
              <w:rPr>
                <w:rFonts w:ascii="Arial" w:cs="Arial" w:eastAsia="Arial" w:hAnsi="Arial"/>
                <w:color w:val="1A1410"/>
                <w:sz w:val="22"/>
                <w:szCs w:val="22"/>
              </w:rPr>
              <w:t xml:space="preserve">A strong NGO is one that operates well across all functions — BD, contracts, policies, governance, performance. Elevate gives them all of that on one platform. Trust is the downstream result: a well-run NGO passes donor due-diligence faster, publishes a stronger Trust Passport, and unlocks funding that was previously closed. The compliance benefit is real and significant — but the PRODUCT is the operating system, not the compliance shim.</w:t>
            </w:r>
          </w:p>
        </w:tc>
      </w:tr>
    </w:tbl>
    <w:p>
      <w:pPr>
        <w:pStyle w:val="Heading2"/>
        <w:spacing w:after="140" w:before="280"/>
      </w:pPr>
      <w:r>
        <w:rPr>
          <w:rFonts w:ascii="Arial" w:cs="Arial" w:eastAsia="Arial" w:hAnsi="Arial"/>
          <w:b/>
          <w:bCs/>
          <w:color w:val="7C2D12"/>
          <w:sz w:val="28"/>
          <w:szCs w:val="28"/>
        </w:rPr>
        <w:t xml:space="preserve">4.4 Kuja ERP — standalone backbone, integrated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Position in the strategy.</w:t>
            </w:r>
          </w:p>
          <w:p>
            <w:pPr>
              <w:spacing w:before="80"/>
            </w:pPr>
            <w:r>
              <w:rPr>
                <w:rFonts w:ascii="Arial" w:cs="Arial" w:eastAsia="Arial" w:hAnsi="Arial"/>
                <w:color w:val="1A1410"/>
                <w:sz w:val="22"/>
                <w:szCs w:val="22"/>
              </w:rPr>
              <w:t xml:space="preserve">Kuja ERP is a </w:t>
            </w:r>
            <w:r>
              <w:rPr>
                <w:rFonts w:ascii="Arial" w:cs="Arial" w:eastAsia="Arial" w:hAnsi="Arial"/>
                <w:b/>
                <w:bCs/>
                <w:color w:val="1A1410"/>
                <w:sz w:val="22"/>
                <w:szCs w:val="22"/>
              </w:rPr>
              <w:t xml:space="preserve">standalone product</w:t>
            </w:r>
            <w:r>
              <w:rPr>
                <w:rFonts w:ascii="Arial" w:cs="Arial" w:eastAsia="Arial" w:hAnsi="Arial"/>
                <w:color w:val="1A1410"/>
                <w:sz w:val="22"/>
                <w:szCs w:val="22"/>
              </w:rPr>
              <w:t xml:space="preserve"> that is also </w:t>
            </w:r>
            <w:r>
              <w:rPr>
                <w:rFonts w:ascii="Arial" w:cs="Arial" w:eastAsia="Arial" w:hAnsi="Arial"/>
                <w:b/>
                <w:bCs/>
                <w:color w:val="1A1410"/>
                <w:sz w:val="22"/>
                <w:szCs w:val="22"/>
              </w:rPr>
              <w:t xml:space="preserve">tightly integrated with Kuja Grant</w:t>
            </w:r>
            <w:r>
              <w:rPr>
                <w:rFonts w:ascii="Arial" w:cs="Arial" w:eastAsia="Arial" w:hAnsi="Arial"/>
                <w:color w:val="1A1410"/>
                <w:sz w:val="22"/>
                <w:szCs w:val="22"/>
              </w:rPr>
              <w:t xml:space="preserve"> when a donor and an NGO both opt in. NGOs can run it on its own. Donor-NGO pairs that opt in get real-time financial integration with Grant. Donor-NGO pairs that opt out fall back to the standard Grant compliance flow — fully AI-driven, the same one shipped today. ERP is the real-time upgrade on top of the AI-driven Grant floor.</w:t>
            </w:r>
          </w:p>
          <w:p>
            <w:pPr>
              <w:spacing w:before="80"/>
            </w:pPr>
            <w:r>
              <w:rPr>
                <w:rFonts w:ascii="Arial" w:cs="Arial" w:eastAsia="Arial" w:hAnsi="Arial"/>
                <w:color w:val="1A1410"/>
                <w:sz w:val="22"/>
                <w:szCs w:val="22"/>
              </w:rPr>
              <w:t xml:space="preserve">Like Elevate, ERP improves the NGO's capacity and resilience. Donors fund it for their grantees. Our primary sales priority is </w:t>
            </w:r>
            <w:r>
              <w:rPr>
                <w:rFonts w:ascii="Arial" w:cs="Arial" w:eastAsia="Arial" w:hAnsi="Arial"/>
                <w:b/>
                <w:bCs/>
                <w:color w:val="1A1410"/>
                <w:sz w:val="22"/>
                <w:szCs w:val="22"/>
              </w:rPr>
              <w:t xml:space="preserve">donor-sponsored deployment</w:t>
            </w:r>
            <w:r>
              <w:rPr>
                <w:rFonts w:ascii="Arial" w:cs="Arial" w:eastAsia="Arial" w:hAnsi="Arial"/>
                <w:color w:val="1A1410"/>
                <w:sz w:val="22"/>
                <w:szCs w:val="22"/>
              </w:rPr>
              <w:t xml:space="preserve"> (foundations and INGOs paying for their grantees); direct sales to NGOs who can pay themselves is the secondary motion.</w:t>
            </w:r>
          </w:p>
        </w:tc>
      </w:tr>
    </w:tbl>
    <w:p>
      <w:pPr>
        <w:pStyle w:val="Heading3"/>
        <w:spacing w:after="100" w:before="220"/>
      </w:pPr>
      <w:r>
        <w:rPr>
          <w:rFonts w:ascii="Arial" w:cs="Arial" w:eastAsia="Arial" w:hAnsi="Arial"/>
          <w:b/>
          <w:bCs/>
          <w:color w:val="1A1410"/>
          <w:sz w:val="24"/>
          <w:szCs w:val="24"/>
        </w:rPr>
        <w:t xml:space="preserve">What Kuja ERP is</w:t>
      </w:r>
    </w:p>
    <w:p>
      <w:pPr>
        <w:spacing w:after="80" w:before="60" w:line="300"/>
        <w:jc w:val="left"/>
      </w:pPr>
      <w:r>
        <w:rPr>
          <w:rFonts w:ascii="Arial" w:cs="Arial" w:eastAsia="Arial" w:hAnsi="Arial"/>
          <w:color w:val="1A1410"/>
          <w:sz w:val="22"/>
          <w:szCs w:val="22"/>
        </w:rPr>
        <w:t xml:space="preserve">Kuja ERP is Odoo 17 configured for nonprofits. Three modules are live in UAT today (Finance, Accounting, Grant Budgeting). The full module roadmap:</w:t>
      </w:r>
    </w:p>
    <w:p>
      <w:pPr>
        <w:pStyle w:val="ListParagraph"/>
        <w:numPr>
          <w:ilvl w:val="0"/>
          <w:numId w:val="2"/>
        </w:numPr>
        <w:spacing w:after="60" w:before="30" w:line="280"/>
      </w:pPr>
      <w:r>
        <w:rPr>
          <w:rFonts w:ascii="Arial" w:cs="Arial" w:eastAsia="Arial" w:hAnsi="Arial"/>
          <w:b/>
          <w:bCs/>
          <w:color w:val="1A1410"/>
          <w:sz w:val="22"/>
          <w:szCs w:val="22"/>
        </w:rPr>
        <w:t xml:space="preserve">Q3 2026 ship: </w:t>
      </w:r>
      <w:r>
        <w:rPr>
          <w:rFonts w:ascii="Arial" w:cs="Arial" w:eastAsia="Arial" w:hAnsi="Arial"/>
          <w:color w:val="1A1410"/>
          <w:sz w:val="22"/>
          <w:szCs w:val="22"/>
        </w:rPr>
        <w:t xml:space="preserve">Procurement (vendors, RFQ, PO, 3-way match) and HR (employees, leave, timesheets, expenses).</w:t>
      </w:r>
    </w:p>
    <w:p>
      <w:pPr>
        <w:pStyle w:val="ListParagraph"/>
        <w:numPr>
          <w:ilvl w:val="0"/>
          <w:numId w:val="2"/>
        </w:numPr>
        <w:spacing w:after="60" w:before="30" w:line="280"/>
      </w:pPr>
      <w:r>
        <w:rPr>
          <w:rFonts w:ascii="Arial" w:cs="Arial" w:eastAsia="Arial" w:hAnsi="Arial"/>
          <w:b/>
          <w:bCs/>
          <w:color w:val="1A1410"/>
          <w:sz w:val="22"/>
          <w:szCs w:val="22"/>
        </w:rPr>
        <w:t xml:space="preserve">Q1 2027 ship: </w:t>
      </w:r>
      <w:r>
        <w:rPr>
          <w:rFonts w:ascii="Arial" w:cs="Arial" w:eastAsia="Arial" w:hAnsi="Arial"/>
          <w:color w:val="1A1410"/>
          <w:sz w:val="22"/>
          <w:szCs w:val="22"/>
        </w:rPr>
        <w:t xml:space="preserve">Payroll with country adapters — Kenya, Uganda, Nigeria, South Africa first.</w:t>
      </w:r>
    </w:p>
    <w:p>
      <w:pPr>
        <w:pStyle w:val="ListParagraph"/>
        <w:numPr>
          <w:ilvl w:val="0"/>
          <w:numId w:val="2"/>
        </w:numPr>
        <w:spacing w:after="60" w:before="30" w:line="280"/>
      </w:pPr>
      <w:r>
        <w:rPr>
          <w:rFonts w:ascii="Arial" w:cs="Arial" w:eastAsia="Arial" w:hAnsi="Arial"/>
          <w:b/>
          <w:bCs/>
          <w:color w:val="1A1410"/>
          <w:sz w:val="22"/>
          <w:szCs w:val="22"/>
        </w:rPr>
        <w:t xml:space="preserve">Q2 2027 ship: </w:t>
      </w:r>
      <w:r>
        <w:rPr>
          <w:rFonts w:ascii="Arial" w:cs="Arial" w:eastAsia="Arial" w:hAnsi="Arial"/>
          <w:color w:val="1A1410"/>
          <w:sz w:val="22"/>
          <w:szCs w:val="22"/>
        </w:rPr>
        <w:t xml:space="preserve">Asset Management and Inventory (for organizations distributing goods).</w:t>
      </w:r>
    </w:p>
    <w:p>
      <w:pPr>
        <w:pStyle w:val="Heading3"/>
        <w:spacing w:after="100" w:before="220"/>
      </w:pPr>
      <w:r>
        <w:rPr>
          <w:rFonts w:ascii="Arial" w:cs="Arial" w:eastAsia="Arial" w:hAnsi="Arial"/>
          <w:b/>
          <w:bCs/>
          <w:color w:val="1A1410"/>
          <w:sz w:val="24"/>
          <w:szCs w:val="24"/>
        </w:rPr>
        <w:t xml:space="preserve">Both pathways are AI-driven. ERP changes from batched to real-time.</w:t>
      </w:r>
    </w:p>
    <w:p>
      <w:pPr>
        <w:spacing w:after="80" w:before="60" w:line="300"/>
        <w:jc w:val="left"/>
      </w:pPr>
      <w:r>
        <w:rPr>
          <w:rFonts w:ascii="Arial" w:cs="Arial" w:eastAsia="Arial" w:hAnsi="Arial"/>
          <w:color w:val="1A1410"/>
          <w:sz w:val="22"/>
          <w:szCs w:val="22"/>
        </w:rPr>
        <w:t xml:space="preserve">Kuja Grant ships with a full AI compliance and reporting stack today — application drafting, voice and photo evidence intake, per-criterion rubric scoring, AI-evaluated reports against the donor's specific agreement requirements, reviewer summaries with citations, plain-language compliance flags. Every NGO on Kuja Grant has access to all of that, with or without ERP. ERP does not replace the AI workflow; it makes the financial data underneath the AI workflow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AI (no ERP)</w:t>
            </w:r>
          </w:p>
        </w:tc>
        <w:tc>
          <w:tcPr>
            <w:tcW w:type="dxa" w:w="4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Kuja Grant + Kuja ERP (integrated)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helps the NGO draft applications and structure voice + photo evidence — same workflow on both sides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AI still helps the NGO end-to-end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NGO-submitted financial reports against the donor's specific agreement, scores per criterion with citations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evaluates the actual ledger continuously — variance detected the moment a line crosses threshold, not at quarter end</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Reviewer AI summarizes applications, surfaces per-criterion evidence, flags inconsistencies</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Same — reviewer AI is unchanged</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 AI-evaluated NGO submissions on the donor's reporting cadence</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Compliance reports auto-generate from the ledger; donor sees burn rate, variance, forecast in real time</w:t>
            </w:r>
          </w:p>
        </w:tc>
      </w:tr>
      <w:tr>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each submission event</w:t>
            </w:r>
          </w:p>
        </w:tc>
        <w:tc>
          <w:tcPr>
            <w:tcW w:type="dxa" w:w="4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Audit chain anchors every individual spend event at the moment of entry</w:t>
            </w:r>
          </w:p>
        </w:tc>
      </w:tr>
      <w:tr>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plain-language compliance flags on submitted reports</w:t>
            </w:r>
          </w:p>
        </w:tc>
        <w:tc>
          <w:tcPr>
            <w:tcW w:type="dxa" w:w="4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AI flags variance the day it happens, not at the next reporting cycle</w:t>
            </w:r>
          </w:p>
        </w:tc>
      </w:tr>
    </w:tbl>
    <w:p>
      <w:pPr>
        <w:pStyle w:val="Heading3"/>
        <w:spacing w:after="100" w:before="220"/>
      </w:pPr>
      <w:r>
        <w:rPr>
          <w:rFonts w:ascii="Arial" w:cs="Arial" w:eastAsia="Arial" w:hAnsi="Arial"/>
          <w:b/>
          <w:bCs/>
          <w:color w:val="1A1410"/>
          <w:sz w:val="24"/>
          <w:szCs w:val="24"/>
        </w:rPr>
        <w:t xml:space="preserve">The multi-tenant donor visibility wedge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How multi-tenancy works — the architectural wedge no competitor has.</w:t>
            </w:r>
          </w:p>
          <w:p>
            <w:pPr>
              <w:spacing w:before="80"/>
            </w:pPr>
            <w:r>
              <w:rPr>
                <w:rFonts w:ascii="Arial" w:cs="Arial" w:eastAsia="Arial" w:hAnsi="Arial"/>
                <w:color w:val="1A1410"/>
                <w:sz w:val="22"/>
                <w:szCs w:val="22"/>
              </w:rPr>
              <w:t xml:space="preserve">Every NGO on Kuja ERP gets </w:t>
            </w:r>
            <w:r>
              <w:rPr>
                <w:rFonts w:ascii="Arial" w:cs="Arial" w:eastAsia="Arial" w:hAnsi="Arial"/>
                <w:b/>
                <w:bCs/>
                <w:color w:val="1A1410"/>
                <w:sz w:val="22"/>
                <w:szCs w:val="22"/>
              </w:rPr>
              <w:t xml:space="preserve">their own tenant</w:t>
            </w:r>
            <w:r>
              <w:rPr>
                <w:rFonts w:ascii="Arial" w:cs="Arial" w:eastAsia="Arial" w:hAnsi="Arial"/>
                <w:color w:val="1A1410"/>
                <w:sz w:val="22"/>
                <w:szCs w:val="22"/>
              </w:rPr>
              <w:t xml:space="preserve"> — their own data, their own chart of accounts, their own configuration. They own and control their books. We do not aggregate or expose data without explicit permission.</w:t>
            </w:r>
          </w:p>
          <w:p>
            <w:pPr>
              <w:spacing w:before="80"/>
            </w:pPr>
            <w:r>
              <w:rPr>
                <w:rFonts w:ascii="Arial" w:cs="Arial" w:eastAsia="Arial" w:hAnsi="Arial"/>
                <w:color w:val="1A1410"/>
                <w:sz w:val="22"/>
                <w:szCs w:val="22"/>
              </w:rPr>
              <w:t xml:space="preserve">What is unique is what happens when a </w:t>
            </w:r>
            <w:r>
              <w:rPr>
                <w:rFonts w:ascii="Arial" w:cs="Arial" w:eastAsia="Arial" w:hAnsi="Arial"/>
                <w:b/>
                <w:bCs/>
                <w:color w:val="1A1410"/>
                <w:sz w:val="22"/>
                <w:szCs w:val="22"/>
              </w:rPr>
              <w:t xml:space="preserve">donor funds multiple NGOs on Kuja ERP</w:t>
            </w:r>
            <w:r>
              <w:rPr>
                <w:rFonts w:ascii="Arial" w:cs="Arial" w:eastAsia="Arial" w:hAnsi="Arial"/>
                <w:color w:val="1A1410"/>
                <w:sz w:val="22"/>
                <w:szCs w:val="22"/>
              </w:rPr>
              <w:t xml:space="preserve"> and each donor-NGO pair has opted in to integrated mode. The donor gets a single role-aware login that surfaces a </w:t>
            </w:r>
            <w:r>
              <w:rPr>
                <w:rFonts w:ascii="Arial" w:cs="Arial" w:eastAsia="Arial" w:hAnsi="Arial"/>
                <w:b/>
                <w:bCs/>
                <w:color w:val="1A1410"/>
                <w:sz w:val="22"/>
                <w:szCs w:val="22"/>
              </w:rPr>
              <w:t xml:space="preserve">cross-tenant read-only view</w:t>
            </w:r>
            <w:r>
              <w:rPr>
                <w:rFonts w:ascii="Arial" w:cs="Arial" w:eastAsia="Arial" w:hAnsi="Arial"/>
                <w:color w:val="1A1410"/>
                <w:sz w:val="22"/>
                <w:szCs w:val="22"/>
              </w:rPr>
              <w:t xml:space="preserve"> of the actual grant-scoped spend — by line item, by deliverable, by reporting period — across all the NGOs they fund. Each NGO sees only their own data. The donor sees only the grant-scoped slice of each NGO's ledger — never the NGO's other funding or unrelated expenses. The visibility is at the donor's grant boundary, not at the NGO boundary.</w:t>
            </w:r>
          </w:p>
          <w:p>
            <w:pPr>
              <w:spacing w:before="80"/>
            </w:pPr>
            <w:r>
              <w:rPr>
                <w:rFonts w:ascii="Arial" w:cs="Arial" w:eastAsia="Arial" w:hAnsi="Arial"/>
                <w:color w:val="1A1410"/>
                <w:sz w:val="22"/>
                <w:szCs w:val="22"/>
              </w:rPr>
              <w:t xml:space="preserve">No other NGO ERP we found in our competitive research offers this — Sage Intacct Nonprofit, NetSuite Social Impact, QuickBooks, Aptify, MIP — all treat each org as a sealed island. Donor compliance on those systems is fundamentally a PDF-export-and-email loop.</w:t>
            </w:r>
          </w:p>
        </w:tc>
      </w:tr>
    </w:tbl>
    <w:p>
      <w:pPr>
        <w:pStyle w:val="Heading3"/>
        <w:spacing w:after="100" w:before="220"/>
      </w:pPr>
      <w:r>
        <w:rPr>
          <w:rFonts w:ascii="Arial" w:cs="Arial" w:eastAsia="Arial" w:hAnsi="Arial"/>
          <w:b/>
          <w:bCs/>
          <w:color w:val="1A1410"/>
          <w:sz w:val="24"/>
          <w:szCs w:val="24"/>
        </w:rPr>
        <w:t xml:space="preserve">Pricing — three components</w:t>
      </w:r>
    </w:p>
    <w:p>
      <w:pPr>
        <w:spacing w:after="80" w:before="60" w:line="300"/>
        <w:jc w:val="left"/>
      </w:pPr>
      <w:r>
        <w:rPr>
          <w:rFonts w:ascii="Arial" w:cs="Arial" w:eastAsia="Arial" w:hAnsi="Arial"/>
          <w:color w:val="1A1410"/>
          <w:sz w:val="22"/>
          <w:szCs w:val="22"/>
        </w:rPr>
        <w:t xml:space="preserve">Kuja ERP pricing has three components, each scalable independently. Buyers see all three; we never bundle them into an opaque "platform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3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Range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Drivers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Implementation (one-time)</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$20K–$90K</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Number of modules, complexity (single-currency vs. multi-currency, single-entity vs. multi-entity), chart-of-accounts setup, data migration.</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Annual platform license</w:t>
            </w:r>
          </w:p>
        </w:tc>
        <w:tc>
          <w:tcPr>
            <w:tcW w:type="dxa" w:w="3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$12K–$80K / year</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Org size (revenue band), user seat count, number of modules deployed.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Donor visibility add-on</w:t>
            </w:r>
          </w:p>
        </w:tc>
        <w:tc>
          <w:tcPr>
            <w:tcW w:type="dxa" w:w="3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Donor-paid: $6K–$24K / yr / donor</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Per-donor read-only access tier for the integrated mode (number of grantee tenants visible, grant lines visible).</w:t>
            </w:r>
          </w:p>
        </w:tc>
      </w:tr>
    </w:tbl>
    <w:p>
      <w:pPr>
        <w:pStyle w:val="Heading3"/>
        <w:spacing w:after="100" w:before="220"/>
      </w:pPr>
      <w:r>
        <w:rPr>
          <w:rFonts w:ascii="Arial" w:cs="Arial" w:eastAsia="Arial" w:hAnsi="Arial"/>
          <w:b/>
          <w:bCs/>
          <w:color w:val="1A1410"/>
          <w:sz w:val="24"/>
          <w:szCs w:val="24"/>
        </w:rPr>
        <w:t xml:space="preserve">Three pricing tiers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Tier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Total</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Implementation</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License</w:t>
            </w:r>
          </w:p>
        </w:tc>
        <w:tc>
          <w:tcPr>
            <w:tcW w:type="dxa" w:w="17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NGO Subsidized (donor-sponsored, Y1)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~$32K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$12K</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Finance + Accounting + Grant Budgeting. Single currency. Standard chart of accounts.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NGO direct</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$60K–$110K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$30K–$60K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$18K–$36K (+modules)</w:t>
            </w:r>
          </w:p>
        </w:tc>
        <w:tc>
          <w:tcPr>
            <w:tcW w:type="dxa" w:w="17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Adds Procurement + HR. Multi-currency where needed.</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 or enterprise NGO</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$120K–$220K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$60K–$90K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$48K–$80K (+modules)</w:t>
            </w:r>
          </w:p>
        </w:tc>
        <w:tc>
          <w:tcPr>
            <w:tcW w:type="dxa" w:w="1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Full stack plus payroll plus multi-entity plus custom modules.</w:t>
            </w:r>
          </w:p>
        </w:tc>
      </w:tr>
    </w:tbl>
    <w:p>
      <w:pPr>
        <w:spacing w:after="80" w:before="60" w:line="300"/>
        <w:jc w:val="left"/>
      </w:pPr>
      <w:r>
        <w:rPr>
          <w:rFonts w:ascii="Arial" w:cs="Arial" w:eastAsia="Arial" w:hAnsi="Arial"/>
          <w:b/>
          <w:bCs/>
          <w:color w:val="1A1410"/>
          <w:sz w:val="22"/>
          <w:szCs w:val="22"/>
        </w:rPr>
        <w:t xml:space="preserve">Who buys (primary): </w:t>
      </w:r>
      <w:r>
        <w:rPr>
          <w:rFonts w:ascii="Arial" w:cs="Arial" w:eastAsia="Arial" w:hAnsi="Arial"/>
          <w:color w:val="1A1410"/>
          <w:sz w:val="22"/>
          <w:szCs w:val="22"/>
        </w:rPr>
        <w:t xml:space="preserve">foundations and INGOs paying for their grantees under the donor-sponsorship model. Donor pays Year 1; the grantee transitions to grantee-paid by Year 3 as eligibility uplift unlocks new funding. The donor gets the real-time visibility benefit (the wedge); the NGO gets the operational backbone; Kuja gets a five-year retention curve. All three parties win.</w:t>
      </w:r>
    </w:p>
    <w:p>
      <w:pPr>
        <w:spacing w:after="80" w:before="60" w:line="300"/>
        <w:jc w:val="left"/>
      </w:pPr>
      <w:r>
        <w:rPr>
          <w:rFonts w:ascii="Arial" w:cs="Arial" w:eastAsia="Arial" w:hAnsi="Arial"/>
          <w:b/>
          <w:bCs/>
          <w:color w:val="1A1410"/>
          <w:sz w:val="22"/>
          <w:szCs w:val="22"/>
        </w:rPr>
        <w:t xml:space="preserve">Who buys (secondary): </w:t>
      </w:r>
      <w:r>
        <w:rPr>
          <w:rFonts w:ascii="Arial" w:cs="Arial" w:eastAsia="Arial" w:hAnsi="Arial"/>
          <w:color w:val="1A1410"/>
          <w:sz w:val="22"/>
          <w:szCs w:val="22"/>
        </w:rPr>
        <w:t xml:space="preserve">mid-to-large NGOs directly when they are ready for an enterprise-grade backbone and have the discretionary spend; network secretariats for their own operations (Networks motion, Section 7.2). Direct NGO sales is a smaller channel because most Global South NGOs do not carry $20K–$100K of discretionary spend for accounting software.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Lowest land-rate of any pillar, highest retention. A foundation rarely buys ERP first — they typically pilot Grant, expand to Elevate, and only then sponsor ERP for grantees that have the operational maturity to absorb it. Once an NGO is operating on Kuja ERP, switching cost is high — chart of accounts, payroll, audit trail, multi-year history all live there. ERP is what makes a foundation a five-year customer instead of a one-year one.</w:t>
      </w:r>
    </w:p>
    <w:p>
      <w:pPr>
        <w:pStyle w:val="Heading2"/>
        <w:spacing w:after="140" w:before="280"/>
      </w:pPr>
      <w:r>
        <w:rPr>
          <w:rFonts w:ascii="Arial" w:cs="Arial" w:eastAsia="Arial" w:hAnsi="Arial"/>
          <w:b/>
          <w:bCs/>
          <w:color w:val="7C2D12"/>
          <w:sz w:val="28"/>
          <w:szCs w:val="28"/>
        </w:rPr>
        <w:t xml:space="preserve">4.5 PMO-as-a-Service — the cross-pillar accelerator</w:t>
      </w:r>
    </w:p>
    <w:p>
      <w:pPr>
        <w:spacing w:after="80" w:before="60" w:line="300"/>
        <w:jc w:val="left"/>
      </w:pPr>
      <w:r>
        <w:rPr>
          <w:rFonts w:ascii="Arial" w:cs="Arial" w:eastAsia="Arial" w:hAnsi="Arial"/>
          <w:color w:val="1A1410"/>
          <w:sz w:val="22"/>
          <w:szCs w:val="22"/>
        </w:rPr>
        <w:t xml:space="preserve">PMO-as-a-Service is the productized version of Adeso's own PMO transformation. It runs across all four pillars: executive reporting cadence for donors, operating-cadence playbooks for NGOs, OB governance rhythm for networks, audit-evidence standards for everyone. It is the bridge between compliance (pillars 1, 2, 4) and delivery performance (pillar 3). Strategic role: PMO is what converts a one-time Grant deployment into a recurring multi-pillar relationship.</w:t>
      </w:r>
    </w:p>
    <w:p>
      <w:pPr>
        <w:pStyle w:val="Heading1"/>
        <w:pageBreakBefore/>
        <w:spacing w:after="200" w:before="320"/>
      </w:pPr>
      <w:r>
        <w:rPr>
          <w:rFonts w:ascii="Arial" w:cs="Arial" w:eastAsia="Arial" w:hAnsi="Arial"/>
          <w:b/>
          <w:bCs/>
          <w:color w:val="C2410C"/>
          <w:sz w:val="36"/>
          <w:szCs w:val="36"/>
        </w:rPr>
        <w:t xml:space="preserve">5. Trust is the Product</w:t>
      </w:r>
    </w:p>
    <w:p>
      <w:pPr>
        <w:spacing w:after="80" w:before="60" w:line="300"/>
        <w:jc w:val="left"/>
      </w:pPr>
      <w:r>
        <w:rPr>
          <w:rFonts w:ascii="Arial" w:cs="Arial" w:eastAsia="Arial" w:hAnsi="Arial"/>
          <w:color w:val="1A1410"/>
          <w:sz w:val="22"/>
          <w:szCs w:val="22"/>
        </w:rPr>
        <w:t xml:space="preserve">Every funder asks the same question in different words: how do I know I can trust this organization with this grant? Kuja's answer is a structured, hash-anchored, multi-tenant Trust Profile that travels with the NGO across every donor and every grant.</w:t>
      </w:r>
    </w:p>
    <w:p>
      <w:pPr>
        <w:pStyle w:val="Heading2"/>
        <w:spacing w:after="140" w:before="280"/>
      </w:pPr>
      <w:r>
        <w:rPr>
          <w:rFonts w:ascii="Arial" w:cs="Arial" w:eastAsia="Arial" w:hAnsi="Arial"/>
          <w:b/>
          <w:bCs/>
          <w:color w:val="7C2D12"/>
          <w:sz w:val="28"/>
          <w:szCs w:val="28"/>
        </w:rPr>
        <w:t xml:space="preserve">5.1 The Six Pillars of Trust</w:t>
      </w:r>
    </w:p>
    <w:p>
      <w:pPr>
        <w:spacing w:after="80" w:before="60" w:line="300"/>
        <w:jc w:val="left"/>
      </w:pPr>
      <w:r>
        <w:rPr>
          <w:rFonts w:ascii="Arial" w:cs="Arial" w:eastAsia="Arial" w:hAnsi="Arial"/>
          <w:color w:val="1A1410"/>
          <w:sz w:val="22"/>
          <w:szCs w:val="22"/>
        </w:rPr>
        <w:t xml:space="preserve">One Trust Profile per organization, consolidated in production today. Used by both motions and all four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7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captures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Identity &amp; Registration</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Country, sector, registration number, registry authority. AI-confidence score on the registry verification. Seven country registries pre-mapped.</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Sanctions</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Live OpenSanctions API with fallback to direct UN XML, OFAC CSV, EU CSV. Re-screened on cadence. Match confidence shown, not hidden.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Adverse Media</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Claude-driven 24-month lookback with finding count, confidence score, and per-finding source citations.</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Bank Verification</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Plaid integration plus IBAN check plus microdeposit flow. Country-specific where the rail exists.</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Conflict of Interest</w:t>
            </w:r>
          </w:p>
        </w:tc>
        <w:tc>
          <w:tcPr>
            <w:tcW w:type="dxa" w:w="7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Captured at every governance signature step (declarations, reviews, awards). Audit-anchored. Per-network OB recusal flow.</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Capacity Assessment</w:t>
            </w:r>
          </w:p>
        </w:tc>
        <w:tc>
          <w:tcPr>
            <w:tcW w:type="dxa" w:w="7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5-framework — Kuja, STEP, UN-HACT, CHS, NUPAS. Reusable across donors. Publishable as a tamper-evident Capacity Passport.</w:t>
            </w:r>
          </w:p>
        </w:tc>
      </w:tr>
    </w:tbl>
    <w:p>
      <w:pPr>
        <w:pStyle w:val="Heading2"/>
        <w:spacing w:after="140" w:before="280"/>
      </w:pPr>
      <w:r>
        <w:rPr>
          <w:rFonts w:ascii="Arial" w:cs="Arial" w:eastAsia="Arial" w:hAnsi="Arial"/>
          <w:b/>
          <w:bCs/>
          <w:color w:val="7C2D12"/>
          <w:sz w:val="28"/>
          <w:szCs w:val="28"/>
        </w:rPr>
        <w:t xml:space="preserve">5.2 The Audit Chain — Compliance Currency</w:t>
      </w:r>
    </w:p>
    <w:p>
      <w:pPr>
        <w:spacing w:after="80" w:before="60" w:line="300"/>
        <w:jc w:val="left"/>
      </w:pPr>
      <w:r>
        <w:rPr>
          <w:rFonts w:ascii="Arial" w:cs="Arial" w:eastAsia="Arial" w:hAnsi="Arial"/>
          <w:color w:val="1A1410"/>
          <w:sz w:val="22"/>
          <w:szCs w:val="22"/>
        </w:rPr>
        <w:t xml:space="preserve">Every governance transition writes an AuditChainEntry. Each row's prev_hash links to the previous row's payload hash. Tamper an entry, every row after breaks. The /admin/audit-chain view validates the chain end-to-end and shows the hashes.</w:t>
      </w:r>
    </w:p>
    <w:p>
      <w:pPr>
        <w:pStyle w:val="ListParagraph"/>
        <w:numPr>
          <w:ilvl w:val="0"/>
          <w:numId w:val="2"/>
        </w:numPr>
        <w:spacing w:after="60" w:before="30" w:line="280"/>
      </w:pPr>
      <w:r>
        <w:rPr>
          <w:rFonts w:ascii="Arial" w:cs="Arial" w:eastAsia="Arial" w:hAnsi="Arial"/>
          <w:color w:val="1A1410"/>
          <w:sz w:val="22"/>
          <w:szCs w:val="22"/>
        </w:rPr>
        <w:t xml:space="preserve">Membership approve / reject — audit-anchored.</w:t>
      </w:r>
    </w:p>
    <w:p>
      <w:pPr>
        <w:pStyle w:val="ListParagraph"/>
        <w:numPr>
          <w:ilvl w:val="0"/>
          <w:numId w:val="2"/>
        </w:numPr>
        <w:spacing w:after="60" w:before="30" w:line="280"/>
      </w:pPr>
      <w:r>
        <w:rPr>
          <w:rFonts w:ascii="Arial" w:cs="Arial" w:eastAsia="Arial" w:hAnsi="Arial"/>
          <w:color w:val="1A1410"/>
          <w:sz w:val="22"/>
          <w:szCs w:val="22"/>
        </w:rPr>
        <w:t xml:space="preserve">Emergency declarations — submit / sign / recuse / reject / activate. Multi-sig with COI. Every signature anchored.</w:t>
      </w:r>
    </w:p>
    <w:p>
      <w:pPr>
        <w:pStyle w:val="ListParagraph"/>
        <w:numPr>
          <w:ilvl w:val="0"/>
          <w:numId w:val="2"/>
        </w:numPr>
        <w:spacing w:after="60" w:before="30" w:line="280"/>
      </w:pPr>
      <w:r>
        <w:rPr>
          <w:rFonts w:ascii="Arial" w:cs="Arial" w:eastAsia="Arial" w:hAnsi="Arial"/>
          <w:color w:val="1A1410"/>
          <w:sz w:val="22"/>
          <w:szCs w:val="22"/>
        </w:rPr>
        <w:t xml:space="preserve">Grant auto-creation, application release, award decisions.</w:t>
      </w:r>
    </w:p>
    <w:p>
      <w:pPr>
        <w:pStyle w:val="ListParagraph"/>
        <w:numPr>
          <w:ilvl w:val="0"/>
          <w:numId w:val="2"/>
        </w:numPr>
        <w:spacing w:after="60" w:before="30" w:line="280"/>
      </w:pPr>
      <w:r>
        <w:rPr>
          <w:rFonts w:ascii="Arial" w:cs="Arial" w:eastAsia="Arial" w:hAnsi="Arial"/>
          <w:color w:val="1A1410"/>
          <w:sz w:val="22"/>
          <w:szCs w:val="22"/>
        </w:rPr>
        <w:t xml:space="preserve">Oversight Body seat changes, secretariat messages, NGO feedback.</w:t>
      </w:r>
    </w:p>
    <w:p>
      <w:pPr>
        <w:pStyle w:val="ListParagraph"/>
        <w:numPr>
          <w:ilvl w:val="0"/>
          <w:numId w:val="2"/>
        </w:numPr>
        <w:spacing w:after="60" w:before="30" w:line="280"/>
      </w:pPr>
      <w:r>
        <w:rPr>
          <w:rFonts w:ascii="Arial" w:cs="Arial" w:eastAsia="Arial" w:hAnsi="Arial"/>
          <w:color w:val="1A1410"/>
          <w:sz w:val="22"/>
          <w:szCs w:val="22"/>
        </w:rPr>
        <w:t xml:space="preserve">Crisis Monitoring Report publications.</w:t>
      </w:r>
    </w:p>
    <w:p>
      <w:pPr>
        <w:spacing w:after="80" w:before="60" w:line="300"/>
        <w:jc w:val="left"/>
      </w:pPr>
      <w:r>
        <w:rPr>
          <w:rFonts w:ascii="Arial" w:cs="Arial" w:eastAsia="Arial" w:hAnsi="Arial"/>
          <w:color w:val="1A1410"/>
          <w:sz w:val="22"/>
          <w:szCs w:val="22"/>
        </w:rPr>
        <w:t xml:space="preserve">Donors stop asking </w:t>
      </w:r>
      <w:r>
        <w:rPr>
          <w:rFonts w:ascii="Arial" w:cs="Arial" w:eastAsia="Arial" w:hAnsi="Arial"/>
          <w:b/>
          <w:bCs/>
          <w:color w:val="1A1410"/>
          <w:sz w:val="22"/>
          <w:szCs w:val="22"/>
        </w:rPr>
        <w:t xml:space="preserve">"how do you know peer governance was exercised?"</w:t>
      </w:r>
      <w:r>
        <w:rPr>
          <w:rFonts w:ascii="Arial" w:cs="Arial" w:eastAsia="Arial" w:hAnsi="Arial"/>
          <w:color w:val="1A1410"/>
          <w:sz w:val="22"/>
          <w:szCs w:val="22"/>
        </w:rPr>
        <w:t xml:space="preserve"> — they get pointed at the URL. Networks cite the audit chain in their own funder due-diligence. The chain </w:t>
      </w:r>
      <w:r>
        <w:rPr>
          <w:rFonts w:ascii="Arial" w:cs="Arial" w:eastAsia="Arial" w:hAnsi="Arial"/>
          <w:b/>
          <w:bCs/>
          <w:color w:val="1A1410"/>
          <w:sz w:val="22"/>
          <w:szCs w:val="22"/>
        </w:rPr>
        <w:t xml:space="preserve">is the compliance currency.</w:t>
      </w:r>
    </w:p>
    <w:p>
      <w:pPr>
        <w:pStyle w:val="Heading2"/>
        <w:spacing w:after="140" w:before="280"/>
      </w:pPr>
      <w:r>
        <w:rPr>
          <w:rFonts w:ascii="Arial" w:cs="Arial" w:eastAsia="Arial" w:hAnsi="Arial"/>
          <w:b/>
          <w:bCs/>
          <w:color w:val="7C2D12"/>
          <w:sz w:val="28"/>
          <w:szCs w:val="28"/>
        </w:rPr>
        <w:t xml:space="preserve">5.3 The Trust Loop — Elevate as the Builder</w:t>
      </w:r>
    </w:p>
    <w:p>
      <w:pPr>
        <w:spacing w:after="80" w:before="60" w:line="300"/>
        <w:jc w:val="left"/>
      </w:pPr>
      <w:r>
        <w:rPr>
          <w:rFonts w:ascii="Arial" w:cs="Arial" w:eastAsia="Arial" w:hAnsi="Arial"/>
          <w:color w:val="1A1410"/>
          <w:sz w:val="22"/>
          <w:szCs w:val="22"/>
        </w:rPr>
        <w:t xml:space="preserve">Trust is not earned at the moment of grant award. It is built over time by operational maturity. Kuja Elevate is the engine that builds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Trust Loop</w:t>
            </w:r>
          </w:p>
          <w:p>
            <w:pPr>
              <w:spacing w:before="80"/>
            </w:pPr>
            <w:r>
              <w:rPr>
                <w:rFonts w:ascii="Arial" w:cs="Arial" w:eastAsia="Arial" w:hAnsi="Arial"/>
                <w:color w:val="1A1410"/>
                <w:sz w:val="22"/>
                <w:szCs w:val="22"/>
              </w:rPr>
              <w:t xml:space="preserve">Diagnose maturity → Improve policies, governance, finance, M&amp;E → Automate via Kuja ERP + Kuja Grant → </w:t>
            </w:r>
            <w:r>
              <w:rPr>
                <w:rFonts w:ascii="Arial" w:cs="Arial" w:eastAsia="Arial" w:hAnsi="Arial"/>
                <w:b/>
                <w:bCs/>
                <w:color w:val="1A1410"/>
                <w:sz w:val="22"/>
                <w:szCs w:val="22"/>
              </w:rPr>
              <w:t xml:space="preserve">publish capacity result as Trust Passport</w:t>
            </w:r>
            <w:r>
              <w:rPr>
                <w:rFonts w:ascii="Arial" w:cs="Arial" w:eastAsia="Arial" w:hAnsi="Arial"/>
                <w:color w:val="1A1410"/>
                <w:sz w:val="22"/>
                <w:szCs w:val="22"/>
              </w:rPr>
              <w:t xml:space="preserve"> → Marketplace visibility to new donors → new grants funded via Kuja Grant + ERP → operating data strengthens the Trust Profile → next due-diligence cycle is faster and cheaper for both sides.</w:t>
            </w:r>
          </w:p>
          <w:p>
            <w:pPr>
              <w:spacing w:before="80"/>
            </w:pPr>
            <w:r>
              <w:rPr>
                <w:rFonts w:ascii="Arial" w:cs="Arial" w:eastAsia="Arial" w:hAnsi="Arial"/>
                <w:color w:val="1A1410"/>
                <w:sz w:val="22"/>
                <w:szCs w:val="22"/>
              </w:rPr>
              <w:t xml:space="preserve">Target outcome over a 24-month engagement: </w:t>
            </w:r>
            <w:r>
              <w:rPr>
                <w:rFonts w:ascii="Arial" w:cs="Arial" w:eastAsia="Arial" w:hAnsi="Arial"/>
                <w:b/>
                <w:bCs/>
                <w:color w:val="1A1410"/>
                <w:sz w:val="22"/>
                <w:szCs w:val="22"/>
              </w:rPr>
              <w:t xml:space="preserve">measurable maturity uplift</w:t>
            </w:r>
            <w:r>
              <w:rPr>
                <w:rFonts w:ascii="Arial" w:cs="Arial" w:eastAsia="Arial" w:hAnsi="Arial"/>
                <w:color w:val="1A1410"/>
                <w:sz w:val="22"/>
                <w:szCs w:val="22"/>
              </w:rPr>
              <w:t xml:space="preserve"> against a structured assessment baseline. This is the metric that justifies donor spend. Industry baselines for first-attempt Tier-1 capacity assessment success are typically below 30% — Elevate's methodology, proven on Adeso's own operations, is designed to move grantees materially above that band over the engagement.</w:t>
            </w:r>
          </w:p>
        </w:tc>
      </w:tr>
    </w:tbl>
    <w:p>
      <w:pPr>
        <w:pStyle w:val="Heading1"/>
        <w:pageBreakBefore/>
        <w:spacing w:after="200" w:before="320"/>
      </w:pPr>
      <w:r>
        <w:rPr>
          <w:rFonts w:ascii="Arial" w:cs="Arial" w:eastAsia="Arial" w:hAnsi="Arial"/>
          <w:b/>
          <w:bCs/>
          <w:color w:val="C2410C"/>
          <w:sz w:val="36"/>
          <w:szCs w:val="36"/>
        </w:rPr>
        <w:t xml:space="preserve">6. AI as the Operating System</w:t>
      </w:r>
    </w:p>
    <w:p>
      <w:pPr>
        <w:spacing w:after="80" w:before="60" w:line="300"/>
        <w:jc w:val="left"/>
      </w:pPr>
      <w:r>
        <w:rPr>
          <w:rFonts w:ascii="Arial" w:cs="Arial" w:eastAsia="Arial" w:hAnsi="Arial"/>
          <w:color w:val="1A1410"/>
          <w:sz w:val="22"/>
          <w:szCs w:val="22"/>
        </w:rPr>
        <w:t xml:space="preserve">Kuja AI is the operating system, not a chat widget. Seven design principles, applied across every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Principle</w:t>
            </w:r>
          </w:p>
        </w:tc>
        <w:tc>
          <w:tcPr>
            <w:tcW w:type="dxa" w:w="7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it means in practice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1. Grounded</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output draws on the user's actual data — proposal text, agreement clauses, reviewer comments, audit history. Citations link to sources. No hallucinations sneaking through.</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2. Action-oriented</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Drafts a narrative. Scores an application. Classifies a budget line. Extracts evidence from a phone photo. It does not "chat" — it does work.</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3. Tenant-specific</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AI knows YOUR rubrics, YOUR thresholds, YOUR weights. Not a generic "good NGO" template. Per-tenant frameworks, per-network OB roles.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4. Fallback-aware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surface has a deterministic manual path. AI unavailable ≠ workflow broken. Service-status probe + proactive notices.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5. Multilingual</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Six languages at platform parity. Voice transcription with language-quality metadata. OpenAI Whisper fallback for languages Chrome's Web Speech API doesn't support (Somali, Swahili, Arabic).</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6. Auditable</w:t>
            </w:r>
          </w:p>
        </w:tc>
        <w:tc>
          <w:tcPr>
            <w:tcW w:type="dxa" w:w="7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Every AI call telemetered: endpoint, model, tokens, latency, success. Per-endpoint failure-rate rollup at /admin/ai-telemetry. Output decisions traceable.</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7. Cost-aware</w:t>
            </w:r>
          </w:p>
        </w:tc>
        <w:tc>
          <w:tcPr>
            <w:tcW w:type="dxa" w:w="7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20"/>
                <w:szCs w:val="20"/>
              </w:rPr>
              <w:t xml:space="preserve">Heavy work moves to background tasks. /submit returns in 140ms, not 22 seconds. Anthropic prompt caching on long surfaces. Haiku 4.5 for transformation tasks; Sonnet for reasoning. Per-org AI budget gate.</w:t>
            </w:r>
          </w:p>
        </w:tc>
      </w:tr>
    </w:tbl>
    <w:p>
      <w:pPr>
        <w:pStyle w:val="Heading2"/>
        <w:spacing w:after="140" w:before="280"/>
      </w:pPr>
      <w:r>
        <w:rPr>
          <w:rFonts w:ascii="Arial" w:cs="Arial" w:eastAsia="Arial" w:hAnsi="Arial"/>
          <w:b/>
          <w:bCs/>
          <w:color w:val="7C2D12"/>
          <w:sz w:val="28"/>
          <w:szCs w:val="28"/>
        </w:rPr>
        <w:t xml:space="preserve">6.1 Surface Inventory</w:t>
      </w:r>
    </w:p>
    <w:p>
      <w:pPr>
        <w:spacing w:after="80" w:before="60" w:line="300"/>
        <w:jc w:val="left"/>
      </w:pPr>
      <w:r>
        <w:rPr>
          <w:rFonts w:ascii="Arial" w:cs="Arial" w:eastAsia="Arial" w:hAnsi="Arial"/>
          <w:color w:val="1A1410"/>
          <w:sz w:val="22"/>
          <w:szCs w:val="22"/>
        </w:rPr>
        <w:t xml:space="preserve">As of June 2026, Kuja runs more than 50 distinct AI surfaces across the four pillars:</w:t>
      </w:r>
    </w:p>
    <w:p>
      <w:pPr>
        <w:pStyle w:val="ListParagraph"/>
        <w:numPr>
          <w:ilvl w:val="0"/>
          <w:numId w:val="2"/>
        </w:numPr>
        <w:spacing w:after="60" w:before="30" w:line="280"/>
      </w:pPr>
      <w:r>
        <w:rPr>
          <w:rFonts w:ascii="Arial" w:cs="Arial" w:eastAsia="Arial" w:hAnsi="Arial"/>
          <w:b/>
          <w:bCs/>
          <w:color w:val="1A1410"/>
          <w:sz w:val="22"/>
          <w:szCs w:val="22"/>
        </w:rPr>
        <w:t xml:space="preserve">Kuja Grant (35+): </w:t>
      </w:r>
      <w:r>
        <w:rPr>
          <w:rFonts w:ascii="Arial" w:cs="Arial" w:eastAsia="Arial" w:hAnsi="Arial"/>
          <w:color w:val="1A1410"/>
          <w:sz w:val="22"/>
          <w:szCs w:val="22"/>
        </w:rPr>
        <w:t xml:space="preserve">rubric scoring, budget classifier, voice-to-report, photo-as-evidence, AI-drafts-application, reviewer summary, criteria suggestion, compliance explainer, plain-language compliance flags, smart deadline negotiation, why-rejected feedback, translate across six languages, contextual suggestions, NGO readiness coach.</w:t>
      </w:r>
    </w:p>
    <w:p>
      <w:pPr>
        <w:pStyle w:val="ListParagraph"/>
        <w:numPr>
          <w:ilvl w:val="0"/>
          <w:numId w:val="2"/>
        </w:numPr>
        <w:spacing w:after="60" w:before="30" w:line="280"/>
      </w:pPr>
      <w:r>
        <w:rPr>
          <w:rFonts w:ascii="Arial" w:cs="Arial" w:eastAsia="Arial" w:hAnsi="Arial"/>
          <w:b/>
          <w:bCs/>
          <w:color w:val="1A1410"/>
          <w:sz w:val="22"/>
          <w:szCs w:val="22"/>
        </w:rPr>
        <w:t xml:space="preserve">Kuja Elevate (planned, in design): </w:t>
      </w:r>
      <w:r>
        <w:rPr>
          <w:rFonts w:ascii="Arial" w:cs="Arial" w:eastAsia="Arial" w:hAnsi="Arial"/>
          <w:color w:val="1A1410"/>
          <w:sz w:val="22"/>
          <w:szCs w:val="22"/>
        </w:rPr>
        <w:t xml:space="preserve">first-pass policy drafting from a question set, policy conflict checker, knowledge agent for staff queries, SOP recommendations, M&amp;E framework synthesis.</w:t>
      </w:r>
    </w:p>
    <w:p>
      <w:pPr>
        <w:pStyle w:val="ListParagraph"/>
        <w:numPr>
          <w:ilvl w:val="0"/>
          <w:numId w:val="2"/>
        </w:numPr>
        <w:spacing w:after="60" w:before="30" w:line="280"/>
      </w:pPr>
      <w:r>
        <w:rPr>
          <w:rFonts w:ascii="Arial" w:cs="Arial" w:eastAsia="Arial" w:hAnsi="Arial"/>
          <w:b/>
          <w:bCs/>
          <w:color w:val="1A1410"/>
          <w:sz w:val="22"/>
          <w:szCs w:val="22"/>
        </w:rPr>
        <w:t xml:space="preserve">Kuja Networks (7): </w:t>
      </w:r>
      <w:r>
        <w:rPr>
          <w:rFonts w:ascii="Arial" w:cs="Arial" w:eastAsia="Arial" w:hAnsi="Arial"/>
          <w:color w:val="1A1410"/>
          <w:sz w:val="22"/>
          <w:szCs w:val="22"/>
        </w:rPr>
        <w:t xml:space="preserve">Crisis Monitoring narrative drafting, top-risks identification, declaration parsing, signature-pace coaching, application rubric scoring, budget classifier, declaration-as-conversation.</w:t>
      </w:r>
    </w:p>
    <w:p>
      <w:pPr>
        <w:pStyle w:val="ListParagraph"/>
        <w:numPr>
          <w:ilvl w:val="0"/>
          <w:numId w:val="2"/>
        </w:numPr>
        <w:spacing w:after="60" w:before="30" w:line="280"/>
      </w:pPr>
      <w:r>
        <w:rPr>
          <w:rFonts w:ascii="Arial" w:cs="Arial" w:eastAsia="Arial" w:hAnsi="Arial"/>
          <w:b/>
          <w:bCs/>
          <w:color w:val="1A1410"/>
          <w:sz w:val="22"/>
          <w:szCs w:val="22"/>
        </w:rPr>
        <w:t xml:space="preserve">Cross-pillar: </w:t>
      </w:r>
      <w:r>
        <w:rPr>
          <w:rFonts w:ascii="Arial" w:cs="Arial" w:eastAsia="Arial" w:hAnsi="Arial"/>
          <w:color w:val="1A1410"/>
          <w:sz w:val="22"/>
          <w:szCs w:val="22"/>
        </w:rPr>
        <w:t xml:space="preserve">translate, the central co-pilot rail with citations, context-aware suggestions, trust-claim explanations.</w:t>
      </w:r>
    </w:p>
    <w:p>
      <w:pPr>
        <w:pStyle w:val="Heading2"/>
        <w:spacing w:after="140" w:before="280"/>
      </w:pPr>
      <w:r>
        <w:rPr>
          <w:rFonts w:ascii="Arial" w:cs="Arial" w:eastAsia="Arial" w:hAnsi="Arial"/>
          <w:b/>
          <w:bCs/>
          <w:color w:val="7C2D12"/>
          <w:sz w:val="28"/>
          <w:szCs w:val="28"/>
        </w:rPr>
        <w:t xml:space="preserve">6.2 Why no competitor matches this</w:t>
      </w:r>
    </w:p>
    <w:p>
      <w:pPr>
        <w:spacing w:after="80" w:before="60" w:line="300"/>
        <w:jc w:val="left"/>
      </w:pPr>
      <w:r>
        <w:rPr>
          <w:rFonts w:ascii="Arial" w:cs="Arial" w:eastAsia="Arial" w:hAnsi="Arial"/>
          <w:color w:val="1A1410"/>
          <w:sz w:val="22"/>
          <w:szCs w:val="22"/>
        </w:rPr>
        <w:t xml:space="preserve">Three structural advantages, validated by competitive research:</w:t>
      </w:r>
    </w:p>
    <w:p>
      <w:pPr>
        <w:pStyle w:val="ListParagraph"/>
        <w:numPr>
          <w:ilvl w:val="0"/>
          <w:numId w:val="2"/>
        </w:numPr>
        <w:spacing w:after="60" w:before="30" w:line="280"/>
      </w:pPr>
      <w:r>
        <w:rPr>
          <w:rFonts w:ascii="Arial" w:cs="Arial" w:eastAsia="Arial" w:hAnsi="Arial"/>
          <w:b/>
          <w:bCs/>
          <w:color w:val="1A1410"/>
          <w:sz w:val="22"/>
          <w:szCs w:val="22"/>
        </w:rPr>
        <w:t xml:space="preserve">Mainstream vendors are bolting AI on, not rebuilding. </w:t>
      </w:r>
      <w:r>
        <w:rPr>
          <w:rFonts w:ascii="Arial" w:cs="Arial" w:eastAsia="Arial" w:hAnsi="Arial"/>
          <w:color w:val="1A1410"/>
          <w:sz w:val="22"/>
          <w:szCs w:val="22"/>
        </w:rPr>
        <w:t xml:space="preserve">Submittable's Review AI (Smart Summary + Smart Reviewer) layers over its existing form engine. Salesforce Einstein for Nonprofit Cloud rides Einstein 1 on the same NPSP data shape. Bonterra Funder Intelligence adds prediction over historical grant tables. Fluxx — the foundation-grade incumbent — has no shipped, named AI features as of 2025 (Plinth, 2025).</w:t>
      </w:r>
    </w:p>
    <w:p>
      <w:pPr>
        <w:pStyle w:val="ListParagraph"/>
        <w:numPr>
          <w:ilvl w:val="0"/>
          <w:numId w:val="2"/>
        </w:numPr>
        <w:spacing w:after="60" w:before="30" w:line="280"/>
      </w:pPr>
      <w:r>
        <w:rPr>
          <w:rFonts w:ascii="Arial" w:cs="Arial" w:eastAsia="Arial" w:hAnsi="Arial"/>
          <w:b/>
          <w:bCs/>
          <w:color w:val="1A1410"/>
          <w:sz w:val="22"/>
          <w:szCs w:val="22"/>
        </w:rPr>
        <w:t xml:space="preserve">Foundation AI adoption is essentially zero. </w:t>
      </w:r>
      <w:r>
        <w:rPr>
          <w:rFonts w:ascii="Arial" w:cs="Arial" w:eastAsia="Arial" w:hAnsi="Arial"/>
          <w:color w:val="1A1410"/>
          <w:sz w:val="22"/>
          <w:szCs w:val="22"/>
        </w:rPr>
        <w:t xml:space="preserve">97% of foundations are NOT using generative AI to screen applications (Candid, 2024). The category is greenfield — Kuja arrives before legacy vendors have data-model architecture ready to compete.</w:t>
      </w:r>
    </w:p>
    <w:p>
      <w:pPr>
        <w:pStyle w:val="ListParagraph"/>
        <w:numPr>
          <w:ilvl w:val="0"/>
          <w:numId w:val="2"/>
        </w:numPr>
        <w:spacing w:after="60" w:before="30" w:line="280"/>
      </w:pPr>
      <w:r>
        <w:rPr>
          <w:rFonts w:ascii="Arial" w:cs="Arial" w:eastAsia="Arial" w:hAnsi="Arial"/>
          <w:b/>
          <w:bCs/>
          <w:color w:val="1A1410"/>
          <w:sz w:val="22"/>
          <w:szCs w:val="22"/>
        </w:rPr>
        <w:t xml:space="preserve">Multilingual Global South coverage is a moat. </w:t>
      </w:r>
      <w:r>
        <w:rPr>
          <w:rFonts w:ascii="Arial" w:cs="Arial" w:eastAsia="Arial" w:hAnsi="Arial"/>
          <w:color w:val="1A1410"/>
          <w:sz w:val="22"/>
          <w:szCs w:val="22"/>
        </w:rPr>
        <w:t xml:space="preserve">More than 98% of African languages are unsupported by mainstream LLMs (arXiv:2502.19582). Kuja's six-language platform parity, Whisper fallback, and confidence-band UI for low-resource languages were designed for exactly this gap.</w:t>
      </w:r>
    </w:p>
    <w:p>
      <w:pPr>
        <w:pStyle w:val="Heading1"/>
        <w:pageBreakBefore/>
        <w:spacing w:after="200" w:before="320"/>
      </w:pPr>
      <w:r>
        <w:rPr>
          <w:rFonts w:ascii="Arial" w:cs="Arial" w:eastAsia="Arial" w:hAnsi="Arial"/>
          <w:b/>
          <w:bCs/>
          <w:color w:val="C2410C"/>
          <w:sz w:val="36"/>
          <w:szCs w:val="36"/>
        </w:rPr>
        <w:t xml:space="preserve">7. Three Go-to-Market Motions</w:t>
      </w:r>
    </w:p>
    <w:p>
      <w:pPr>
        <w:spacing w:after="80" w:before="60" w:line="300"/>
        <w:jc w:val="left"/>
      </w:pPr>
      <w:r>
        <w:rPr>
          <w:rFonts w:ascii="Arial" w:cs="Arial" w:eastAsia="Arial" w:hAnsi="Arial"/>
          <w:color w:val="1A1410"/>
          <w:sz w:val="22"/>
          <w:szCs w:val="22"/>
        </w:rPr>
        <w:t xml:space="preserve">Same platform, same pillars, three distinct ways it gets bought. The architecture is the same; what changes is who signs the contract and how the pricing assembles.</w:t>
      </w:r>
    </w:p>
    <w:p>
      <w:pPr>
        <w:pStyle w:val="Heading2"/>
        <w:spacing w:after="140" w:before="280"/>
      </w:pPr>
      <w:r>
        <w:rPr>
          <w:rFonts w:ascii="Arial" w:cs="Arial" w:eastAsia="Arial" w:hAnsi="Arial"/>
          <w:b/>
          <w:bCs/>
          <w:color w:val="7C2D12"/>
          <w:sz w:val="28"/>
          <w:szCs w:val="28"/>
        </w:rPr>
        <w:t xml:space="preserve">7.1 Motion A — Donor / INGO Motion</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foundations, family offices, bilateral donors, donor-advised funds, INGOs running grant programs.</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Kuja Marketplace + Kuja Grant + Kuja Elevate (sponsored for grantees) + Kuja ERP (sponsored for grantees).</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SaaS contracts with quarterly value reviews. Donor pays for grantee onboarding under the sponsorship model. Marketplace publishing tier for visibility.</w:t>
      </w:r>
    </w:p>
    <w:p>
      <w:pPr>
        <w:spacing w:after="80" w:before="60" w:line="300"/>
        <w:jc w:val="left"/>
      </w:pPr>
      <w:r>
        <w:rPr>
          <w:rFonts w:ascii="Arial" w:cs="Arial" w:eastAsia="Arial" w:hAnsi="Arial"/>
          <w:b/>
          <w:bCs/>
          <w:color w:val="1A1410"/>
          <w:sz w:val="22"/>
          <w:szCs w:val="22"/>
        </w:rPr>
        <w:t xml:space="preserve">Land-and-expand: </w:t>
      </w:r>
      <w:r>
        <w:rPr>
          <w:rFonts w:ascii="Arial" w:cs="Arial" w:eastAsia="Arial" w:hAnsi="Arial"/>
          <w:color w:val="1A1410"/>
          <w:sz w:val="22"/>
          <w:szCs w:val="22"/>
        </w:rPr>
        <w:t xml:space="preserve">Land with Kuja Grant on one high-urgency workflow. Prove cycle-time and compliance-quality in 90–120 days. Expand to Elevate where maturity gaps are visible. Expand to ERP for grantees with sponsor pathways. Institutionalise with PMO cadence.</w:t>
      </w:r>
    </w:p>
    <w:p>
      <w:pPr>
        <w:pStyle w:val="Heading2"/>
        <w:spacing w:after="140" w:before="280"/>
      </w:pPr>
      <w:r>
        <w:rPr>
          <w:rFonts w:ascii="Arial" w:cs="Arial" w:eastAsia="Arial" w:hAnsi="Arial"/>
          <w:b/>
          <w:bCs/>
          <w:color w:val="7C2D12"/>
          <w:sz w:val="28"/>
          <w:szCs w:val="28"/>
        </w:rPr>
        <w:t xml:space="preserve">7.2 Motion B — Network Motion (closed peer-governed networks)</w:t>
      </w:r>
    </w:p>
    <w:p>
      <w:pPr>
        <w:spacing w:after="80" w:before="60" w:line="300"/>
        <w:jc w:val="left"/>
      </w:pPr>
      <w:r>
        <w:rPr>
          <w:rFonts w:ascii="Arial" w:cs="Arial" w:eastAsia="Arial" w:hAnsi="Arial"/>
          <w:b/>
          <w:bCs/>
          <w:color w:val="1A1410"/>
          <w:sz w:val="22"/>
          <w:szCs w:val="22"/>
        </w:rPr>
        <w:t xml:space="preserve">Who buys: </w:t>
      </w:r>
      <w:r>
        <w:rPr>
          <w:rFonts w:ascii="Arial" w:cs="Arial" w:eastAsia="Arial" w:hAnsi="Arial"/>
          <w:color w:val="1A1410"/>
          <w:sz w:val="22"/>
          <w:szCs w:val="22"/>
        </w:rPr>
        <w:t xml:space="preserve">network secretariats running their own pooled funds. NEAR (the Network for Empowered Aid Response — Adeso co-founded in 2016) is the reference architecture and lead pilot prospect. Start Network operates a similar model on its own custom infrastructure. Regional CSO consortia worldwide are running comparable governance shapes on Salesforce + spreadsheets + custom code today.</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Hosted tenant of Kuja Grant + Marketplace, branded with the network, with their own subdomain. Plus governance primitives (multi-sig declarations, COI recusal, audit chain). Plus optional Kuja Elevate for Oversight Body capacity-building. Plus optional Kuja ERP for the secretariat's own finance operations.</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hosted-tenant fee plus per-grant transaction fee. Self-host / spin-out option from Year 2 if sovereignty or scale demands it (data-portable architecture).</w:t>
      </w:r>
    </w:p>
    <w:p>
      <w:pPr>
        <w:spacing w:after="80" w:before="60" w:line="300"/>
        <w:jc w:val="left"/>
      </w:pPr>
      <w:r>
        <w:rPr>
          <w:rFonts w:ascii="Arial" w:cs="Arial" w:eastAsia="Arial" w:hAnsi="Arial"/>
          <w:b/>
          <w:bCs/>
          <w:color w:val="1A1410"/>
          <w:sz w:val="22"/>
          <w:szCs w:val="22"/>
        </w:rPr>
        <w:t xml:space="preserve">Six-week go-live: </w:t>
      </w:r>
      <w:r>
        <w:rPr>
          <w:rFonts w:ascii="Arial" w:cs="Arial" w:eastAsia="Arial" w:hAnsi="Arial"/>
          <w:color w:val="1A1410"/>
          <w:sz w:val="22"/>
          <w:szCs w:val="22"/>
        </w:rPr>
        <w:t xml:space="preserve">Weeks 1–2 configure tenant. Week 3 pilot Crisis Monitoring with the OB. Week 4 pilot a declaration (multi-sig with COI). Week 5 OB awards plus reports. Week 6 review with OB chair and Kuja, adjust thresholds.</w:t>
      </w:r>
    </w:p>
    <w:p>
      <w:pPr>
        <w:spacing w:after="80" w:before="60" w:line="300"/>
        <w:jc w:val="left"/>
      </w:pPr>
      <w:r>
        <w:rPr>
          <w:rFonts w:ascii="Arial" w:cs="Arial" w:eastAsia="Arial" w:hAnsi="Arial"/>
          <w:b/>
          <w:bCs/>
          <w:color w:val="1A1410"/>
          <w:sz w:val="22"/>
          <w:szCs w:val="22"/>
        </w:rPr>
        <w:t xml:space="preserve">Competitive context. </w:t>
      </w:r>
      <w:r>
        <w:rPr>
          <w:rFonts w:ascii="Arial" w:cs="Arial" w:eastAsia="Arial" w:hAnsi="Arial"/>
          <w:color w:val="1A1410"/>
          <w:sz w:val="22"/>
          <w:szCs w:val="22"/>
        </w:rPr>
        <w:t xml:space="preserve">Searches across grant management software, pooled-fund infrastructure, and NGO SaaS vendors located </w:t>
      </w:r>
      <w:r>
        <w:rPr>
          <w:rFonts w:ascii="Arial" w:cs="Arial" w:eastAsia="Arial" w:hAnsi="Arial"/>
          <w:b/>
          <w:bCs/>
          <w:color w:val="1A1410"/>
          <w:sz w:val="22"/>
          <w:szCs w:val="22"/>
        </w:rPr>
        <w:t xml:space="preserve">no commercial peer-governed pooled-fund SaaS competitor</w:t>
      </w:r>
      <w:r>
        <w:rPr>
          <w:rFonts w:ascii="Arial" w:cs="Arial" w:eastAsia="Arial" w:hAnsi="Arial"/>
          <w:color w:val="1A1410"/>
          <w:sz w:val="22"/>
          <w:szCs w:val="22"/>
        </w:rPr>
        <w:t xml:space="preserve">. Start Network's internal Start Fund infrastructure is not sold to other networks (Start Network, 2025). DEC commissioned its local-fund development through Start Network — also internal. This is the least commercialised space in the sector.</w:t>
      </w:r>
    </w:p>
    <w:p>
      <w:pPr>
        <w:pStyle w:val="Heading2"/>
        <w:spacing w:after="140" w:before="280"/>
      </w:pPr>
      <w:r>
        <w:rPr>
          <w:rFonts w:ascii="Arial" w:cs="Arial" w:eastAsia="Arial" w:hAnsi="Arial"/>
          <w:b/>
          <w:bCs/>
          <w:color w:val="7C2D12"/>
          <w:sz w:val="28"/>
          <w:szCs w:val="28"/>
        </w:rPr>
        <w:t xml:space="preserve">7.3 Motion C — Kuja-Hosted Network (NEW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The opportunity for foundations without their own network.</w:t>
            </w:r>
          </w:p>
          <w:p>
            <w:pPr>
              <w:spacing w:before="80"/>
            </w:pPr>
            <w:r>
              <w:rPr>
                <w:rFonts w:ascii="Arial" w:cs="Arial" w:eastAsia="Arial" w:hAnsi="Arial"/>
                <w:color w:val="1A1410"/>
                <w:sz w:val="22"/>
                <w:szCs w:val="22"/>
              </w:rPr>
              <w:t xml:space="preserve">Many small-to-mid foundations and family offices want the peer-governed network funding model but cannot justify the cost and overhead of operating their own network secretariat. Until now, the choice was either build-your-own (expensive) or fall back to direct-to-NGO (loses the network benefit). The third option: </w:t>
            </w:r>
            <w:r>
              <w:rPr>
                <w:rFonts w:ascii="Arial" w:cs="Arial" w:eastAsia="Arial" w:hAnsi="Arial"/>
                <w:b/>
                <w:bCs/>
                <w:color w:val="1A1410"/>
                <w:sz w:val="22"/>
                <w:szCs w:val="22"/>
              </w:rPr>
              <w:t xml:space="preserve">use Kuja's hosted, curated network as your network.</w:t>
            </w:r>
          </w:p>
        </w:tc>
      </w:tr>
    </w:tbl>
    <w:p>
      <w:pPr>
        <w:spacing w:after="80" w:before="60" w:line="300"/>
        <w:jc w:val="left"/>
      </w:pPr>
      <w:r>
        <w:rPr>
          <w:rFonts w:ascii="Arial" w:cs="Arial" w:eastAsia="Arial" w:hAnsi="Arial"/>
          <w:b/>
          <w:bCs/>
          <w:color w:val="1A1410"/>
          <w:sz w:val="22"/>
          <w:szCs w:val="22"/>
        </w:rPr>
        <w:t xml:space="preserve">What is the Kuja-hosted network? </w:t>
      </w:r>
      <w:r>
        <w:rPr>
          <w:rFonts w:ascii="Arial" w:cs="Arial" w:eastAsia="Arial" w:hAnsi="Arial"/>
          <w:color w:val="1A1410"/>
          <w:sz w:val="22"/>
          <w:szCs w:val="22"/>
        </w:rPr>
        <w:t xml:space="preserve">A curated, vetted multi-tenant space inside Kuja Marketplace. NGOs onboard with the full Trust Profile workflow (registration, sanctions, adverse media, bank verification, COI, capacity assessment). Each onboarded NGO becomes part of a verified pool that any donor on Kuja can deploy capital into.</w:t>
      </w:r>
    </w:p>
    <w:p>
      <w:pPr>
        <w:spacing w:after="80" w:before="60" w:line="300"/>
        <w:jc w:val="left"/>
      </w:pPr>
      <w:r>
        <w:rPr>
          <w:rFonts w:ascii="Arial" w:cs="Arial" w:eastAsia="Arial" w:hAnsi="Arial"/>
          <w:b/>
          <w:bCs/>
          <w:color w:val="1A1410"/>
          <w:sz w:val="22"/>
          <w:szCs w:val="22"/>
        </w:rPr>
        <w:t xml:space="preserve">Who buys this motion: </w:t>
      </w:r>
      <w:r>
        <w:rPr>
          <w:rFonts w:ascii="Arial" w:cs="Arial" w:eastAsia="Arial" w:hAnsi="Arial"/>
          <w:color w:val="1A1410"/>
          <w:sz w:val="22"/>
          <w:szCs w:val="22"/>
        </w:rPr>
        <w:t xml:space="preserve">foundations and family offices that want network-grade trust + peer comparisons without operating their own secretariat. Donor-advised funds (Fidelity Charitable, Schwab Charitable, Vanguard Charitable). Corporate philanthropy. New entrants who want to fund Global South work but don't have an existing grantee pipeline.</w:t>
      </w:r>
    </w:p>
    <w:p>
      <w:pPr>
        <w:spacing w:after="80" w:before="60" w:line="300"/>
        <w:jc w:val="left"/>
      </w:pPr>
      <w:r>
        <w:rPr>
          <w:rFonts w:ascii="Arial" w:cs="Arial" w:eastAsia="Arial" w:hAnsi="Arial"/>
          <w:b/>
          <w:bCs/>
          <w:color w:val="1A1410"/>
          <w:sz w:val="22"/>
          <w:szCs w:val="22"/>
        </w:rPr>
        <w:t xml:space="preserve">What they get: </w:t>
      </w:r>
      <w:r>
        <w:rPr>
          <w:rFonts w:ascii="Arial" w:cs="Arial" w:eastAsia="Arial" w:hAnsi="Arial"/>
          <w:color w:val="1A1410"/>
          <w:sz w:val="22"/>
          <w:szCs w:val="22"/>
        </w:rPr>
        <w:t xml:space="preserve">Curated network of pre-vetted NGOs. AI-matched recommendations grounded in real evidence. Trust Profile + audit chain by default. Quarterly cohort reviews ("here are the 12 newly-vetted NGOs that match your sector and geography"). Optional Kuja Elevate sponsorship for grantee strengthening.</w:t>
      </w:r>
    </w:p>
    <w:p>
      <w:pPr>
        <w:spacing w:after="80" w:before="60" w:line="300"/>
        <w:jc w:val="left"/>
      </w:pPr>
      <w:r>
        <w:rPr>
          <w:rFonts w:ascii="Arial" w:cs="Arial" w:eastAsia="Arial" w:hAnsi="Arial"/>
          <w:b/>
          <w:bCs/>
          <w:color w:val="1A1410"/>
          <w:sz w:val="22"/>
          <w:szCs w:val="22"/>
        </w:rPr>
        <w:t xml:space="preserve">Pricing shape: </w:t>
      </w:r>
      <w:r>
        <w:rPr>
          <w:rFonts w:ascii="Arial" w:cs="Arial" w:eastAsia="Arial" w:hAnsi="Arial"/>
          <w:color w:val="1A1410"/>
          <w:sz w:val="22"/>
          <w:szCs w:val="22"/>
        </w:rPr>
        <w:t xml:space="preserve">Annual subscription based on volume (number of NGOs reviewed + number of grants made). Plus per-grant transaction fee. Plus optional Elevate engagements.</w:t>
      </w:r>
    </w:p>
    <w:p>
      <w:pPr>
        <w:pStyle w:val="Heading2"/>
        <w:spacing w:after="140" w:before="280"/>
      </w:pPr>
      <w:r>
        <w:rPr>
          <w:rFonts w:ascii="Arial" w:cs="Arial" w:eastAsia="Arial" w:hAnsi="Arial"/>
          <w:b/>
          <w:bCs/>
          <w:color w:val="7C2D12"/>
          <w:sz w:val="28"/>
          <w:szCs w:val="28"/>
        </w:rPr>
        <w:t xml:space="preserve">7.4 Buyer Map Across 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Buyer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Primary Pillar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Common Add-ons</w:t>
            </w:r>
          </w:p>
        </w:tc>
        <w:tc>
          <w:tcPr>
            <w:tcW w:type="dxa" w:w="2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Motion</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Foundation / Philanthropy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Sponsors grantee Elevate + ERP; Marketplace discovery</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 or 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INGO running grant programs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sometimes ERP; Marketplace for sub-grant discovery</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Mid-size Global South NGO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(sponsored tier)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via donor sponsorship; ERP later</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 or 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Secretariat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 Marketplace (tenanted)</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for OB; ERP for secretariat ops</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Family Office / Corporate Phil</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Marketplace (curated) + Grant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Hosted-network onboarding; Elevate sponsorship</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w:t>
            </w:r>
          </w:p>
        </w:tc>
      </w:tr>
      <w:tr>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Bilateral / Government Donor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sponsorship; audit-chain visibility</w:t>
            </w:r>
          </w:p>
        </w:tc>
        <w:tc>
          <w:tcPr>
            <w:tcW w:type="dxa" w:w="2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A</w:t>
            </w:r>
          </w:p>
        </w:tc>
      </w:tr>
      <w:tr>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BPO / Regional Implementation Partner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ERP + Elevate playbooks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Reseller agreements; revenue share</w:t>
            </w:r>
          </w:p>
        </w:tc>
        <w:tc>
          <w:tcPr>
            <w:tcW w:type="dxa" w:w="2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Channel</w:t>
            </w:r>
          </w:p>
        </w:tc>
      </w:tr>
    </w:tbl>
    <w:p>
      <w:pPr>
        <w:pStyle w:val="Heading1"/>
        <w:pageBreakBefore/>
        <w:spacing w:after="200" w:before="320"/>
      </w:pPr>
      <w:r>
        <w:rPr>
          <w:rFonts w:ascii="Arial" w:cs="Arial" w:eastAsia="Arial" w:hAnsi="Arial"/>
          <w:b/>
          <w:bCs/>
          <w:color w:val="C2410C"/>
          <w:sz w:val="36"/>
          <w:szCs w:val="36"/>
        </w:rPr>
        <w:t xml:space="preserve">8. Market Segmentation</w:t>
      </w:r>
    </w:p>
    <w:p>
      <w:pPr>
        <w:spacing w:after="80" w:before="60" w:line="300"/>
        <w:jc w:val="left"/>
      </w:pPr>
      <w:r>
        <w:rPr>
          <w:rFonts w:ascii="Arial" w:cs="Arial" w:eastAsia="Arial" w:hAnsi="Arial"/>
          <w:color w:val="1A1410"/>
          <w:sz w:val="22"/>
          <w:szCs w:val="22"/>
        </w:rPr>
        <w:t xml:space="preserve">Kuja sells into seven distinct segments. Each has a different buying motion, a different unit economics shape, and a different scaling lever.</w:t>
      </w:r>
    </w:p>
    <w:p>
      <w:pPr>
        <w:pStyle w:val="Heading2"/>
        <w:spacing w:after="140" w:before="280"/>
      </w:pPr>
      <w:r>
        <w:rPr>
          <w:rFonts w:ascii="Arial" w:cs="Arial" w:eastAsia="Arial" w:hAnsi="Arial"/>
          <w:b/>
          <w:bCs/>
          <w:color w:val="7C2D12"/>
          <w:sz w:val="28"/>
          <w:szCs w:val="28"/>
        </w:rPr>
        <w:t xml:space="preserve">8.1 Network Secretariats (Motion B)</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NEAR (Adeso co-founded the network in 2016 — it is now the reference architecture and lead pilot prospect for Kuja); Start Network (134 members across 6 continents — runs on its own internal platform per Start Network 2025); regional CSO consortia in Africa, MENA, Asia-Pacific, LatAm; foundation-enabled sub-funds (IKEA Foundation, Gates Foundation Global Development). Most run on Salesforce + spreadsheets + custom code today.</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Multi-sig declarations. COI recusal flow. Audit trail beyond PDF screenshots. Fast crisis-response capacity. Auditable peer-governance evidence for their own donor due-diligence.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Decision-makers: OB chair, secretariat ED, head of programs.</w:t>
      </w:r>
    </w:p>
    <w:p>
      <w:pPr>
        <w:spacing w:after="80" w:before="60" w:line="300"/>
        <w:jc w:val="left"/>
      </w:pPr>
      <w:r>
        <w:rPr>
          <w:rFonts w:ascii="Arial" w:cs="Arial" w:eastAsia="Arial" w:hAnsi="Arial"/>
          <w:b/>
          <w:bCs/>
          <w:color w:val="1A1410"/>
          <w:sz w:val="22"/>
          <w:szCs w:val="22"/>
        </w:rPr>
        <w:t xml:space="preserve">Addressable count: </w:t>
      </w:r>
      <w:r>
        <w:rPr>
          <w:rFonts w:ascii="Arial" w:cs="Arial" w:eastAsia="Arial" w:hAnsi="Arial"/>
          <w:color w:val="1A1410"/>
          <w:sz w:val="22"/>
          <w:szCs w:val="22"/>
        </w:rPr>
        <w:t xml:space="preserve">Difficult to size precisely (network counts are self-registered globally — WANGO directory and similar lists are not authoritative). A reasonable target for the next 36 months is 8–15 network secretariats by end of 2028.</w:t>
      </w:r>
    </w:p>
    <w:p>
      <w:pPr>
        <w:pStyle w:val="Heading2"/>
        <w:spacing w:after="140" w:before="280"/>
      </w:pPr>
      <w:r>
        <w:rPr>
          <w:rFonts w:ascii="Arial" w:cs="Arial" w:eastAsia="Arial" w:hAnsi="Arial"/>
          <w:b/>
          <w:bCs/>
          <w:color w:val="7C2D12"/>
          <w:sz w:val="28"/>
          <w:szCs w:val="28"/>
        </w:rPr>
        <w:t xml:space="preserve">8.2 Foundations &amp; Philanthropy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Trust-based and operational-strengthening funders. Verified annual giving for 2024–2025:</w:t>
      </w:r>
    </w:p>
    <w:p>
      <w:pPr>
        <w:pStyle w:val="ListParagraph"/>
        <w:numPr>
          <w:ilvl w:val="0"/>
          <w:numId w:val="2"/>
        </w:numPr>
        <w:spacing w:after="60" w:before="30" w:line="280"/>
      </w:pPr>
      <w:r>
        <w:rPr>
          <w:rFonts w:ascii="Arial" w:cs="Arial" w:eastAsia="Arial" w:hAnsi="Arial"/>
          <w:b/>
          <w:bCs/>
          <w:color w:val="1A1410"/>
          <w:sz w:val="22"/>
          <w:szCs w:val="22"/>
        </w:rPr>
        <w:t xml:space="preserve">MacKenzie Scott: </w:t>
      </w:r>
      <w:r>
        <w:rPr>
          <w:rFonts w:ascii="Arial" w:cs="Arial" w:eastAsia="Arial" w:hAnsi="Arial"/>
          <w:color w:val="1A1410"/>
          <w:sz w:val="22"/>
          <w:szCs w:val="22"/>
        </w:rPr>
        <w:t xml:space="preserve">$7.1B in 2025; $19B+ cumulative to 2,000+ nonprofits (CBS News, 2025).</w:t>
      </w:r>
    </w:p>
    <w:p>
      <w:pPr>
        <w:pStyle w:val="ListParagraph"/>
        <w:numPr>
          <w:ilvl w:val="0"/>
          <w:numId w:val="2"/>
        </w:numPr>
        <w:spacing w:after="60" w:before="30" w:line="280"/>
      </w:pPr>
      <w:r>
        <w:rPr>
          <w:rFonts w:ascii="Arial" w:cs="Arial" w:eastAsia="Arial" w:hAnsi="Arial"/>
          <w:b/>
          <w:bCs/>
          <w:color w:val="1A1410"/>
          <w:sz w:val="22"/>
          <w:szCs w:val="22"/>
        </w:rPr>
        <w:t xml:space="preserve">Ford Foundation BUILD: </w:t>
      </w:r>
      <w:r>
        <w:rPr>
          <w:rFonts w:ascii="Arial" w:cs="Arial" w:eastAsia="Arial" w:hAnsi="Arial"/>
          <w:color w:val="1A1410"/>
          <w:sz w:val="22"/>
          <w:szCs w:val="22"/>
        </w:rPr>
        <w:t xml:space="preserve">$1.6B across 600 grants in 45 countries (Ford Foundation, 2024).</w:t>
      </w:r>
    </w:p>
    <w:p>
      <w:pPr>
        <w:pStyle w:val="ListParagraph"/>
        <w:numPr>
          <w:ilvl w:val="0"/>
          <w:numId w:val="2"/>
        </w:numPr>
        <w:spacing w:after="60" w:before="30" w:line="280"/>
      </w:pPr>
      <w:r>
        <w:rPr>
          <w:rFonts w:ascii="Arial" w:cs="Arial" w:eastAsia="Arial" w:hAnsi="Arial"/>
          <w:b/>
          <w:bCs/>
          <w:color w:val="1A1410"/>
          <w:sz w:val="22"/>
          <w:szCs w:val="22"/>
        </w:rPr>
        <w:t xml:space="preserve">IKEA Foundation: </w:t>
      </w:r>
      <w:r>
        <w:rPr>
          <w:rFonts w:ascii="Arial" w:cs="Arial" w:eastAsia="Arial" w:hAnsi="Arial"/>
          <w:color w:val="1A1410"/>
          <w:sz w:val="22"/>
          <w:szCs w:val="22"/>
        </w:rPr>
        <w:t xml:space="preserve">€349M in 2024 — record year; 44 new grants, 119 active partners (IKEA Foundation Annual Report 2024).</w:t>
      </w:r>
    </w:p>
    <w:p>
      <w:pPr>
        <w:pStyle w:val="ListParagraph"/>
        <w:numPr>
          <w:ilvl w:val="0"/>
          <w:numId w:val="2"/>
        </w:numPr>
        <w:spacing w:after="60" w:before="30" w:line="280"/>
      </w:pPr>
      <w:r>
        <w:rPr>
          <w:rFonts w:ascii="Arial" w:cs="Arial" w:eastAsia="Arial" w:hAnsi="Arial"/>
          <w:b/>
          <w:bCs/>
          <w:color w:val="1A1410"/>
          <w:sz w:val="22"/>
          <w:szCs w:val="22"/>
        </w:rPr>
        <w:t xml:space="preserve">Gates Foundation Global Development: </w:t>
      </w:r>
      <w:r>
        <w:rPr>
          <w:rFonts w:ascii="Arial" w:cs="Arial" w:eastAsia="Arial" w:hAnsi="Arial"/>
          <w:color w:val="1A1410"/>
          <w:sz w:val="22"/>
          <w:szCs w:val="22"/>
        </w:rPr>
        <w:t xml:space="preserve">Multi-billion annual program; signed $200M / 4-year Anthropic partnership (Gates Foundation, 2026).</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Defensible grantmaking decisions, lower-overhead due-diligence, measurable grantee strengthening (Elevate), structured reporting that surfaces program signal, multi-tenant donor visibility into grantee finance (ERP wedge).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4–9 months. Decision-makers: program officers, head of grants, CFO, board.</w:t>
      </w:r>
    </w:p>
    <w:p>
      <w:pPr>
        <w:pStyle w:val="Heading2"/>
        <w:spacing w:after="140" w:before="280"/>
      </w:pPr>
      <w:r>
        <w:rPr>
          <w:rFonts w:ascii="Arial" w:cs="Arial" w:eastAsia="Arial" w:hAnsi="Arial"/>
          <w:b/>
          <w:bCs/>
          <w:color w:val="7C2D12"/>
          <w:sz w:val="28"/>
          <w:szCs w:val="28"/>
        </w:rPr>
        <w:t xml:space="preserve">8.3 Bilateral &amp; Government Donors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Post-USAID landscape:</w:t>
      </w:r>
    </w:p>
    <w:p>
      <w:pPr>
        <w:pStyle w:val="ListParagraph"/>
        <w:numPr>
          <w:ilvl w:val="0"/>
          <w:numId w:val="2"/>
        </w:numPr>
        <w:spacing w:after="60" w:before="30" w:line="280"/>
      </w:pPr>
      <w:r>
        <w:rPr>
          <w:rFonts w:ascii="Arial" w:cs="Arial" w:eastAsia="Arial" w:hAnsi="Arial"/>
          <w:color w:val="1A1410"/>
          <w:sz w:val="22"/>
          <w:szCs w:val="22"/>
        </w:rPr>
        <w:t xml:space="preserve">FCDO (UK): ODA cut 0.5% → 0.3% GNI; -33% program; -56% Africa bilateral.</w:t>
      </w:r>
    </w:p>
    <w:p>
      <w:pPr>
        <w:pStyle w:val="ListParagraph"/>
        <w:numPr>
          <w:ilvl w:val="0"/>
          <w:numId w:val="2"/>
        </w:numPr>
        <w:spacing w:after="60" w:before="30" w:line="280"/>
      </w:pPr>
      <w:r>
        <w:rPr>
          <w:rFonts w:ascii="Arial" w:cs="Arial" w:eastAsia="Arial" w:hAnsi="Arial"/>
          <w:color w:val="1A1410"/>
          <w:sz w:val="22"/>
          <w:szCs w:val="22"/>
        </w:rPr>
        <w:t xml:space="preserve">BMZ (Germany): now largest DAC donor at $29.1B; multilateral cooperation -15%.</w:t>
      </w:r>
    </w:p>
    <w:p>
      <w:pPr>
        <w:pStyle w:val="ListParagraph"/>
        <w:numPr>
          <w:ilvl w:val="0"/>
          <w:numId w:val="2"/>
        </w:numPr>
        <w:spacing w:after="60" w:before="30" w:line="280"/>
      </w:pPr>
      <w:r>
        <w:rPr>
          <w:rFonts w:ascii="Arial" w:cs="Arial" w:eastAsia="Arial" w:hAnsi="Arial"/>
          <w:color w:val="1A1410"/>
          <w:sz w:val="22"/>
          <w:szCs w:val="22"/>
        </w:rPr>
        <w:t xml:space="preserve">Sida (Sweden): -18% operational allocation; Africa -57% (2021→2026).</w:t>
      </w:r>
    </w:p>
    <w:p>
      <w:pPr>
        <w:pStyle w:val="ListParagraph"/>
        <w:numPr>
          <w:ilvl w:val="0"/>
          <w:numId w:val="2"/>
        </w:numPr>
        <w:spacing w:after="60" w:before="30" w:line="280"/>
      </w:pPr>
      <w:r>
        <w:rPr>
          <w:rFonts w:ascii="Arial" w:cs="Arial" w:eastAsia="Arial" w:hAnsi="Arial"/>
          <w:color w:val="1A1410"/>
          <w:sz w:val="22"/>
          <w:szCs w:val="22"/>
        </w:rPr>
        <w:t xml:space="preserve">GAC (Canada): -38% over 4 years; ODA CAD 9.9B → 6.1B by FY28/29.</w:t>
      </w:r>
    </w:p>
    <w:p>
      <w:pPr>
        <w:pStyle w:val="ListParagraph"/>
        <w:numPr>
          <w:ilvl w:val="0"/>
          <w:numId w:val="2"/>
        </w:numPr>
        <w:spacing w:after="60" w:before="30" w:line="280"/>
      </w:pPr>
      <w:r>
        <w:rPr>
          <w:rFonts w:ascii="Arial" w:cs="Arial" w:eastAsia="Arial" w:hAnsi="Arial"/>
          <w:color w:val="1A1410"/>
          <w:sz w:val="22"/>
          <w:szCs w:val="22"/>
        </w:rPr>
        <w:t xml:space="preserve">Norad, AusAID, AfD (France), JICA (Japan): smaller real-terms declines; AusAID slight nominal increase.</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Compliance-grade workflows. Multi-jurisdiction sanctions screening. Audit-traceable decisions. The ability to demonstrate localization progress to legislative oversight under tight budget conditions.</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9–18 months. Procurement-heavy. Pilot through a foundation or INGO first; convert to direct-purchase after proven adoption. Highest contract values but slowest cycle.</w:t>
      </w:r>
    </w:p>
    <w:p>
      <w:pPr>
        <w:pStyle w:val="Heading2"/>
        <w:spacing w:after="140" w:before="280"/>
      </w:pPr>
      <w:r>
        <w:rPr>
          <w:rFonts w:ascii="Arial" w:cs="Arial" w:eastAsia="Arial" w:hAnsi="Arial"/>
          <w:b/>
          <w:bCs/>
          <w:color w:val="7C2D12"/>
          <w:sz w:val="28"/>
          <w:szCs w:val="28"/>
        </w:rPr>
        <w:t xml:space="preserve">8.4 INGOs Running Grant Programs (Motion A)</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Save the Children, Oxfam, Care, Mercy Corps, IRC, World Vision, Concern Worldwide, Catholic Relief Services. INGOs that re-grant to local partners under donor funding.</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Sub-grant discovery (Marketplace), grant-management workflow they can deploy to local partners (Grant), Elevate-style strengthening for their local partner network, ERP visibility into restricted-fund usage.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6–12 months. Decision-makers: head of partnerships, program leadership, regional offices.</w:t>
      </w:r>
    </w:p>
    <w:p>
      <w:pPr>
        <w:pStyle w:val="Heading2"/>
        <w:spacing w:after="140" w:before="280"/>
      </w:pPr>
      <w:r>
        <w:rPr>
          <w:rFonts w:ascii="Arial" w:cs="Arial" w:eastAsia="Arial" w:hAnsi="Arial"/>
          <w:b/>
          <w:bCs/>
          <w:color w:val="7C2D12"/>
          <w:sz w:val="28"/>
          <w:szCs w:val="28"/>
        </w:rPr>
        <w:t xml:space="preserve">8.5 Mid-Size Global South NGOs (Motion A subsidised tier)</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NGOs in the $1M–$25M annual revenue band across Africa, MENA, Asia-Pacific, LatAm. The "middle" — large enough to need infrastructure, small enough to be priced out of Sage Intacct ($15K–$50K/year subscription, plus $30K–$75K implementation per BT Partners 2025; ERP Research 2025) or NetSuite Social Impact (typically 1.5×–2.5× Sage Intacct for comparable deployments).</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Operational backbone (ERP) that they can actually afford. Trust signals that travel with them across donors (Trust Passport). AI assistance for proposal-writing in their native language.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Almost always sponsored — donor pays Year 1, mixed funding Year 2, mostly grantee-paid by Year 3 as eligibility uplift unlocks new funding. Direct-purchase tier exists for self-sustaining NGOs.</w:t>
      </w:r>
    </w:p>
    <w:p>
      <w:pPr>
        <w:pStyle w:val="Heading2"/>
        <w:spacing w:after="140" w:before="280"/>
      </w:pPr>
      <w:r>
        <w:rPr>
          <w:rFonts w:ascii="Arial" w:cs="Arial" w:eastAsia="Arial" w:hAnsi="Arial"/>
          <w:b/>
          <w:bCs/>
          <w:color w:val="7C2D12"/>
          <w:sz w:val="28"/>
          <w:szCs w:val="28"/>
        </w:rPr>
        <w:t xml:space="preserve">8.6 Family Offices, Corporate Philanthropy, DAFs (Motion C)</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High-net-worth families with charitable arms; corporate foundations; donor-advised funds (Fidelity Charitable, Schwab Charitable, Vanguard Charitable). DAFs are now the largest single channel for new US giving.</w:t>
      </w:r>
    </w:p>
    <w:p>
      <w:pPr>
        <w:spacing w:after="80" w:before="60" w:line="300"/>
        <w:jc w:val="left"/>
      </w:pPr>
      <w:r>
        <w:rPr>
          <w:rFonts w:ascii="Arial" w:cs="Arial" w:eastAsia="Arial" w:hAnsi="Arial"/>
          <w:b/>
          <w:bCs/>
          <w:color w:val="1A1410"/>
          <w:sz w:val="22"/>
          <w:szCs w:val="22"/>
        </w:rPr>
        <w:t xml:space="preserve">What they need: </w:t>
      </w:r>
      <w:r>
        <w:rPr>
          <w:rFonts w:ascii="Arial" w:cs="Arial" w:eastAsia="Arial" w:hAnsi="Arial"/>
          <w:color w:val="1A1410"/>
          <w:sz w:val="22"/>
          <w:szCs w:val="22"/>
        </w:rPr>
        <w:t xml:space="preserve">Network-grade trust signals without operating their own network. AI-matched recommendations. Quarterly cohort reviews. Light-touch grantmaking with audit-grade evidence.</w:t>
      </w:r>
    </w:p>
    <w:p>
      <w:pPr>
        <w:spacing w:after="80" w:before="60" w:line="300"/>
        <w:jc w:val="left"/>
      </w:pPr>
      <w:r>
        <w:rPr>
          <w:rFonts w:ascii="Arial" w:cs="Arial" w:eastAsia="Arial" w:hAnsi="Arial"/>
          <w:b/>
          <w:bCs/>
          <w:color w:val="1A1410"/>
          <w:sz w:val="22"/>
          <w:szCs w:val="22"/>
        </w:rPr>
        <w:t xml:space="preserve">Sales cycle: </w:t>
      </w:r>
      <w:r>
        <w:rPr>
          <w:rFonts w:ascii="Arial" w:cs="Arial" w:eastAsia="Arial" w:hAnsi="Arial"/>
          <w:color w:val="1A1410"/>
          <w:sz w:val="22"/>
          <w:szCs w:val="22"/>
        </w:rPr>
        <w:t xml:space="preserve">3–6 months. Lower contract values than foundations, but higher volume. Strong fit for the Kuja-hosted network motion (7.3).</w:t>
      </w:r>
    </w:p>
    <w:p>
      <w:pPr>
        <w:pStyle w:val="Heading2"/>
        <w:spacing w:after="140" w:before="280"/>
      </w:pPr>
      <w:r>
        <w:rPr>
          <w:rFonts w:ascii="Arial" w:cs="Arial" w:eastAsia="Arial" w:hAnsi="Arial"/>
          <w:b/>
          <w:bCs/>
          <w:color w:val="7C2D12"/>
          <w:sz w:val="28"/>
          <w:szCs w:val="28"/>
        </w:rPr>
        <w:t xml:space="preserve">8.7 BPO / Regional Implementation Partners (Channel)</w:t>
      </w:r>
    </w:p>
    <w:p>
      <w:pPr>
        <w:spacing w:after="80" w:before="60" w:line="300"/>
        <w:jc w:val="left"/>
      </w:pPr>
      <w:r>
        <w:rPr>
          <w:rFonts w:ascii="Arial" w:cs="Arial" w:eastAsia="Arial" w:hAnsi="Arial"/>
          <w:b/>
          <w:bCs/>
          <w:color w:val="1A1410"/>
          <w:sz w:val="22"/>
          <w:szCs w:val="22"/>
        </w:rPr>
        <w:t xml:space="preserve">Who they are: </w:t>
      </w:r>
      <w:r>
        <w:rPr>
          <w:rFonts w:ascii="Arial" w:cs="Arial" w:eastAsia="Arial" w:hAnsi="Arial"/>
          <w:color w:val="1A1410"/>
          <w:sz w:val="22"/>
          <w:szCs w:val="22"/>
        </w:rPr>
        <w:t xml:space="preserve">Regional consultancies and BPO providers in East Africa, West Africa, South Asia, LatAm that already deliver finance, HR, and compliance support to NGOs.</w:t>
      </w:r>
    </w:p>
    <w:p>
      <w:pPr>
        <w:spacing w:after="80" w:before="60" w:line="300"/>
        <w:jc w:val="left"/>
      </w:pPr>
      <w:r>
        <w:rPr>
          <w:rFonts w:ascii="Arial" w:cs="Arial" w:eastAsia="Arial" w:hAnsi="Arial"/>
          <w:b/>
          <w:bCs/>
          <w:color w:val="1A1410"/>
          <w:sz w:val="22"/>
          <w:szCs w:val="22"/>
        </w:rPr>
        <w:t xml:space="preserve">What they consume: </w:t>
      </w:r>
      <w:r>
        <w:rPr>
          <w:rFonts w:ascii="Arial" w:cs="Arial" w:eastAsia="Arial" w:hAnsi="Arial"/>
          <w:color w:val="1A1410"/>
          <w:sz w:val="22"/>
          <w:szCs w:val="22"/>
        </w:rPr>
        <w:t xml:space="preserve">Kuja Elevate playbooks and Kuja ERP licenses for resale. Revenue share on grantee implementations. Kuja-certified service-partner badge.</w:t>
      </w:r>
    </w:p>
    <w:p>
      <w:pPr>
        <w:spacing w:after="80" w:before="60" w:line="300"/>
        <w:jc w:val="left"/>
      </w:pPr>
      <w:r>
        <w:rPr>
          <w:rFonts w:ascii="Arial" w:cs="Arial" w:eastAsia="Arial" w:hAnsi="Arial"/>
          <w:b/>
          <w:bCs/>
          <w:color w:val="1A1410"/>
          <w:sz w:val="22"/>
          <w:szCs w:val="22"/>
        </w:rPr>
        <w:t xml:space="preserve">Strategic role: </w:t>
      </w:r>
      <w:r>
        <w:rPr>
          <w:rFonts w:ascii="Arial" w:cs="Arial" w:eastAsia="Arial" w:hAnsi="Arial"/>
          <w:color w:val="1A1410"/>
          <w:sz w:val="22"/>
          <w:szCs w:val="22"/>
        </w:rPr>
        <w:t xml:space="preserve">Cost-effective regional delivery without scaling Kuja's direct headcount. Particularly important for francophone West Africa, lusophone Mozambique and Angola, and LatAm where Kuja's direct presence is thin.</w:t>
      </w:r>
    </w:p>
    <w:p>
      <w:pPr>
        <w:pStyle w:val="Heading1"/>
        <w:pageBreakBefore/>
        <w:spacing w:after="200" w:before="320"/>
      </w:pPr>
      <w:r>
        <w:rPr>
          <w:rFonts w:ascii="Arial" w:cs="Arial" w:eastAsia="Arial" w:hAnsi="Arial"/>
          <w:b/>
          <w:bCs/>
          <w:color w:val="C2410C"/>
          <w:sz w:val="36"/>
          <w:szCs w:val="36"/>
        </w:rPr>
        <w:t xml:space="preserve">9. Pilot Programs — Three Paths</w:t>
      </w:r>
    </w:p>
    <w:p>
      <w:pPr>
        <w:spacing w:after="80" w:before="60" w:line="300"/>
        <w:jc w:val="left"/>
      </w:pPr>
      <w:r>
        <w:rPr>
          <w:rFonts w:ascii="Arial" w:cs="Arial" w:eastAsia="Arial" w:hAnsi="Arial"/>
          <w:color w:val="1A1410"/>
          <w:sz w:val="22"/>
          <w:szCs w:val="22"/>
        </w:rPr>
        <w:t xml:space="preserve">Kuja offers three distinct pilot programs, calibrated to buyer readiness and budget. All three produce measurable outcomes against pre-agreed metrics.</w:t>
      </w:r>
    </w:p>
    <w:p>
      <w:pPr>
        <w:pStyle w:val="Heading2"/>
        <w:spacing w:after="140" w:before="280"/>
      </w:pPr>
      <w:r>
        <w:rPr>
          <w:rFonts w:ascii="Arial" w:cs="Arial" w:eastAsia="Arial" w:hAnsi="Arial"/>
          <w:b/>
          <w:bCs/>
          <w:color w:val="7C2D12"/>
          <w:sz w:val="28"/>
          <w:szCs w:val="28"/>
        </w:rPr>
        <w:t xml:space="preserve">9.1 Pilot Path A — Kuja Grant Pilot (NEW in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4"/>
              <w:left w:val="single" w:color="F97316" w:sz="18"/>
              <w:bottom w:val="single" w:color="F97316" w:sz="4"/>
              <w:right w:val="single" w:color="F97316"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Lowest entry barrier. Highest learning velocity. The pilot we recommend for first-time foundation conversations.</w:t>
            </w:r>
          </w:p>
        </w:tc>
      </w:tr>
    </w:tbl>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single grant program runs end-to-end on Kuja Grant. The foundation keeps using its existing infrastructure for everything else. We pick one high-urgency, time-bounded workflow — typically an open call with 50–200 expected applicants.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90–120 days. Begins with the open call; ends after the first reporting cycle.</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$25K–$50K all-in (depending on workflow complexity, number of reviewers, number of integrations). Foundation pays.</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A measurable before/after on application turnaround, per-criterion reviewer evidence (Kuja captures 100% citation rate vs. typically 10–20% on legacy tools), AI-evaluated reporting against the agreement, six-language NGO-side support, and a structured exit decision — adopt, expand, or walk away.</w:t>
      </w:r>
    </w:p>
    <w:p>
      <w:pPr>
        <w:spacing w:after="80" w:before="60" w:line="300"/>
        <w:jc w:val="left"/>
      </w:pPr>
      <w:r>
        <w:rPr>
          <w:rFonts w:ascii="Arial" w:cs="Arial" w:eastAsia="Arial" w:hAnsi="Arial"/>
          <w:b/>
          <w:bCs/>
          <w:color w:val="1A1410"/>
          <w:sz w:val="22"/>
          <w:szCs w:val="22"/>
        </w:rPr>
        <w:t xml:space="preserve">What Kuja gets: </w:t>
      </w:r>
      <w:r>
        <w:rPr>
          <w:rFonts w:ascii="Arial" w:cs="Arial" w:eastAsia="Arial" w:hAnsi="Arial"/>
          <w:color w:val="1A1410"/>
          <w:sz w:val="22"/>
          <w:szCs w:val="22"/>
        </w:rPr>
        <w:t xml:space="preserve">A reference deployment with a named foundation, a clear cycle-time comparison vs. their previous stack, and the lowest-cost path to expanding into Elevate or ERP.</w:t>
      </w:r>
    </w:p>
    <w:p>
      <w:pPr>
        <w:pStyle w:val="Heading2"/>
        <w:spacing w:after="140" w:before="280"/>
      </w:pPr>
      <w:r>
        <w:rPr>
          <w:rFonts w:ascii="Arial" w:cs="Arial" w:eastAsia="Arial" w:hAnsi="Arial"/>
          <w:b/>
          <w:bCs/>
          <w:color w:val="7C2D12"/>
          <w:sz w:val="28"/>
          <w:szCs w:val="28"/>
        </w:rPr>
        <w:t xml:space="preserve">9.2 Pilot Path B — Donor Cohort Pilot (Elevate + Grant + ERP)</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Foundation selects five grantees from their existing portfolio. Kuja deploys some combination of Grant, Elevate, and ERP to those grantees over 12 months.</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12 months.</w:t>
      </w:r>
    </w:p>
    <w:p>
      <w:pPr>
        <w:spacing w:after="80" w:before="60" w:line="300"/>
        <w:jc w:val="left"/>
      </w:pPr>
      <w:r>
        <w:rPr>
          <w:rFonts w:ascii="Arial" w:cs="Arial" w:eastAsia="Arial" w:hAnsi="Arial"/>
          <w:b/>
          <w:bCs/>
          <w:color w:val="1A1410"/>
          <w:sz w:val="22"/>
          <w:szCs w:val="22"/>
        </w:rPr>
        <w:t xml:space="preserve">Cost (Year 1): </w:t>
      </w:r>
      <w:r>
        <w:rPr>
          <w:rFonts w:ascii="Arial" w:cs="Arial" w:eastAsia="Arial" w:hAnsi="Arial"/>
          <w:color w:val="1A1410"/>
          <w:sz w:val="22"/>
          <w:szCs w:val="22"/>
        </w:rPr>
        <w:t xml:space="preserve">$100K–$400K depending on option mix:</w:t>
      </w:r>
    </w:p>
    <w:p>
      <w:pPr>
        <w:pStyle w:val="ListParagraph"/>
        <w:numPr>
          <w:ilvl w:val="0"/>
          <w:numId w:val="2"/>
        </w:numPr>
        <w:spacing w:after="60" w:before="30" w:line="280"/>
      </w:pPr>
      <w:r>
        <w:rPr>
          <w:rFonts w:ascii="Arial" w:cs="Arial" w:eastAsia="Arial" w:hAnsi="Arial"/>
          <w:color w:val="1A1410"/>
          <w:sz w:val="22"/>
          <w:szCs w:val="22"/>
        </w:rPr>
        <w:t xml:space="preserve">Option A — Grant only: ~$40K for five grantees ($8K each).</w:t>
      </w:r>
    </w:p>
    <w:p>
      <w:pPr>
        <w:pStyle w:val="ListParagraph"/>
        <w:numPr>
          <w:ilvl w:val="0"/>
          <w:numId w:val="2"/>
        </w:numPr>
        <w:spacing w:after="60" w:before="30" w:line="280"/>
      </w:pPr>
      <w:r>
        <w:rPr>
          <w:rFonts w:ascii="Arial" w:cs="Arial" w:eastAsia="Arial" w:hAnsi="Arial"/>
          <w:color w:val="1A1410"/>
          <w:sz w:val="22"/>
          <w:szCs w:val="22"/>
        </w:rPr>
        <w:t xml:space="preserve">Option B — ERP only (NGO subsidized tier, donor-sponsored Y1): ~$160K for five grantees ($32K each = $20K implementation + $12K license).</w:t>
      </w:r>
    </w:p>
    <w:p>
      <w:pPr>
        <w:pStyle w:val="ListParagraph"/>
        <w:numPr>
          <w:ilvl w:val="0"/>
          <w:numId w:val="2"/>
        </w:numPr>
        <w:spacing w:after="60" w:before="30" w:line="280"/>
      </w:pPr>
      <w:r>
        <w:rPr>
          <w:rFonts w:ascii="Arial" w:cs="Arial" w:eastAsia="Arial" w:hAnsi="Arial"/>
          <w:color w:val="1A1410"/>
          <w:sz w:val="22"/>
          <w:szCs w:val="22"/>
        </w:rPr>
        <w:t xml:space="preserve">Option C — Elevate Cohort Bundle (Subsidized Platform + Onboarding Advisory): $250K–$400K for five grantees ($50K–$80K each).</w:t>
      </w:r>
    </w:p>
    <w:p>
      <w:pPr>
        <w:pStyle w:val="ListParagraph"/>
        <w:numPr>
          <w:ilvl w:val="0"/>
          <w:numId w:val="2"/>
        </w:numPr>
        <w:spacing w:after="60" w:before="30" w:line="280"/>
      </w:pPr>
      <w:r>
        <w:rPr>
          <w:rFonts w:ascii="Arial" w:cs="Arial" w:eastAsia="Arial" w:hAnsi="Arial"/>
          <w:color w:val="1A1410"/>
          <w:sz w:val="22"/>
          <w:szCs w:val="22"/>
        </w:rPr>
        <w:t xml:space="preserve">Option D — Full Stack (Grant + Elevate Cohort Bundle + ERP): $400K–$550K for five grantees ($80K–$110K each).</w:t>
      </w:r>
    </w:p>
    <w:p>
      <w:pPr>
        <w:spacing w:after="80" w:before="60" w:line="300"/>
        <w:jc w:val="left"/>
      </w:pPr>
      <w:r>
        <w:rPr>
          <w:rFonts w:ascii="Arial" w:cs="Arial" w:eastAsia="Arial" w:hAnsi="Arial"/>
          <w:b/>
          <w:bCs/>
          <w:color w:val="1A1410"/>
          <w:sz w:val="22"/>
          <w:szCs w:val="22"/>
        </w:rPr>
        <w:t xml:space="preserve">What the foundation gets: </w:t>
      </w:r>
      <w:r>
        <w:rPr>
          <w:rFonts w:ascii="Arial" w:cs="Arial" w:eastAsia="Arial" w:hAnsi="Arial"/>
          <w:color w:val="1A1410"/>
          <w:sz w:val="22"/>
          <w:szCs w:val="22"/>
        </w:rPr>
        <w:t xml:space="preserve">Documented strengthening outcome per grantee with before/after maturity scores. If ERP is included: real-time financial visibility into all five grantees' grant-scoped spend. Right of first refusal on Elevate Advisory + ERP at pilot pricing for 12 months. Founding Donors attribution (consent-based). Clean impact narrative for the foundation's annual report.</w:t>
      </w:r>
    </w:p>
    <w:p>
      <w:pPr>
        <w:pStyle w:val="Heading2"/>
        <w:spacing w:after="140" w:before="280"/>
      </w:pPr>
      <w:r>
        <w:rPr>
          <w:rFonts w:ascii="Arial" w:cs="Arial" w:eastAsia="Arial" w:hAnsi="Arial"/>
          <w:b/>
          <w:bCs/>
          <w:color w:val="7C2D12"/>
          <w:sz w:val="28"/>
          <w:szCs w:val="28"/>
        </w:rPr>
        <w:t xml:space="preserve">9.4 The Donor Land-and-Expand Sequence</w:t>
      </w:r>
    </w:p>
    <w:p>
      <w:pPr>
        <w:spacing w:after="80" w:before="60" w:line="300"/>
        <w:jc w:val="left"/>
      </w:pPr>
      <w:r>
        <w:rPr>
          <w:rFonts w:ascii="Arial" w:cs="Arial" w:eastAsia="Arial" w:hAnsi="Arial"/>
          <w:color w:val="1A1410"/>
          <w:sz w:val="22"/>
          <w:szCs w:val="22"/>
        </w:rPr>
        <w:t xml:space="preserve">The three pilot paths above are entry points. What happens across the relationship matters as much as what happens in the first 90 days. With a foundation buyer, we run a deliberate four-step sequence that compounds platform footprint over three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600"/>
        <w:gridCol w:w="4260"/>
      </w:tblGrid>
      <w:tr>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Step</w:t>
            </w:r>
          </w:p>
        </w:tc>
        <w:tc>
          <w:tcPr>
            <w:tcW w:type="dxa" w:w="19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1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42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What the foundation pays for (and gets)</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 Land</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Kuja Grant Pilot</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Q1–Q2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$25K–$50K. Single workflow runs end-to-end. Cycle-time and per-criterion evidence proof points. Low-risk, no long procurement.</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 Expand</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Bundle (Platform + Advisory) for 5-grantee cohort</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1, Q3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$200K–$375K. Diagnose + Improve + Automate cycle. Trust Profile + Capacity Passport per grantee. Eligibility uplift over 12 months.</w:t>
            </w:r>
          </w:p>
        </w:tc>
      </w:tr>
      <w:tr>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 Cement</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donor-sponsored for the strongest grantees</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2</w:t>
            </w:r>
          </w:p>
        </w:tc>
        <w:tc>
          <w:tcPr>
            <w:tcW w:type="dxa" w:w="42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 grantee: $32K NGO subsidized tier ($20K implementation + $12K license) + $6K–$24K donor visibility add-on. Wires into Grant — real-time financial visibility for the donor.</w:t>
            </w:r>
          </w:p>
        </w:tc>
      </w:tr>
      <w:tr>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 Retain</w:t>
            </w:r>
          </w:p>
        </w:tc>
        <w:tc>
          <w:tcPr>
            <w:tcW w:type="dxa" w:w="19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Grantee transitions ERP + Elevate Platform to grantee-paid; foundation expands into next cohort</w:t>
            </w:r>
          </w:p>
        </w:tc>
        <w:tc>
          <w:tcPr>
            <w:tcW w:type="dxa" w:w="1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Year 3 onward</w:t>
            </w:r>
          </w:p>
        </w:tc>
        <w:tc>
          <w:tcPr>
            <w:tcW w:type="dxa" w:w="42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Foundation total spend on the original cohort goes down (eligibility uplift unlocks new grantee-paid funding). Foundation re-deploys budget into the next cohort. Kuja's ARR with this foundation compounds.</w:t>
            </w:r>
          </w:p>
        </w:tc>
      </w:tr>
    </w:tbl>
    <w:p>
      <w:pPr>
        <w:spacing w:after="80" w:before="60" w:line="300"/>
        <w:jc w:val="left"/>
      </w:pPr>
      <w:r>
        <w:rPr>
          <w:rFonts w:ascii="Arial" w:cs="Arial" w:eastAsia="Arial" w:hAnsi="Arial"/>
          <w:color w:val="1A1410"/>
          <w:sz w:val="22"/>
          <w:szCs w:val="22"/>
        </w:rPr>
        <w:t xml:space="preserve">Each step is a separate buying decision. The foundation can stop at Step 1, 2, or 3 at any time. The platform we deploy at each step is fully usable on its own. The expansion is gravity, not a forced upsell.</w:t>
      </w:r>
    </w:p>
    <w:p>
      <w:pPr>
        <w:pStyle w:val="Heading2"/>
        <w:spacing w:after="140" w:before="280"/>
      </w:pPr>
      <w:r>
        <w:rPr>
          <w:rFonts w:ascii="Arial" w:cs="Arial" w:eastAsia="Arial" w:hAnsi="Arial"/>
          <w:b/>
          <w:bCs/>
          <w:color w:val="7C2D12"/>
          <w:sz w:val="28"/>
          <w:szCs w:val="28"/>
        </w:rPr>
        <w:t xml:space="preserve">9.5 Pilot Path C — Network Tenant Pilot</w:t>
      </w:r>
    </w:p>
    <w:p>
      <w:pPr>
        <w:spacing w:after="80" w:before="60" w:line="300"/>
        <w:jc w:val="left"/>
      </w:pPr>
      <w:r>
        <w:rPr>
          <w:rFonts w:ascii="Arial" w:cs="Arial" w:eastAsia="Arial" w:hAnsi="Arial"/>
          <w:b/>
          <w:bCs/>
          <w:color w:val="1A1410"/>
          <w:sz w:val="22"/>
          <w:szCs w:val="22"/>
        </w:rPr>
        <w:t xml:space="preserve">Configuration: </w:t>
      </w:r>
      <w:r>
        <w:rPr>
          <w:rFonts w:ascii="Arial" w:cs="Arial" w:eastAsia="Arial" w:hAnsi="Arial"/>
          <w:color w:val="1A1410"/>
          <w:sz w:val="22"/>
          <w:szCs w:val="22"/>
        </w:rPr>
        <w:t xml:space="preserve">A network secretariat runs one full Crisis Monitoring + Declaration + Award cycle on a hosted Kuja tenant. Branded with the network. Dedicated subdomain.</w:t>
      </w:r>
    </w:p>
    <w:p>
      <w:pPr>
        <w:spacing w:after="80" w:before="60" w:line="300"/>
        <w:jc w:val="left"/>
      </w:pPr>
      <w:r>
        <w:rPr>
          <w:rFonts w:ascii="Arial" w:cs="Arial" w:eastAsia="Arial" w:hAnsi="Arial"/>
          <w:b/>
          <w:bCs/>
          <w:color w:val="1A1410"/>
          <w:sz w:val="22"/>
          <w:szCs w:val="22"/>
        </w:rPr>
        <w:t xml:space="preserve">Duration: </w:t>
      </w:r>
      <w:r>
        <w:rPr>
          <w:rFonts w:ascii="Arial" w:cs="Arial" w:eastAsia="Arial" w:hAnsi="Arial"/>
          <w:color w:val="1A1410"/>
          <w:sz w:val="22"/>
          <w:szCs w:val="22"/>
        </w:rPr>
        <w:t xml:space="preserve">6 weeks to go-live, then one operational cycle (typically 3–6 weeks).</w:t>
      </w:r>
    </w:p>
    <w:p>
      <w:pPr>
        <w:spacing w:after="80" w:before="60" w:line="300"/>
        <w:jc w:val="left"/>
      </w:pPr>
      <w:r>
        <w:rPr>
          <w:rFonts w:ascii="Arial" w:cs="Arial" w:eastAsia="Arial" w:hAnsi="Arial"/>
          <w:b/>
          <w:bCs/>
          <w:color w:val="1A1410"/>
          <w:sz w:val="22"/>
          <w:szCs w:val="22"/>
        </w:rPr>
        <w:t xml:space="preserve">Cost: </w:t>
      </w:r>
      <w:r>
        <w:rPr>
          <w:rFonts w:ascii="Arial" w:cs="Arial" w:eastAsia="Arial" w:hAnsi="Arial"/>
          <w:color w:val="1A1410"/>
          <w:sz w:val="22"/>
          <w:szCs w:val="22"/>
        </w:rPr>
        <w:t xml:space="preserve">Hosted tenant annual fee (~$60K–$150K depending on network size) plus per-grant transaction fee (~$200–$500 per grant awarded). Pilot is typically pro-rated for the first quarter.</w:t>
      </w:r>
    </w:p>
    <w:p>
      <w:pPr>
        <w:spacing w:after="80" w:before="60" w:line="300"/>
        <w:jc w:val="left"/>
      </w:pPr>
      <w:r>
        <w:rPr>
          <w:rFonts w:ascii="Arial" w:cs="Arial" w:eastAsia="Arial" w:hAnsi="Arial"/>
          <w:b/>
          <w:bCs/>
          <w:color w:val="1A1410"/>
          <w:sz w:val="22"/>
          <w:szCs w:val="22"/>
        </w:rPr>
        <w:t xml:space="preserve">What the network gets: </w:t>
      </w:r>
      <w:r>
        <w:rPr>
          <w:rFonts w:ascii="Arial" w:cs="Arial" w:eastAsia="Arial" w:hAnsi="Arial"/>
          <w:color w:val="1A1410"/>
          <w:sz w:val="22"/>
          <w:szCs w:val="22"/>
        </w:rPr>
        <w:t xml:space="preserve">Their own Kuja tenant. Configured rubrics, eligibility questions, OB roster. Audit chain anchored from day one. Weekly Crisis Monitoring cron. Optional Elevate for OB capacity-building. Optional ERP for secretariat finance.</w:t>
      </w:r>
    </w:p>
    <w:p>
      <w:pPr>
        <w:pStyle w:val="Heading1"/>
        <w:pageBreakBefore/>
        <w:spacing w:after="200" w:before="320"/>
      </w:pPr>
      <w:r>
        <w:rPr>
          <w:rFonts w:ascii="Arial" w:cs="Arial" w:eastAsia="Arial" w:hAnsi="Arial"/>
          <w:b/>
          <w:bCs/>
          <w:color w:val="C2410C"/>
          <w:sz w:val="36"/>
          <w:szCs w:val="36"/>
        </w:rPr>
        <w:t xml:space="preserve">10. Pricing &amp; Unit Economics</w:t>
      </w:r>
    </w:p>
    <w:p>
      <w:pPr>
        <w:pStyle w:val="Heading2"/>
        <w:spacing w:after="140" w:before="280"/>
      </w:pPr>
      <w:r>
        <w:rPr>
          <w:rFonts w:ascii="Arial" w:cs="Arial" w:eastAsia="Arial" w:hAnsi="Arial"/>
          <w:b/>
          <w:bCs/>
          <w:color w:val="7C2D12"/>
          <w:sz w:val="28"/>
          <w:szCs w:val="28"/>
        </w:rPr>
        <w:t xml:space="preserve">10.1 Pricing Across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Pricing Shape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 1 (per buyer)</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Recurring (per buyer/yr)</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Marketplace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 Freemium for NGOs; Donor publishing tier</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(NGO); $5K–$25K (donor publishing)</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Free / Same as Y1</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Grant</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SaaS by org type + volume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$8K (NGO subsidized), $30K–$120K (foundation/INGO)</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$6K–$80K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Subsidized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Donor-sponsored grantees, smaller NGOs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 / NGO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Standard</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Mid-size NGO direct ($5M–$25M revenue)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 / NGO / year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Platform — 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Large NGO / multi-entity / networks ($25M+)</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 / NGO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Onboarding</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3-month Diagnose + Improve + Automate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$40K–$60K per grantee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Full Transformation</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6–9 month engagement, direct-NGO</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$80K–$150K</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Advisory — Custom Enterprise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Custom scope, multi-entity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Cohort (donor-sponsored)</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Subsidized Platform + Onboarding Advisory + 6mo support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$50K–$80K per grantee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$12K–$25K platform Y2+</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Mid-size</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Standard Platform + Full Transformation Advisory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$100K–$200K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$30K–$60K Y2+</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Elevate Bundle — Enterprise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Platform + Custom Advisory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$200K+</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$60K–$120K Y2+</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Implementation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One-time, scales with modules + complexity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$20K–$90K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n/a (one-time)</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Annual license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Annual, scales with org size + seats + modules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 / year</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$12K–$80K</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 Donor visibility add-on</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Donor-paid, per integrated donor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 / donor / year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$6K–$24K</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Networks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Hosted tenant + per-grant fee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$200–$500/grant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$60K–$150K + transactions</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Hosted Network</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Annual subscription + per-grant fee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$30K–$80K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$30K–$80K + transactions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PMO-as-a-Service</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Cross-pillar advisory + software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$25K–$100K bundle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$15K–$60K</w:t>
            </w:r>
          </w:p>
        </w:tc>
      </w:tr>
    </w:tbl>
    <w:p>
      <w:pPr>
        <w:pStyle w:val="Heading2"/>
        <w:spacing w:after="140" w:before="280"/>
      </w:pPr>
      <w:r>
        <w:rPr>
          <w:rFonts w:ascii="Arial" w:cs="Arial" w:eastAsia="Arial" w:hAnsi="Arial"/>
          <w:b/>
          <w:bCs/>
          <w:color w:val="7C2D12"/>
          <w:sz w:val="28"/>
          <w:szCs w:val="28"/>
        </w:rPr>
        <w:t xml:space="preserve">10.2 Pricing Benchmarked Against Competitors</w:t>
      </w:r>
    </w:p>
    <w:p>
      <w:pPr>
        <w:spacing w:after="80" w:before="60" w:line="300"/>
        <w:jc w:val="left"/>
      </w:pPr>
      <w:r>
        <w:rPr>
          <w:rFonts w:ascii="Arial" w:cs="Arial" w:eastAsia="Arial" w:hAnsi="Arial"/>
          <w:color w:val="1A1410"/>
          <w:sz w:val="22"/>
          <w:szCs w:val="22"/>
        </w:rPr>
        <w:t xml:space="preserve">Public competitor pricing is patchy — most enterprise vendors require a sales conversation. The verified data we 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Competitor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Starting Price</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Source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Foundant GLM (grant lifecycle)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~$4,250/year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comparison,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SmartSimple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~$6,000/year</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GivingData</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From ~$9,950/year</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Plinth,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Instrumentl (grant discovery)</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$299–$999/month tiered</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Copilot for Nonprofits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$25.50/user/month</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Microsoft Source, Jan 2025</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Fluxx</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Submittable (foundations)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 Grants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Vendor site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Bonterra Grants Management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Enterprise quote — not public</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Capterra</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Sage Intacct Nonprofit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$15K–$50K/yr subscription + $30K–$75K implementation</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BT Partners; ERP Research, 2025</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NetSuite Social Impact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Not publicly disclosed; typically 1.5×–2.5× Sage Intacct</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ERP Research, 2025</w:t>
            </w:r>
          </w:p>
        </w:tc>
      </w:tr>
    </w:tbl>
    <w:p>
      <w:pPr>
        <w:spacing w:after="80" w:before="60" w:line="300"/>
        <w:jc w:val="left"/>
      </w:pPr>
      <w:r>
        <w:rPr>
          <w:rFonts w:ascii="Arial" w:cs="Arial" w:eastAsia="Arial" w:hAnsi="Arial"/>
          <w:i/>
          <w:iCs/>
          <w:color w:val="6B6660"/>
          <w:sz w:val="18"/>
          <w:szCs w:val="18"/>
        </w:rPr>
        <w:t xml:space="preserve">Note: Big-4 East Africa daily rates ($1,500–$3,000/day) are directional rather than benchmarked — they could not be verified from a primary source. Independent INGO-sector consultants charge $350–$650/day (Impact Consulting Hub, 2025); Big-4 with overhead and partner loading typically prices 3–5× independents, which places the directional range in plausible territory.</w:t>
      </w:r>
    </w:p>
    <w:p>
      <w:pPr>
        <w:pStyle w:val="Heading2"/>
        <w:spacing w:after="140" w:before="280"/>
      </w:pPr>
      <w:r>
        <w:rPr>
          <w:rFonts w:ascii="Arial" w:cs="Arial" w:eastAsia="Arial" w:hAnsi="Arial"/>
          <w:b/>
          <w:bCs/>
          <w:color w:val="7C2D12"/>
          <w:sz w:val="28"/>
          <w:szCs w:val="28"/>
        </w:rPr>
        <w:t xml:space="preserve">10.3 Per-Customer LTV — three Elevate motions</w:t>
      </w:r>
    </w:p>
    <w:p>
      <w:pPr>
        <w:pStyle w:val="Heading3"/>
        <w:spacing w:after="100" w:before="220"/>
      </w:pPr>
      <w:r>
        <w:rPr>
          <w:rFonts w:ascii="Arial" w:cs="Arial" w:eastAsia="Arial" w:hAnsi="Arial"/>
          <w:b/>
          <w:bCs/>
          <w:color w:val="1A1410"/>
          <w:sz w:val="24"/>
          <w:szCs w:val="24"/>
        </w:rPr>
        <w:t xml:space="preserve">Donor-sponsored cohort grantee (3-year LTV)</w:t>
      </w:r>
    </w:p>
    <w:p>
      <w:pPr>
        <w:spacing w:after="80" w:before="60" w:line="300"/>
        <w:jc w:val="left"/>
      </w:pPr>
      <w:r>
        <w:rPr>
          <w:rFonts w:ascii="Arial" w:cs="Arial" w:eastAsia="Arial" w:hAnsi="Arial"/>
          <w:color w:val="1A1410"/>
          <w:sz w:val="22"/>
          <w:szCs w:val="22"/>
        </w:rPr>
        <w:t xml:space="preserve">A grantee that starts on the donor-sponsored Cohort Bundle expands its software footprint over three years. Year 1 donor-paid, mixed Year 2, mostly grantee-paid by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$50K–$80K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Elevate Cohort Bundle (Subsidized Platform + Onboarding Advisory)</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Donor-paid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$45K–$75K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Subsidized Platform + Kuja Grant + ERP donor-sponsored</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Mixed donor + grantee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$65K–$110K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(graduated tier) + Grant + ERP, grantee-paid</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grantee-paid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$160K–$265K (mid: $215K)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grantee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Direct mid-size NGO purchase (3-year LTV — the primary Elevate motion)</w:t>
      </w:r>
    </w:p>
    <w:p>
      <w:pPr>
        <w:spacing w:after="80" w:before="60" w:line="300"/>
        <w:jc w:val="left"/>
      </w:pPr>
      <w:r>
        <w:rPr>
          <w:rFonts w:ascii="Arial" w:cs="Arial" w:eastAsia="Arial" w:hAnsi="Arial"/>
          <w:color w:val="1A1410"/>
          <w:sz w:val="22"/>
          <w:szCs w:val="22"/>
        </w:rPr>
        <w:t xml:space="preserve">A mid-size NGO ($5M–$25M revenue) that buys Elevate Platform Standard directly. No donor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$130K–$210K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Full Transformation Advisory (one-time)</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 100%</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$40K–$80K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optional Kuja Grant module</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$45K–$90K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Standard Platform + Grant + optional ERP</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$215K–$380K (mid: $300K)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NGO</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LTV/CAC</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 4:1</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 pays everything; sales + customer success the only acquisition cost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3"/>
        <w:spacing w:after="100" w:before="220"/>
      </w:pPr>
      <w:r>
        <w:rPr>
          <w:rFonts w:ascii="Arial" w:cs="Arial" w:eastAsia="Arial" w:hAnsi="Arial"/>
          <w:b/>
          <w:bCs/>
          <w:color w:val="1A1410"/>
          <w:sz w:val="24"/>
          <w:szCs w:val="24"/>
        </w:rPr>
        <w:t xml:space="preserve">Enterprise NGO / network (3-year LTV)</w:t>
      </w:r>
    </w:p>
    <w:p>
      <w:pPr>
        <w:spacing w:after="80" w:before="60" w:line="300"/>
        <w:jc w:val="left"/>
      </w:pPr>
      <w:r>
        <w:rPr>
          <w:rFonts w:ascii="Arial" w:cs="Arial" w:eastAsia="Arial" w:hAnsi="Arial"/>
          <w:color w:val="1A1410"/>
          <w:sz w:val="22"/>
          <w:szCs w:val="22"/>
        </w:rPr>
        <w:t xml:space="preserve">A $25M+ NGO or a network secretariat that buys Elevate Enterprise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$220K–$370K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Enterprise Platform + Custom Advisory</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$80K–$140K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Enterprise Platform + Kuja Grant + ERP modules</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$100K–$180K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Full stack with add-ons (network tenant fees, etc.)</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NGO/network-paid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$400K–$690K (mid: $545K)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Cumulative ACV per enterprise customer</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10.4 Per-Network LTV (Network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ACV</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Composition</w:t>
            </w:r>
          </w:p>
        </w:tc>
        <w:tc>
          <w:tcPr>
            <w:tcW w:type="dxa" w:w="29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Funder Mix</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1</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$80K–$150K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first-cycle setup + transactions</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 (often foundation-enabled)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2</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$120K–$200K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Hosted tenant + growing transactions + Elevate for OB</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Year 3</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$160K–$280K</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Tenant + transactions + Elevate + ERP for secretariat</w:t>
            </w:r>
          </w:p>
        </w:tc>
        <w:tc>
          <w:tcPr>
            <w:tcW w:type="dxa" w:w="2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Network-paid</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3-yr LTV</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$360K–$630K</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~$450K mid-point per network</w:t>
            </w:r>
          </w:p>
        </w:tc>
        <w:tc>
          <w:tcPr>
            <w:tcW w:type="dxa" w:w="29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w:t>
            </w:r>
          </w:p>
        </w:tc>
      </w:tr>
    </w:tbl>
    <w:p>
      <w:pPr>
        <w:pStyle w:val="Heading2"/>
        <w:spacing w:after="140" w:before="280"/>
      </w:pPr>
      <w:r>
        <w:rPr>
          <w:rFonts w:ascii="Arial" w:cs="Arial" w:eastAsia="Arial" w:hAnsi="Arial"/>
          <w:b/>
          <w:bCs/>
          <w:color w:val="7C2D12"/>
          <w:sz w:val="28"/>
          <w:szCs w:val="28"/>
        </w:rPr>
        <w:t xml:space="preserve">10.5 Gross Margins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Pillar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Target Gross Margin</w:t>
            </w:r>
          </w:p>
        </w:tc>
        <w:tc>
          <w:tcPr>
            <w:tcW w:type="dxa" w:w="5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Cost Drivers</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Marketplace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80%+</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Hosting + AI inference. Free tier subsidised by donor publishing.</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Grant (SaaS)</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75–80%</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AI inference is the main variable cost; per-tenant infrastructure is shared.</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Elevate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40–55%</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Senior consultant time is the main cost. Margins improve as playbooks standardize + partner leverage grows.</w:t>
            </w:r>
          </w:p>
        </w:tc>
      </w:tr>
      <w:tr>
        <w:tc>
          <w:tcPr>
            <w:tcW w:type="dxa" w:w="2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ERP (Odoo)</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50–65%</w:t>
            </w:r>
          </w:p>
        </w:tc>
        <w:tc>
          <w:tcPr>
            <w:tcW w:type="dxa" w:w="5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Implementation labor is the main cost. License margin is high after Year 1.</w:t>
            </w:r>
          </w:p>
        </w:tc>
      </w:tr>
      <w:tr>
        <w:tc>
          <w:tcPr>
            <w:tcW w:type="dxa" w:w="2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70%+</w:t>
            </w:r>
          </w:p>
        </w:tc>
        <w:tc>
          <w:tcPr>
            <w:tcW w:type="dxa" w:w="5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Mostly software margin. Setup engagement is fixed-scope.</w:t>
            </w:r>
          </w:p>
        </w:tc>
      </w:tr>
    </w:tbl>
    <w:p>
      <w:pPr>
        <w:pStyle w:val="Heading1"/>
        <w:pageBreakBefore/>
        <w:spacing w:after="200" w:before="320"/>
      </w:pPr>
      <w:r>
        <w:rPr>
          <w:rFonts w:ascii="Arial" w:cs="Arial" w:eastAsia="Arial" w:hAnsi="Arial"/>
          <w:b/>
          <w:bCs/>
          <w:color w:val="C2410C"/>
          <w:sz w:val="36"/>
          <w:szCs w:val="36"/>
        </w:rPr>
        <w:t xml:space="preserve">11. Revenue Projections 2026–2030</w:t>
      </w:r>
    </w:p>
    <w:p>
      <w:pPr>
        <w:spacing w:after="80" w:before="60" w:line="300"/>
        <w:jc w:val="left"/>
      </w:pPr>
      <w:r>
        <w:rPr>
          <w:rFonts w:ascii="Arial" w:cs="Arial" w:eastAsia="Arial" w:hAnsi="Arial"/>
          <w:color w:val="1A1410"/>
          <w:sz w:val="22"/>
          <w:szCs w:val="22"/>
        </w:rPr>
        <w:t xml:space="preserve">Bottom-up build: pilot-stage in 2026, scaling through 2028, sustainable profitability targeted from 2029. Two scenarios: Conservative and Ambitious. The Conservative case is what the business should be planned against; the Ambitious case is what to push toward.</w:t>
      </w:r>
    </w:p>
    <w:p>
      <w:pPr>
        <w:pStyle w:val="Heading2"/>
        <w:spacing w:after="140" w:before="280"/>
      </w:pPr>
      <w:r>
        <w:rPr>
          <w:rFonts w:ascii="Arial" w:cs="Arial" w:eastAsia="Arial" w:hAnsi="Arial"/>
          <w:b/>
          <w:bCs/>
          <w:color w:val="7C2D12"/>
          <w:sz w:val="28"/>
          <w:szCs w:val="28"/>
        </w:rPr>
        <w:t xml:space="preserve">11.1 Conservative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50"/>
        <w:gridCol w:w="1450"/>
        <w:gridCol w:w="1450"/>
        <w:gridCol w:w="1450"/>
        <w:gridCol w:w="21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2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Networks (paid tenants)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0–1</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First paid network tenants targeted for 2027.</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Network ACV (avg)</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$110K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$140K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$170K</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Mix of new + maturing tenants.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pilots (cohorts)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4</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14</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Grant pilot + Donor cohort + Hosted Network.</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Donor avg ACV</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$60K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$95K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$135K</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$170K</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Mix tilts to bundles by 2028.</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Elevate engagements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30</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Per grantee under donor sponsorship.</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ERP implementations</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0</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10</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22</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Q3 2026 modules ship; revenue lags.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Total revenue (USD)</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$80K</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$1.2M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$3.4M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$7.0M</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8"/>
                <w:szCs w:val="18"/>
              </w:rPr>
              <w:t xml:space="preserve">Path to &gt;$2M sustainable by 2028; profitable from 2029.</w:t>
            </w:r>
          </w:p>
        </w:tc>
      </w:tr>
    </w:tbl>
    <w:p>
      <w:pPr>
        <w:pStyle w:val="Heading2"/>
        <w:spacing w:after="140" w:before="280"/>
      </w:pPr>
      <w:r>
        <w:rPr>
          <w:rFonts w:ascii="Arial" w:cs="Arial" w:eastAsia="Arial" w:hAnsi="Arial"/>
          <w:b/>
          <w:bCs/>
          <w:color w:val="7C2D12"/>
          <w:sz w:val="28"/>
          <w:szCs w:val="28"/>
        </w:rPr>
        <w:t xml:space="preserve">11.2 Ambitious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50"/>
        <w:gridCol w:w="1450"/>
        <w:gridCol w:w="1450"/>
        <w:gridCol w:w="1450"/>
        <w:gridCol w:w="2160"/>
      </w:tblGrid>
      <w:tr>
        <w:tc>
          <w:tcPr>
            <w:tcW w:type="dxa" w:w="1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Year</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2026</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2027</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2028</w:t>
            </w:r>
          </w:p>
        </w:tc>
        <w:tc>
          <w:tcPr>
            <w:tcW w:type="dxa" w:w="145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2029</w:t>
            </w:r>
          </w:p>
        </w:tc>
        <w:tc>
          <w:tcPr>
            <w:tcW w:type="dxa" w:w="2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Networks (paid tenants)</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5</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22</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Faster pipeline; one bilateral- or foundation-funded tenant in 2026.</w:t>
            </w:r>
          </w:p>
        </w:tc>
      </w:tr>
      <w:tr>
        <w:tc>
          <w:tcPr>
            <w:tcW w:type="dxa" w:w="1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Donor pilots (cohorts)</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8</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18</w:t>
            </w:r>
          </w:p>
        </w:tc>
        <w:tc>
          <w:tcPr>
            <w:tcW w:type="dxa" w:w="145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32</w:t>
            </w:r>
          </w:p>
        </w:tc>
        <w:tc>
          <w:tcPr>
            <w:tcW w:type="dxa" w:w="2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Strong foundation pipeline; first Hosted Network buyers land 2027.</w:t>
            </w:r>
          </w:p>
        </w:tc>
      </w:tr>
      <w:tr>
        <w:tc>
          <w:tcPr>
            <w:tcW w:type="dxa" w:w="1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Total revenue (USD)</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$200K</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$2.4M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$6.0M</w:t>
            </w:r>
          </w:p>
        </w:tc>
        <w:tc>
          <w:tcPr>
            <w:tcW w:type="dxa" w:w="145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$12.0M</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9"/>
                <w:szCs w:val="19"/>
              </w:rPr>
              <w:t xml:space="preserve">Requires $1.5M growth capital injected H2 2026.</w:t>
            </w:r>
          </w:p>
        </w:tc>
      </w:tr>
    </w:tbl>
    <w:p>
      <w:pPr>
        <w:pStyle w:val="Heading2"/>
        <w:spacing w:after="140" w:before="280"/>
      </w:pPr>
      <w:r>
        <w:rPr>
          <w:rFonts w:ascii="Arial" w:cs="Arial" w:eastAsia="Arial" w:hAnsi="Arial"/>
          <w:b/>
          <w:bCs/>
          <w:color w:val="7C2D12"/>
          <w:sz w:val="28"/>
          <w:szCs w:val="28"/>
        </w:rPr>
        <w:t xml:space="preserve">11.3 Cost Base and Path to Profitability</w:t>
      </w:r>
    </w:p>
    <w:p>
      <w:pPr>
        <w:spacing w:after="80" w:before="60" w:line="300"/>
        <w:jc w:val="left"/>
      </w:pPr>
      <w:r>
        <w:rPr>
          <w:rFonts w:ascii="Arial" w:cs="Arial" w:eastAsia="Arial" w:hAnsi="Arial"/>
          <w:color w:val="1A1410"/>
          <w:sz w:val="22"/>
          <w:szCs w:val="22"/>
        </w:rPr>
        <w:t xml:space="preserve">Headcount and infrastructure scale with revenue. Three cost categories:</w:t>
      </w:r>
    </w:p>
    <w:p>
      <w:pPr>
        <w:pStyle w:val="ListParagraph"/>
        <w:numPr>
          <w:ilvl w:val="0"/>
          <w:numId w:val="2"/>
        </w:numPr>
        <w:spacing w:after="60" w:before="30" w:line="280"/>
      </w:pPr>
      <w:r>
        <w:rPr>
          <w:rFonts w:ascii="Arial" w:cs="Arial" w:eastAsia="Arial" w:hAnsi="Arial"/>
          <w:b/>
          <w:bCs/>
          <w:color w:val="1A1410"/>
          <w:sz w:val="22"/>
          <w:szCs w:val="22"/>
        </w:rPr>
        <w:t xml:space="preserve">People (60–70% of opex). </w:t>
      </w:r>
      <w:r>
        <w:rPr>
          <w:rFonts w:ascii="Arial" w:cs="Arial" w:eastAsia="Arial" w:hAnsi="Arial"/>
          <w:color w:val="1A1410"/>
          <w:sz w:val="22"/>
          <w:szCs w:val="22"/>
        </w:rPr>
        <w:t xml:space="preserve">Engineering (already in place), product, delivery (Elevate consultants + ERP implementers), GTM (sales + customer success), G&amp;A.</w:t>
      </w:r>
    </w:p>
    <w:p>
      <w:pPr>
        <w:pStyle w:val="ListParagraph"/>
        <w:numPr>
          <w:ilvl w:val="0"/>
          <w:numId w:val="2"/>
        </w:numPr>
        <w:spacing w:after="60" w:before="30" w:line="280"/>
      </w:pPr>
      <w:r>
        <w:rPr>
          <w:rFonts w:ascii="Arial" w:cs="Arial" w:eastAsia="Arial" w:hAnsi="Arial"/>
          <w:b/>
          <w:bCs/>
          <w:color w:val="1A1410"/>
          <w:sz w:val="22"/>
          <w:szCs w:val="22"/>
        </w:rPr>
        <w:t xml:space="preserve">Infrastructure (10–15%). </w:t>
      </w:r>
      <w:r>
        <w:rPr>
          <w:rFonts w:ascii="Arial" w:cs="Arial" w:eastAsia="Arial" w:hAnsi="Arial"/>
          <w:color w:val="1A1410"/>
          <w:sz w:val="22"/>
          <w:szCs w:val="22"/>
        </w:rPr>
        <w:t xml:space="preserve">Railway + Anthropic API + OpenAI Whisper + Postgres + observability. Anthropic prompt caching + per-org budget gates keep AI cost predictable.</w:t>
      </w:r>
    </w:p>
    <w:p>
      <w:pPr>
        <w:pStyle w:val="ListParagraph"/>
        <w:numPr>
          <w:ilvl w:val="0"/>
          <w:numId w:val="2"/>
        </w:numPr>
        <w:spacing w:after="60" w:before="30" w:line="280"/>
      </w:pPr>
      <w:r>
        <w:rPr>
          <w:rFonts w:ascii="Arial" w:cs="Arial" w:eastAsia="Arial" w:hAnsi="Arial"/>
          <w:b/>
          <w:bCs/>
          <w:color w:val="1A1410"/>
          <w:sz w:val="22"/>
          <w:szCs w:val="22"/>
        </w:rPr>
        <w:t xml:space="preserve">Partnerships and channel (5–10%). </w:t>
      </w:r>
      <w:r>
        <w:rPr>
          <w:rFonts w:ascii="Arial" w:cs="Arial" w:eastAsia="Arial" w:hAnsi="Arial"/>
          <w:color w:val="1A1410"/>
          <w:sz w:val="22"/>
          <w:szCs w:val="22"/>
        </w:rPr>
        <w:t xml:space="preserve">Regional BPO partner agreements, foundation sponsorships, conference and community presence.</w:t>
      </w:r>
    </w:p>
    <w:p>
      <w:pPr>
        <w:spacing w:after="80" w:before="60" w:line="300"/>
        <w:jc w:val="left"/>
      </w:pPr>
      <w:r>
        <w:rPr>
          <w:rFonts w:ascii="Arial" w:cs="Arial" w:eastAsia="Arial" w:hAnsi="Arial"/>
          <w:color w:val="1A1410"/>
          <w:sz w:val="22"/>
          <w:szCs w:val="22"/>
        </w:rPr>
        <w:t xml:space="preserve">Conservative case targets break-even in H2 2028 and &gt;$2M sustainable revenue in 2028, profitable from 2029. Ambitious case accelerates that to break-even mid-2027.</w:t>
      </w:r>
    </w:p>
    <w:p>
      <w:pPr>
        <w:pStyle w:val="Heading1"/>
        <w:pageBreakBefore/>
        <w:spacing w:after="200" w:before="320"/>
      </w:pPr>
      <w:r>
        <w:rPr>
          <w:rFonts w:ascii="Arial" w:cs="Arial" w:eastAsia="Arial" w:hAnsi="Arial"/>
          <w:b/>
          <w:bCs/>
          <w:color w:val="C2410C"/>
          <w:sz w:val="36"/>
          <w:szCs w:val="36"/>
        </w:rPr>
        <w:t xml:space="preserve">12. Competitive Positioning</w:t>
      </w:r>
    </w:p>
    <w:p>
      <w:pPr>
        <w:spacing w:after="80" w:before="60" w:line="300"/>
        <w:jc w:val="left"/>
      </w:pPr>
      <w:r>
        <w:rPr>
          <w:rFonts w:ascii="Arial" w:cs="Arial" w:eastAsia="Arial" w:hAnsi="Arial"/>
          <w:color w:val="1A1410"/>
          <w:sz w:val="22"/>
          <w:szCs w:val="22"/>
        </w:rPr>
        <w:t xml:space="preserve">Kuja competes against different vendors in different pillars. The integrated moat is the proposition no single vendor can match without years of architectural rebuild. All claims below are sourced.</w:t>
      </w:r>
    </w:p>
    <w:p>
      <w:pPr>
        <w:pStyle w:val="Heading2"/>
        <w:spacing w:after="140" w:before="280"/>
      </w:pPr>
      <w:r>
        <w:rPr>
          <w:rFonts w:ascii="Arial" w:cs="Arial" w:eastAsia="Arial" w:hAnsi="Arial"/>
          <w:b/>
          <w:bCs/>
          <w:color w:val="7C2D12"/>
          <w:sz w:val="28"/>
          <w:szCs w:val="28"/>
        </w:rPr>
        <w:t xml:space="preserve">12.1 Grant Management — vs. Submittable, Foundant + SmartSimple, Fluxx, Salesforce GM, Blackbaud, GivingData</w:t>
      </w:r>
    </w:p>
    <w:p>
      <w:pPr>
        <w:spacing w:after="80" w:before="60" w:line="300"/>
        <w:jc w:val="left"/>
      </w:pPr>
      <w:r>
        <w:rPr>
          <w:rFonts w:ascii="Arial" w:cs="Arial" w:eastAsia="Arial" w:hAnsi="Arial"/>
          <w:b/>
          <w:bCs/>
          <w:color w:val="1A1410"/>
          <w:sz w:val="22"/>
          <w:szCs w:val="22"/>
        </w:rPr>
        <w:t xml:space="preserve">The market in mid-2026: </w:t>
      </w:r>
      <w:r>
        <w:rPr>
          <w:rFonts w:ascii="Arial" w:cs="Arial" w:eastAsia="Arial" w:hAnsi="Arial"/>
          <w:color w:val="1A1410"/>
          <w:sz w:val="22"/>
          <w:szCs w:val="22"/>
        </w:rPr>
        <w:t xml:space="preserve">Foundant Technologies acquired SmartSimple and now sells them side-by-side — GLM for small and mid foundations, SmartSimple Cloud for the enterprise. The seven-vendor competitive landscape is profiled in depth in the companion Kuja Grant Market Analysis (June 2026); the summary follows.</w:t>
      </w:r>
    </w:p>
    <w:p>
      <w:pPr>
        <w:spacing w:after="80" w:before="60" w:line="300"/>
        <w:jc w:val="left"/>
      </w:pPr>
      <w:r>
        <w:rPr>
          <w:rFonts w:ascii="Arial" w:cs="Arial" w:eastAsia="Arial" w:hAnsi="Arial"/>
          <w:b/>
          <w:bCs/>
          <w:color w:val="1A1410"/>
          <w:sz w:val="22"/>
          <w:szCs w:val="22"/>
        </w:rPr>
        <w:t xml:space="preserve">Incumbents and their AI posture: </w:t>
      </w:r>
      <w:r>
        <w:rPr>
          <w:rFonts w:ascii="Arial" w:cs="Arial" w:eastAsia="Arial" w:hAnsi="Arial"/>
          <w:color w:val="1A1410"/>
          <w:sz w:val="22"/>
          <w:szCs w:val="22"/>
        </w:rPr>
        <w:t xml:space="preserve">Submittable Review AI ships rubric-based automated scoring (the most advanced rubric AI in the comparison group); AI Assistant generates application forms in EN/ES/FR/DE only. Foundant GLM offers AI summarization, eligibility flagging, accessibility analysis — no rubric automation. SmartSimple Cloud +AI (launched March 2023) ships the most comprehensive AI feature set across the lifecycle — program summaries, applicant matching, board-book narrative generation, instant translation via OpenAI. Fluxx runs a native AI suite on AWS Bedrock — AI Summarization, Organization Intelligence, Grantee Report Extraction, Document Analysis. Salesforce Nonprofit Cloud for Grantmaking ships Einstein Grantmaking Summaries (GA fall 2025) at $175-$225/user/month. Blackbaud Grantmaking rolled out 70+ embedded AI capabilities at Bbcon 2025 — mostly fundraising; Impact Edge for predictive grantmaking insights. GivingData (from $9,950/year) ships sparsely documented AI. </w:t>
      </w:r>
      <w:r>
        <w:rPr>
          <w:rFonts w:ascii="Arial" w:cs="Arial" w:eastAsia="Arial" w:hAnsi="Arial"/>
          <w:b/>
          <w:bCs/>
          <w:color w:val="1A1410"/>
          <w:sz w:val="22"/>
          <w:szCs w:val="22"/>
        </w:rPr>
        <w:t xml:space="preserve">None of the seven ships AI per-requirement evaluation of NGO reports against grant agreement obligations with citations.</w:t>
      </w:r>
    </w:p>
    <w:p>
      <w:pPr>
        <w:spacing w:after="80" w:before="60" w:line="300"/>
        <w:jc w:val="left"/>
      </w:pPr>
      <w:r>
        <w:rPr>
          <w:rFonts w:ascii="Arial" w:cs="Arial" w:eastAsia="Arial" w:hAnsi="Arial"/>
          <w:b/>
          <w:bCs/>
          <w:color w:val="1A1410"/>
          <w:sz w:val="22"/>
          <w:szCs w:val="22"/>
        </w:rPr>
        <w:t xml:space="preserve">Where the seven incumbents fall short on accessibility: </w:t>
      </w:r>
      <w:r>
        <w:rPr>
          <w:rFonts w:ascii="Arial" w:cs="Arial" w:eastAsia="Arial" w:hAnsi="Arial"/>
          <w:color w:val="1A1410"/>
          <w:sz w:val="22"/>
          <w:szCs w:val="22"/>
        </w:rPr>
        <w:t xml:space="preserve">No vendor ships native WhatsApp Business API in the grants workflow (Salesforce supports it via Service Cloud add-ons, not native to Grants Management). No vendor ships voice-to-report (Kobo + CLEAR Global offer 80-language transcription via Google Cloud, but for M&amp;E, not GMS). No vendor ships photo-as-evidence with AI labeling. Submittable's 50-language UI is the closest accessibility credential — but is paywalled, UI-only (forms and reviewer workflows not translated), and RTL Arabic is incomplete. The verified GMS market is 80%+ US/Canada/UK customer base across all seven vendors.</w:t>
      </w:r>
    </w:p>
    <w:p>
      <w:pPr>
        <w:spacing w:after="80" w:before="60" w:line="300"/>
        <w:jc w:val="left"/>
      </w:pPr>
      <w:r>
        <w:rPr>
          <w:rFonts w:ascii="Arial" w:cs="Arial" w:eastAsia="Arial" w:hAnsi="Arial"/>
          <w:b/>
          <w:bCs/>
          <w:color w:val="1A1410"/>
          <w:sz w:val="22"/>
          <w:szCs w:val="22"/>
        </w:rPr>
        <w:t xml:space="preserve">The accessibility precedents we acknowledge: </w:t>
      </w:r>
      <w:r>
        <w:rPr>
          <w:rFonts w:ascii="Arial" w:cs="Arial" w:eastAsia="Arial" w:hAnsi="Arial"/>
          <w:color w:val="1A1410"/>
          <w:sz w:val="22"/>
          <w:szCs w:val="22"/>
        </w:rPr>
        <w:t xml:space="preserve">Glific (ProjectTech4Dev, India — 110+ NGOs, 100M+ messages) and Turn.io (Cape Town — WHO 14.7M users, CARE Bangladesh 34.2M) ship WhatsApp-for-NGO middleware but no grant lifecycle. KoboToolbox + CLEAR Global is the M&amp;E precedent for voice. CommCare (Dimagi — 700K users in 80+ countries), KoboToolbox, SurveyCTO, DHIS2 are the M&amp;E precedents for offline-first / low-bandwidth. The Kuja Grant moat is the combination — grant lifecycle + M&amp;E-grade field tooling + AI per-requirement compliance evaluation — in a single product. Verified detail in Grant Market Analysis Sections 5-7.</w:t>
      </w:r>
    </w:p>
    <w:p>
      <w:pPr>
        <w:spacing w:after="80" w:before="60" w:line="300"/>
        <w:jc w:val="left"/>
      </w:pPr>
      <w:r>
        <w:rPr>
          <w:rFonts w:ascii="Arial" w:cs="Arial" w:eastAsia="Arial" w:hAnsi="Arial"/>
          <w:b/>
          <w:bCs/>
          <w:color w:val="1A1410"/>
          <w:sz w:val="22"/>
          <w:szCs w:val="22"/>
        </w:rPr>
        <w:t xml:space="preserve">AI-native challenger: Instrumentl. </w:t>
      </w:r>
      <w:r>
        <w:rPr>
          <w:rFonts w:ascii="Arial" w:cs="Arial" w:eastAsia="Arial" w:hAnsi="Arial"/>
          <w:color w:val="1A1410"/>
          <w:sz w:val="22"/>
          <w:szCs w:val="22"/>
        </w:rPr>
        <w:t xml:space="preserve">Grantseeker-focused. AI grant matching across ~27,000 grants. $299–$999/month tiers (Capterra, 2025). US-foundation-funder centric. No donor-side workflow; no sanctions / registry verification.</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Six-language workflow parity (not just translation). AI grounded in the donor's own documents with citations. Per-criterion reviewer evidence vs. free-text reviews. Mobile-first NGO experience. Tenant-aware, multi-network from day one. Audit-grade governance primitives (multi-sig, COI, audit chain) built in. Native sanctions screening + 7-country African registry verification — verified absence in all incumbents searched.</w:t>
      </w:r>
    </w:p>
    <w:p>
      <w:pPr>
        <w:pStyle w:val="Heading2"/>
        <w:spacing w:after="140" w:before="280"/>
      </w:pPr>
      <w:r>
        <w:rPr>
          <w:rFonts w:ascii="Arial" w:cs="Arial" w:eastAsia="Arial" w:hAnsi="Arial"/>
          <w:b/>
          <w:bCs/>
          <w:color w:val="7C2D12"/>
          <w:sz w:val="28"/>
          <w:szCs w:val="28"/>
        </w:rPr>
        <w:t xml:space="preserve">12.2 Elevate Platform — vs. the stitched enterprise stack</w:t>
      </w:r>
    </w:p>
    <w:p>
      <w:pPr>
        <w:spacing w:after="80" w:before="60" w:line="300"/>
        <w:jc w:val="left"/>
      </w:pPr>
      <w:r>
        <w:rPr>
          <w:rFonts w:ascii="Arial" w:cs="Arial" w:eastAsia="Arial" w:hAnsi="Arial"/>
          <w:color w:val="1A1410"/>
          <w:sz w:val="22"/>
          <w:szCs w:val="22"/>
        </w:rPr>
        <w:t xml:space="preserve">The Elevate Platform competes against two distinct categories. First, and most important, the stitched enterprise stack — six to ten point-tool SaaS products an NGO assembles to cover what Elevate covers in one platform. Second, Big-4 advisory and INGO-led capacity strengthening services that compete with Elevate Advisory specifically.</w:t>
      </w:r>
    </w:p>
    <w:p>
      <w:pPr>
        <w:pStyle w:val="Heading3"/>
        <w:spacing w:after="100" w:before="220"/>
      </w:pPr>
      <w:r>
        <w:rPr>
          <w:rFonts w:ascii="Arial" w:cs="Arial" w:eastAsia="Arial" w:hAnsi="Arial"/>
          <w:b/>
          <w:bCs/>
          <w:color w:val="1A1410"/>
          <w:sz w:val="24"/>
          <w:szCs w:val="24"/>
        </w:rPr>
        <w:t xml:space="preserve">The stitched stack — what mid-size NGOs use today</w:t>
      </w:r>
    </w:p>
    <w:p>
      <w:pPr>
        <w:spacing w:after="80" w:before="60" w:line="300"/>
        <w:jc w:val="left"/>
      </w:pPr>
      <w:r>
        <w:rPr>
          <w:rFonts w:ascii="Arial" w:cs="Arial" w:eastAsia="Arial" w:hAnsi="Arial"/>
          <w:color w:val="1A1410"/>
          <w:sz w:val="22"/>
          <w:szCs w:val="22"/>
        </w:rPr>
        <w:t xml:space="preserve">A reasonable mid-tier deployment for a $10M–$25M NGO with 100 staff and 15 board members. Sources verified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80"/>
        <w:gridCol w:w="1680"/>
      </w:tblGrid>
      <w:tr>
        <w:tc>
          <w:tcPr>
            <w:tcW w:type="dxa" w:w="2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Module Elevate covers</w:t>
            </w:r>
          </w:p>
        </w:tc>
        <w:tc>
          <w:tcPr>
            <w:tcW w:type="dxa" w:w="3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Typical mid-market vendor</w:t>
            </w:r>
          </w:p>
        </w:tc>
        <w:tc>
          <w:tcPr>
            <w:tcW w:type="dxa" w:w="1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Annual sub.</w:t>
            </w:r>
          </w:p>
        </w:tc>
        <w:tc>
          <w:tcPr>
            <w:tcW w:type="dxa" w:w="168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pPr>
              <w:spacing w:after="0" w:before="0"/>
            </w:pPr>
            <w:r>
              <w:rPr>
                <w:rFonts w:ascii="Arial" w:cs="Arial" w:eastAsia="Arial" w:hAnsi="Arial"/>
                <w:b/>
                <w:bCs/>
                <w:color w:val="FFFFFF"/>
                <w:sz w:val="20"/>
                <w:szCs w:val="20"/>
              </w:rPr>
              <w:t xml:space="preserve">Y1 impl.</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CRM + partner pipeline</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Salesforce Nonprofit Cloud (10 free + 40 paid seats)</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$28.8K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Contract management (CLM)</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LinkSquares (Vendr median)</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$31K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$15K</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 governance portal</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BoardEffect (mid-market band)</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KPI / strategy execution</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ClearPoint Strategy Professional ($800/mo)</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$9.6K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Policy / SOP management</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Onspring (entry)</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$20K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Project / initiative mgmt</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Asana Advanced (100 seats × $24.99/mo)</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$30K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$10K</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Subtotal</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$129K</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$55K</w:t>
            </w:r>
          </w:p>
        </w:tc>
      </w:tr>
      <w:tr>
        <w:tc>
          <w:tcPr>
            <w:tcW w:type="dxa" w:w="2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Year 1 total</w:t>
            </w:r>
          </w:p>
        </w:tc>
        <w:tc>
          <w:tcPr>
            <w:tcW w:type="dxa" w:w="3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~$184K</w:t>
            </w:r>
          </w:p>
        </w:tc>
        <w:tc>
          <w:tcPr>
            <w:tcW w:type="dxa" w:w="168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Steady-state Year 2+</w:t>
            </w:r>
          </w:p>
        </w:tc>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~$129K/yr</w:t>
            </w:r>
          </w:p>
        </w:tc>
        <w:tc>
          <w:tcPr>
            <w:tcW w:type="dxa" w:w="1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300"/>
              <w:jc w:val="left"/>
            </w:pPr>
            <w:r>
              <w:rPr>
                <w:rFonts w:ascii="Arial" w:cs="Arial" w:eastAsia="Arial" w:hAnsi="Arial"/>
                <w:color w:val="1A1410"/>
                <w:sz w:val="17"/>
                <w:szCs w:val="17"/>
              </w:rPr>
              <w:t xml:space="preserve">—</w:t>
            </w:r>
          </w:p>
        </w:tc>
      </w:tr>
    </w:tbl>
    <w:p>
      <w:pPr>
        <w:spacing w:after="80" w:before="60" w:line="300"/>
        <w:jc w:val="left"/>
      </w:pPr>
      <w:r>
        <w:rPr>
          <w:rFonts w:ascii="Arial" w:cs="Arial" w:eastAsia="Arial" w:hAnsi="Arial"/>
          <w:i/>
          <w:iCs/>
          <w:color w:val="6B6660"/>
          <w:sz w:val="18"/>
          <w:szCs w:val="18"/>
        </w:rPr>
        <w:t xml:space="preserve">Sources: DocuSign CLM pricing via Bind 2026; LinkSquares median via Vendr; BoardEffect via imBoard; ClearPoint Strategy via SaaSWorthy; Onspring via SmartSuite; Asana via G2; Salesforce Nonprofit Cloud via vendor pricing page; Zeffy on Salesforce NPC implementation costs.</w:t>
      </w:r>
    </w:p>
    <w:p>
      <w:pPr>
        <w:spacing w:after="80" w:before="60" w:line="300"/>
        <w:jc w:val="left"/>
      </w:pPr>
      <w:r>
        <w:rPr>
          <w:rFonts w:ascii="Arial" w:cs="Arial" w:eastAsia="Arial" w:hAnsi="Arial"/>
          <w:b/>
          <w:bCs/>
          <w:color w:val="1A1410"/>
          <w:sz w:val="22"/>
          <w:szCs w:val="22"/>
        </w:rPr>
        <w:t xml:space="preserve">What the stitched stack does NOT give the NGO: </w:t>
      </w:r>
      <w:r>
        <w:rPr>
          <w:rFonts w:ascii="Arial" w:cs="Arial" w:eastAsia="Arial" w:hAnsi="Arial"/>
          <w:color w:val="1A1410"/>
          <w:sz w:val="22"/>
          <w:szCs w:val="22"/>
        </w:rPr>
        <w:t xml:space="preserve">AI integrated across every module. One customer record. One audit trail. One login. Per-module data flowing into one executive view. Six-language parity. Donor-compliance regimes encoded (USAID legacy frameworks, EU INTPA, UN HACT). Country registries pre-mapped. Multi-tenant donor visibility via Kuja ERP integration. Adeso-as-reference-customer that already runs on it.</w:t>
      </w:r>
    </w:p>
    <w:p>
      <w:pPr>
        <w:spacing w:after="80" w:before="60" w:line="300"/>
        <w:jc w:val="left"/>
      </w:pPr>
      <w:r>
        <w:rPr>
          <w:rFonts w:ascii="Arial" w:cs="Arial" w:eastAsia="Arial" w:hAnsi="Arial"/>
          <w:b/>
          <w:bCs/>
          <w:color w:val="1A1410"/>
          <w:sz w:val="22"/>
          <w:szCs w:val="22"/>
        </w:rPr>
        <w:t xml:space="preserve">Hidden costs not in the headline: </w:t>
      </w:r>
      <w:r>
        <w:rPr>
          <w:rFonts w:ascii="Arial" w:cs="Arial" w:eastAsia="Arial" w:hAnsi="Arial"/>
          <w:color w:val="1A1410"/>
          <w:sz w:val="22"/>
          <w:szCs w:val="22"/>
        </w:rPr>
        <w:t xml:space="preserve">5–8% annual price escalators on CLM and CRM contracts; integration middleware (Zapier, Workato, custom) at $10K–$25K/yr; 0.25–0.5 internal FTE to administer six contracts and six admin consoles ($25K–$60K/yr); DocuSign envelope overages; user-seat creep. Real Year-1 TCO for many NGOs is closer to $220K–$250K.</w:t>
      </w:r>
    </w:p>
    <w:p>
      <w:pPr>
        <w:spacing w:after="80" w:before="60" w:line="300"/>
        <w:jc w:val="left"/>
      </w:pPr>
      <w:r>
        <w:rPr>
          <w:rFonts w:ascii="Arial" w:cs="Arial" w:eastAsia="Arial" w:hAnsi="Arial"/>
          <w:b/>
          <w:bCs/>
          <w:color w:val="1A1410"/>
          <w:sz w:val="22"/>
          <w:szCs w:val="22"/>
        </w:rPr>
        <w:t xml:space="preserve">Sensitivity bands. </w:t>
      </w:r>
      <w:r>
        <w:rPr>
          <w:rFonts w:ascii="Arial" w:cs="Arial" w:eastAsia="Arial" w:hAnsi="Arial"/>
          <w:color w:val="1A1410"/>
          <w:sz w:val="22"/>
          <w:szCs w:val="22"/>
        </w:rPr>
        <w:t xml:space="preserve">A frugal stack (ClickUp + Boardable + Neon + ContractWorks + Profit.co + Bloomerang) lands at $45K–$60K/year but loses enterprise auditability, AI, and donor-compliance encoding. A premium stack (Ironclad + Diligent + Workboard + LogicGate + Smartsheet Enterprise + Salesforce Unlimited) lands at $350K–$600K+ Year 1.</w:t>
      </w:r>
    </w:p>
    <w:p>
      <w:pPr>
        <w:spacing w:after="80" w:before="60" w:line="300"/>
        <w:jc w:val="left"/>
      </w:pPr>
      <w:r>
        <w:rPr>
          <w:rFonts w:ascii="Arial" w:cs="Arial" w:eastAsia="Arial" w:hAnsi="Arial"/>
          <w:b/>
          <w:bCs/>
          <w:color w:val="1A1410"/>
          <w:sz w:val="22"/>
          <w:szCs w:val="22"/>
        </w:rPr>
        <w:t xml:space="preserve">Where Elevate Platform wins: </w:t>
      </w:r>
      <w:r>
        <w:rPr>
          <w:rFonts w:ascii="Arial" w:cs="Arial" w:eastAsia="Arial" w:hAnsi="Arial"/>
          <w:color w:val="1A1410"/>
          <w:sz w:val="22"/>
          <w:szCs w:val="22"/>
        </w:rPr>
        <w:t xml:space="preserve">Standard tier ($30K–$60K/year) covers the same functional ground as the $129K–$184K stitched stack — at one-third to one-quarter the TCO. Full integration. AI included, not extra. Adeso runs its own operations on it today — every claim in the user guide is something we operate, not something we plan to build. The product proof point is that the company building it depends on it.</w:t>
      </w:r>
    </w:p>
    <w:p>
      <w:pPr>
        <w:pStyle w:val="Heading3"/>
        <w:spacing w:after="100" w:before="220"/>
      </w:pPr>
      <w:r>
        <w:rPr>
          <w:rFonts w:ascii="Arial" w:cs="Arial" w:eastAsia="Arial" w:hAnsi="Arial"/>
          <w:b/>
          <w:bCs/>
          <w:color w:val="1A1410"/>
          <w:sz w:val="24"/>
          <w:szCs w:val="24"/>
        </w:rPr>
        <w:t xml:space="preserve">Elevate Advisory — vs. Big-4 + INGO-led capacity strengthening</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Big-4 advisory (KPMG, Deloitte, PwC, EY) in East Africa — directional pricing at $1,500–$3,000/day with engagements typically $150K–$300K; English-only; theoretical. Humentum (100+ consultants in 30+ countries; deepest sector specialism in finance/HR/PM; services-led, not productized). FHI 360 + Oxford Policy Management (capacity strengthening bundled inside donor-funded programs, not sold as SaaS). Catholic Relief Services + Mercy Corps + Pact (INGO-led strengthening funded through donor grants — not a buyable product). Ford BUILD + MacKenzie Scott unrestricted (provide funding, not operational tooling).</w:t>
      </w:r>
    </w:p>
    <w:p>
      <w:pPr>
        <w:spacing w:after="80" w:before="60" w:line="300"/>
        <w:jc w:val="left"/>
      </w:pPr>
      <w:r>
        <w:rPr>
          <w:rFonts w:ascii="Arial" w:cs="Arial" w:eastAsia="Arial" w:hAnsi="Arial"/>
          <w:b/>
          <w:bCs/>
          <w:color w:val="1A1410"/>
          <w:sz w:val="22"/>
          <w:szCs w:val="22"/>
        </w:rPr>
        <w:t xml:space="preserve">Productized SaaS operational transformation for NGOs: </w:t>
      </w:r>
      <w:r>
        <w:rPr>
          <w:rFonts w:ascii="Arial" w:cs="Arial" w:eastAsia="Arial" w:hAnsi="Arial"/>
          <w:color w:val="1A1410"/>
          <w:sz w:val="22"/>
          <w:szCs w:val="22"/>
        </w:rPr>
        <w:t xml:space="preserve">No productized competitor surfaced at the platform-with-services depth Kuja offers. The closest analogues are the stitched-stack vendors above plus advisory services — bought separately, with no integration.</w:t>
      </w:r>
    </w:p>
    <w:p>
      <w:pPr>
        <w:spacing w:after="80" w:before="60" w:line="300"/>
        <w:jc w:val="left"/>
      </w:pPr>
      <w:r>
        <w:rPr>
          <w:rFonts w:ascii="Arial" w:cs="Arial" w:eastAsia="Arial" w:hAnsi="Arial"/>
          <w:b/>
          <w:bCs/>
          <w:color w:val="1A1410"/>
          <w:sz w:val="22"/>
          <w:szCs w:val="22"/>
        </w:rPr>
        <w:t xml:space="preserve">Where Kuja Elevate Advisory wins: </w:t>
      </w:r>
      <w:r>
        <w:rPr>
          <w:rFonts w:ascii="Arial" w:cs="Arial" w:eastAsia="Arial" w:hAnsi="Arial"/>
          <w:color w:val="1A1410"/>
          <w:sz w:val="22"/>
          <w:szCs w:val="22"/>
        </w:rPr>
        <w:t xml:space="preserve">Productized engagement scope with three transparent tiers and predictable pricing. Six-language platform parity. Methodology proven on Adeso's own 9-month operational transformation, then productized into the Platform. Senior consultants are former NGO finance and operations directors — not Big-4 graduates retraining as NGO advisors. Output integrates directly into the Platform that the NGO will then operate on — no methodology-then-walks-away pattern.</w:t>
      </w:r>
    </w:p>
    <w:p>
      <w:pPr>
        <w:pStyle w:val="Heading2"/>
        <w:spacing w:after="140" w:before="280"/>
      </w:pPr>
      <w:r>
        <w:rPr>
          <w:rFonts w:ascii="Arial" w:cs="Arial" w:eastAsia="Arial" w:hAnsi="Arial"/>
          <w:b/>
          <w:bCs/>
          <w:color w:val="7C2D12"/>
          <w:sz w:val="28"/>
          <w:szCs w:val="28"/>
        </w:rPr>
        <w:t xml:space="preserve">12.3 NGO ERP — vs. Sage Intacct, NetSuite, QuickBooks, Odoo-for-NGOs</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Sage Intacct Nonprofit ($15K–$50K/year subscription, $30K–$75K implementation per BT Partners 2025; strong fund accounting but priced out of most Global South NGOs; no donor-portal layer). NetSuite Social Impact (Social Impact program pricing not publicly disclosed; mainline NetSuite typically 1.5×–2.5× Sage Intacct per ERP Research 2025). QuickBooks (dominates SMB nonprofit accounting; no robust survey quantifying Global South mid-size penetration; limits at multi-fund restricted-fund accounting). Aptify, Personify, MIP (legacy, association/membership-org focus).</w:t>
      </w:r>
    </w:p>
    <w:p>
      <w:pPr>
        <w:spacing w:after="80" w:before="60" w:line="300"/>
        <w:jc w:val="left"/>
      </w:pPr>
      <w:r>
        <w:rPr>
          <w:rFonts w:ascii="Arial" w:cs="Arial" w:eastAsia="Arial" w:hAnsi="Arial"/>
          <w:b/>
          <w:bCs/>
          <w:color w:val="1A1410"/>
          <w:sz w:val="22"/>
          <w:szCs w:val="22"/>
        </w:rPr>
        <w:t xml:space="preserve">Odoo for nonprofits: </w:t>
      </w:r>
      <w:r>
        <w:rPr>
          <w:rFonts w:ascii="Arial" w:cs="Arial" w:eastAsia="Arial" w:hAnsi="Arial"/>
          <w:color w:val="1A1410"/>
          <w:sz w:val="22"/>
          <w:szCs w:val="22"/>
        </w:rPr>
        <w:t xml:space="preserve">Multiple partners offer Odoo NGO templates (Odoo4NGOs, ODOO4projects, Mainsail Consulting); Virunga Foundation case study published at Odoo Experience 2024. Implementation-partner-led; no native multi-tenant donor visibility.</w:t>
      </w:r>
    </w:p>
    <w:p>
      <w:pPr>
        <w:spacing w:after="80" w:before="60" w:line="300"/>
        <w:jc w:val="left"/>
      </w:pPr>
      <w:r>
        <w:rPr>
          <w:rFonts w:ascii="Arial" w:cs="Arial" w:eastAsia="Arial" w:hAnsi="Arial"/>
          <w:b/>
          <w:bCs/>
          <w:color w:val="1A1410"/>
          <w:sz w:val="22"/>
          <w:szCs w:val="22"/>
        </w:rPr>
        <w:t xml:space="preserve">Where Kuja ERP wins: </w:t>
      </w:r>
      <w:r>
        <w:rPr>
          <w:rFonts w:ascii="Arial" w:cs="Arial" w:eastAsia="Arial" w:hAnsi="Arial"/>
          <w:color w:val="1A1410"/>
          <w:sz w:val="22"/>
          <w:szCs w:val="22"/>
        </w:rPr>
        <w:t xml:space="preserve">Multi-tenant donor visibility (the wedge: a donor sees live read-only spend across funded grantees — verified absence in all competitors searched). Six-language parity. Country-specific payroll modules on roadmap (Kenya, Uganda, Nigeria, South Africa). Donor-sponsored grantee model. Built on Odoo 17 — modular, open-source-friendly, partner-ecosystem-extendable.</w:t>
      </w:r>
    </w:p>
    <w:p>
      <w:pPr>
        <w:pStyle w:val="Heading2"/>
        <w:spacing w:after="140" w:before="280"/>
      </w:pPr>
      <w:r>
        <w:rPr>
          <w:rFonts w:ascii="Arial" w:cs="Arial" w:eastAsia="Arial" w:hAnsi="Arial"/>
          <w:b/>
          <w:bCs/>
          <w:color w:val="7C2D12"/>
          <w:sz w:val="28"/>
          <w:szCs w:val="28"/>
        </w:rPr>
        <w:t xml:space="preserve">12.4 NGO/Donor Marketplaces — vs. GlobalGiving, Candid, Instrumentl</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GlobalGiving (crowdfunding marketplace; 5–12% nonprofit support fee + 3% payment processing per GlobalGiving 2025; retail-donor focus, not institutional). Candid Foundation Directory (FDO Essential $54.99/month, FDO Professional ~$219.99/month; largest US-foundation database; discovery only — no workflow; US-centric). Instrumentl (covered in 12.1). Bond + InterAction + NEAR (membership networks for advocacy + peer learning — not transactional marketplaces).</w:t>
      </w:r>
    </w:p>
    <w:p>
      <w:pPr>
        <w:spacing w:after="80" w:before="60" w:line="300"/>
        <w:jc w:val="left"/>
      </w:pPr>
      <w:r>
        <w:rPr>
          <w:rFonts w:ascii="Arial" w:cs="Arial" w:eastAsia="Arial" w:hAnsi="Arial"/>
          <w:b/>
          <w:bCs/>
          <w:color w:val="1A1410"/>
          <w:sz w:val="22"/>
          <w:szCs w:val="22"/>
        </w:rPr>
        <w:t xml:space="preserve">Where Kuja Marketplace wins: </w:t>
      </w:r>
      <w:r>
        <w:rPr>
          <w:rFonts w:ascii="Arial" w:cs="Arial" w:eastAsia="Arial" w:hAnsi="Arial"/>
          <w:color w:val="1A1410"/>
          <w:sz w:val="22"/>
          <w:szCs w:val="22"/>
        </w:rPr>
        <w:t xml:space="preserve">Two-sided institutional grant marketplace where donor requirements + verified NGO capacity meet. Distinct from retail crowdfunding, foundation databases, and advocacy networks. Bidirectional matching; Trust Passport portability; workflow-integrated (a match becomes an application in one click); curated Hosted Network tier as a new product.</w:t>
      </w:r>
    </w:p>
    <w:p>
      <w:pPr>
        <w:pStyle w:val="Heading2"/>
        <w:spacing w:after="140" w:before="280"/>
      </w:pPr>
      <w:r>
        <w:rPr>
          <w:rFonts w:ascii="Arial" w:cs="Arial" w:eastAsia="Arial" w:hAnsi="Arial"/>
          <w:b/>
          <w:bCs/>
          <w:color w:val="7C2D12"/>
          <w:sz w:val="28"/>
          <w:szCs w:val="28"/>
        </w:rPr>
        <w:t xml:space="preserve">12.5 Pooled-Fund / Network Platforms — uncontested category</w:t>
      </w:r>
    </w:p>
    <w:p>
      <w:pPr>
        <w:spacing w:after="80" w:before="60" w:line="300"/>
        <w:jc w:val="left"/>
      </w:pPr>
      <w:r>
        <w:rPr>
          <w:rFonts w:ascii="Arial" w:cs="Arial" w:eastAsia="Arial" w:hAnsi="Arial"/>
          <w:b/>
          <w:bCs/>
          <w:color w:val="1A1410"/>
          <w:sz w:val="22"/>
          <w:szCs w:val="22"/>
        </w:rPr>
        <w:t xml:space="preserve">Incumbents: </w:t>
      </w:r>
      <w:r>
        <w:rPr>
          <w:rFonts w:ascii="Arial" w:cs="Arial" w:eastAsia="Arial" w:hAnsi="Arial"/>
          <w:color w:val="1A1410"/>
          <w:sz w:val="22"/>
          <w:szCs w:val="22"/>
        </w:rPr>
        <w:t xml:space="preserve">There is no commercial peer-governed pooled-fund SaaS competitor. Start Network operates its Start Fund infrastructure internally — explicitly not sold to other networks per Start Network 2025. DEC commissioned local-fund development through Start Network. Other networks (regional consortia) run on Salesforce + spreadsheets + custom code.</w:t>
      </w:r>
    </w:p>
    <w:p>
      <w:pPr>
        <w:spacing w:after="80" w:before="60" w:line="300"/>
        <w:jc w:val="left"/>
      </w:pPr>
      <w:r>
        <w:rPr>
          <w:rFonts w:ascii="Arial" w:cs="Arial" w:eastAsia="Arial" w:hAnsi="Arial"/>
          <w:b/>
          <w:bCs/>
          <w:color w:val="1A1410"/>
          <w:sz w:val="22"/>
          <w:szCs w:val="22"/>
        </w:rPr>
        <w:t xml:space="preserve">Where Kuja wins: </w:t>
      </w:r>
      <w:r>
        <w:rPr>
          <w:rFonts w:ascii="Arial" w:cs="Arial" w:eastAsia="Arial" w:hAnsi="Arial"/>
          <w:color w:val="1A1410"/>
          <w:sz w:val="22"/>
          <w:szCs w:val="22"/>
        </w:rPr>
        <w:t xml:space="preserve">First-mover. Architecture supports unlimited tenants. Data-portable spin-out from Year 2. We are defining the Kuja Networks category.</w:t>
      </w:r>
    </w:p>
    <w:p>
      <w:pPr>
        <w:pStyle w:val="Heading2"/>
        <w:spacing w:after="140" w:before="280"/>
      </w:pPr>
      <w:r>
        <w:rPr>
          <w:rFonts w:ascii="Arial" w:cs="Arial" w:eastAsia="Arial" w:hAnsi="Arial"/>
          <w:b/>
          <w:bCs/>
          <w:color w:val="7C2D12"/>
          <w:sz w:val="28"/>
          <w:szCs w:val="28"/>
        </w:rPr>
        <w:t xml:space="preserve">12.6 The Integrated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No single competitor offers all four pillars on one platform with one Trust Profile, one AI memory, and one audit chain.</w:t>
            </w:r>
          </w:p>
          <w:p>
            <w:pPr>
              <w:spacing w:before="80"/>
            </w:pPr>
            <w:r>
              <w:rPr>
                <w:rFonts w:ascii="Arial" w:cs="Arial" w:eastAsia="Arial" w:hAnsi="Arial"/>
                <w:color w:val="1A1410"/>
                <w:sz w:val="22"/>
                <w:szCs w:val="22"/>
              </w:rPr>
              <w:t xml:space="preserve">Fluxx + Sage Intacct + Big-4 + Candid = the legacy stack for a serious foundation. Kuja is the integrated alternative — one tenant, one customer record, one audit history. The next time the foundation has a question about a grantee, they have one place to look. The next time the grantee adds a new donor, the Trust Profile travels. The next time the AI is asked to score an application, it grounds in the donor's own rubric and the grantee's own history.</w:t>
            </w:r>
          </w:p>
        </w:tc>
      </w:tr>
    </w:tbl>
    <w:p>
      <w:pPr>
        <w:pStyle w:val="Heading1"/>
        <w:pageBreakBefore/>
        <w:spacing w:after="200" w:before="320"/>
      </w:pPr>
      <w:r>
        <w:rPr>
          <w:rFonts w:ascii="Arial" w:cs="Arial" w:eastAsia="Arial" w:hAnsi="Arial"/>
          <w:b/>
          <w:bCs/>
          <w:color w:val="C2410C"/>
          <w:sz w:val="36"/>
          <w:szCs w:val="36"/>
        </w:rPr>
        <w:t xml:space="preserve">13. Phased Go-to-Market 2026–2028</w:t>
      </w:r>
    </w:p>
    <w:p>
      <w:pPr>
        <w:pStyle w:val="Heading2"/>
        <w:spacing w:after="140" w:before="280"/>
      </w:pPr>
      <w:r>
        <w:rPr>
          <w:rFonts w:ascii="Arial" w:cs="Arial" w:eastAsia="Arial" w:hAnsi="Arial"/>
          <w:b/>
          <w:bCs/>
          <w:color w:val="7C2D12"/>
          <w:sz w:val="28"/>
          <w:szCs w:val="28"/>
        </w:rPr>
        <w:t xml:space="preserve">Q3 2026 (current quarter)</w:t>
      </w:r>
    </w:p>
    <w:p>
      <w:pPr>
        <w:pStyle w:val="ListParagraph"/>
        <w:numPr>
          <w:ilvl w:val="0"/>
          <w:numId w:val="2"/>
        </w:numPr>
        <w:spacing w:after="60" w:before="30" w:line="280"/>
      </w:pPr>
      <w:r>
        <w:rPr>
          <w:rFonts w:ascii="Arial" w:cs="Arial" w:eastAsia="Arial" w:hAnsi="Arial"/>
          <w:color w:val="1A1410"/>
          <w:sz w:val="22"/>
          <w:szCs w:val="22"/>
        </w:rPr>
        <w:t xml:space="preserve">Production platform deployed and operational. NEAR Network is the lead pilot prospect for the Networks motion.</w:t>
      </w:r>
    </w:p>
    <w:p>
      <w:pPr>
        <w:pStyle w:val="ListParagraph"/>
        <w:numPr>
          <w:ilvl w:val="0"/>
          <w:numId w:val="2"/>
        </w:numPr>
        <w:spacing w:after="60" w:before="30" w:line="280"/>
      </w:pPr>
      <w:r>
        <w:rPr>
          <w:rFonts w:ascii="Arial" w:cs="Arial" w:eastAsia="Arial" w:hAnsi="Arial"/>
          <w:color w:val="1A1410"/>
          <w:sz w:val="22"/>
          <w:szCs w:val="22"/>
        </w:rPr>
        <w:t xml:space="preserve">Two foundation pilots in negotiation — one Grant-only pilot ($30K–$50K), one cohort pilot ($150K–$250K).</w:t>
      </w:r>
    </w:p>
    <w:p>
      <w:pPr>
        <w:pStyle w:val="ListParagraph"/>
        <w:numPr>
          <w:ilvl w:val="0"/>
          <w:numId w:val="2"/>
        </w:numPr>
        <w:spacing w:after="60" w:before="30" w:line="280"/>
      </w:pPr>
      <w:r>
        <w:rPr>
          <w:rFonts w:ascii="Arial" w:cs="Arial" w:eastAsia="Arial" w:hAnsi="Arial"/>
          <w:color w:val="1A1410"/>
          <w:sz w:val="22"/>
          <w:szCs w:val="22"/>
        </w:rPr>
        <w:t xml:space="preserve">Hosted Network MVP — curated 50-NGO pool drawn from Trust-Profile-verified Marketplace registrants.</w:t>
      </w:r>
    </w:p>
    <w:p>
      <w:pPr>
        <w:pStyle w:val="ListParagraph"/>
        <w:numPr>
          <w:ilvl w:val="0"/>
          <w:numId w:val="2"/>
        </w:numPr>
        <w:spacing w:after="60" w:before="30" w:line="280"/>
      </w:pPr>
      <w:r>
        <w:rPr>
          <w:rFonts w:ascii="Arial" w:cs="Arial" w:eastAsia="Arial" w:hAnsi="Arial"/>
          <w:color w:val="1A1410"/>
          <w:sz w:val="22"/>
          <w:szCs w:val="22"/>
        </w:rPr>
        <w:t xml:space="preserve">ERP Procurement + HR modules ship to UAT.</w:t>
      </w:r>
    </w:p>
    <w:p>
      <w:pPr>
        <w:pStyle w:val="Heading2"/>
        <w:spacing w:after="140" w:before="280"/>
      </w:pPr>
      <w:r>
        <w:rPr>
          <w:rFonts w:ascii="Arial" w:cs="Arial" w:eastAsia="Arial" w:hAnsi="Arial"/>
          <w:b/>
          <w:bCs/>
          <w:color w:val="7C2D12"/>
          <w:sz w:val="28"/>
          <w:szCs w:val="28"/>
        </w:rPr>
        <w:t xml:space="preserve">Q4 2026</w:t>
      </w:r>
    </w:p>
    <w:p>
      <w:pPr>
        <w:pStyle w:val="ListParagraph"/>
        <w:numPr>
          <w:ilvl w:val="0"/>
          <w:numId w:val="2"/>
        </w:numPr>
        <w:spacing w:after="60" w:before="30" w:line="280"/>
      </w:pPr>
      <w:r>
        <w:rPr>
          <w:rFonts w:ascii="Arial" w:cs="Arial" w:eastAsia="Arial" w:hAnsi="Arial"/>
          <w:color w:val="1A1410"/>
          <w:sz w:val="22"/>
          <w:szCs w:val="22"/>
        </w:rPr>
        <w:t xml:space="preserve">Convert at least one Grant-only pilot to expansion (Elevate or ERP).</w:t>
      </w:r>
    </w:p>
    <w:p>
      <w:pPr>
        <w:pStyle w:val="ListParagraph"/>
        <w:numPr>
          <w:ilvl w:val="0"/>
          <w:numId w:val="2"/>
        </w:numPr>
        <w:spacing w:after="60" w:before="30" w:line="280"/>
      </w:pPr>
      <w:r>
        <w:rPr>
          <w:rFonts w:ascii="Arial" w:cs="Arial" w:eastAsia="Arial" w:hAnsi="Arial"/>
          <w:color w:val="1A1410"/>
          <w:sz w:val="22"/>
          <w:szCs w:val="22"/>
        </w:rPr>
        <w:t xml:space="preserve">First paid Network tenant under contract.</w:t>
      </w:r>
    </w:p>
    <w:p>
      <w:pPr>
        <w:pStyle w:val="ListParagraph"/>
        <w:numPr>
          <w:ilvl w:val="0"/>
          <w:numId w:val="2"/>
        </w:numPr>
        <w:spacing w:after="60" w:before="30" w:line="280"/>
      </w:pPr>
      <w:r>
        <w:rPr>
          <w:rFonts w:ascii="Arial" w:cs="Arial" w:eastAsia="Arial" w:hAnsi="Arial"/>
          <w:color w:val="1A1410"/>
          <w:sz w:val="22"/>
          <w:szCs w:val="22"/>
        </w:rPr>
        <w:t xml:space="preserve">Hosted Network first paying buyer (target: one DAF or family office).</w:t>
      </w:r>
    </w:p>
    <w:p>
      <w:pPr>
        <w:pStyle w:val="ListParagraph"/>
        <w:numPr>
          <w:ilvl w:val="0"/>
          <w:numId w:val="2"/>
        </w:numPr>
        <w:spacing w:after="60" w:before="30" w:line="280"/>
      </w:pPr>
      <w:r>
        <w:rPr>
          <w:rFonts w:ascii="Arial" w:cs="Arial" w:eastAsia="Arial" w:hAnsi="Arial"/>
          <w:color w:val="1A1410"/>
          <w:sz w:val="22"/>
          <w:szCs w:val="22"/>
        </w:rPr>
        <w:t xml:space="preserve">Payroll module begins development for Kenya, Uganda, Nigeria, South Africa.</w:t>
      </w:r>
    </w:p>
    <w:p>
      <w:pPr>
        <w:pStyle w:val="Heading2"/>
        <w:spacing w:after="140" w:before="280"/>
      </w:pPr>
      <w:r>
        <w:rPr>
          <w:rFonts w:ascii="Arial" w:cs="Arial" w:eastAsia="Arial" w:hAnsi="Arial"/>
          <w:b/>
          <w:bCs/>
          <w:color w:val="7C2D12"/>
          <w:sz w:val="28"/>
          <w:szCs w:val="28"/>
        </w:rPr>
        <w:t xml:space="preserve">2027 H1</w:t>
      </w:r>
    </w:p>
    <w:p>
      <w:pPr>
        <w:pStyle w:val="ListParagraph"/>
        <w:numPr>
          <w:ilvl w:val="0"/>
          <w:numId w:val="2"/>
        </w:numPr>
        <w:spacing w:after="60" w:before="30" w:line="280"/>
      </w:pPr>
      <w:r>
        <w:rPr>
          <w:rFonts w:ascii="Arial" w:cs="Arial" w:eastAsia="Arial" w:hAnsi="Arial"/>
          <w:color w:val="1A1410"/>
          <w:sz w:val="22"/>
          <w:szCs w:val="22"/>
        </w:rPr>
        <w:t xml:space="preserve">3–4 foundation cohort pilots in delivery.</w:t>
      </w:r>
    </w:p>
    <w:p>
      <w:pPr>
        <w:pStyle w:val="ListParagraph"/>
        <w:numPr>
          <w:ilvl w:val="0"/>
          <w:numId w:val="2"/>
        </w:numPr>
        <w:spacing w:after="60" w:before="30" w:line="280"/>
      </w:pPr>
      <w:r>
        <w:rPr>
          <w:rFonts w:ascii="Arial" w:cs="Arial" w:eastAsia="Arial" w:hAnsi="Arial"/>
          <w:color w:val="1A1410"/>
          <w:sz w:val="22"/>
          <w:szCs w:val="22"/>
        </w:rPr>
        <w:t xml:space="preserve">Second and third Network tenants signed (one IKEA Foundation or Gates Foundation-enabled).</w:t>
      </w:r>
    </w:p>
    <w:p>
      <w:pPr>
        <w:pStyle w:val="ListParagraph"/>
        <w:numPr>
          <w:ilvl w:val="0"/>
          <w:numId w:val="2"/>
        </w:numPr>
        <w:spacing w:after="60" w:before="30" w:line="280"/>
      </w:pPr>
      <w:r>
        <w:rPr>
          <w:rFonts w:ascii="Arial" w:cs="Arial" w:eastAsia="Arial" w:hAnsi="Arial"/>
          <w:color w:val="1A1410"/>
          <w:sz w:val="22"/>
          <w:szCs w:val="22"/>
        </w:rPr>
        <w:t xml:space="preserve">Two BPO partner agreements signed (East Africa + West Africa).</w:t>
      </w:r>
    </w:p>
    <w:p>
      <w:pPr>
        <w:pStyle w:val="ListParagraph"/>
        <w:numPr>
          <w:ilvl w:val="0"/>
          <w:numId w:val="2"/>
        </w:numPr>
        <w:spacing w:after="60" w:before="30" w:line="280"/>
      </w:pPr>
      <w:r>
        <w:rPr>
          <w:rFonts w:ascii="Arial" w:cs="Arial" w:eastAsia="Arial" w:hAnsi="Arial"/>
          <w:color w:val="1A1410"/>
          <w:sz w:val="22"/>
          <w:szCs w:val="22"/>
        </w:rPr>
        <w:t xml:space="preserve">Spanish-language deployment for first LatAm partner.</w:t>
      </w:r>
    </w:p>
    <w:p>
      <w:pPr>
        <w:pStyle w:val="Heading2"/>
        <w:spacing w:after="140" w:before="280"/>
      </w:pPr>
      <w:r>
        <w:rPr>
          <w:rFonts w:ascii="Arial" w:cs="Arial" w:eastAsia="Arial" w:hAnsi="Arial"/>
          <w:b/>
          <w:bCs/>
          <w:color w:val="7C2D12"/>
          <w:sz w:val="28"/>
          <w:szCs w:val="28"/>
        </w:rPr>
        <w:t xml:space="preserve">2027 H2</w:t>
      </w:r>
    </w:p>
    <w:p>
      <w:pPr>
        <w:pStyle w:val="ListParagraph"/>
        <w:numPr>
          <w:ilvl w:val="0"/>
          <w:numId w:val="2"/>
        </w:numPr>
        <w:spacing w:after="60" w:before="30" w:line="280"/>
      </w:pPr>
      <w:r>
        <w:rPr>
          <w:rFonts w:ascii="Arial" w:cs="Arial" w:eastAsia="Arial" w:hAnsi="Arial"/>
          <w:color w:val="1A1410"/>
          <w:sz w:val="22"/>
          <w:szCs w:val="22"/>
        </w:rPr>
        <w:t xml:space="preserve">Bilateral donor first conversation (FCDO or Sida) → late-2027 procurement.</w:t>
      </w:r>
    </w:p>
    <w:p>
      <w:pPr>
        <w:pStyle w:val="ListParagraph"/>
        <w:numPr>
          <w:ilvl w:val="0"/>
          <w:numId w:val="2"/>
        </w:numPr>
        <w:spacing w:after="60" w:before="30" w:line="280"/>
      </w:pPr>
      <w:r>
        <w:rPr>
          <w:rFonts w:ascii="Arial" w:cs="Arial" w:eastAsia="Arial" w:hAnsi="Arial"/>
          <w:color w:val="1A1410"/>
          <w:sz w:val="22"/>
          <w:szCs w:val="22"/>
        </w:rPr>
        <w:t xml:space="preserve">Conservative-case revenue run-rate &gt;$1.5M.</w:t>
      </w:r>
    </w:p>
    <w:p>
      <w:pPr>
        <w:pStyle w:val="ListParagraph"/>
        <w:numPr>
          <w:ilvl w:val="0"/>
          <w:numId w:val="2"/>
        </w:numPr>
        <w:spacing w:after="60" w:before="30" w:line="280"/>
      </w:pPr>
      <w:r>
        <w:rPr>
          <w:rFonts w:ascii="Arial" w:cs="Arial" w:eastAsia="Arial" w:hAnsi="Arial"/>
          <w:color w:val="1A1410"/>
          <w:sz w:val="22"/>
          <w:szCs w:val="22"/>
        </w:rPr>
        <w:t xml:space="preserve">Annual customer summit — references convert prospects.</w:t>
      </w:r>
    </w:p>
    <w:p>
      <w:pPr>
        <w:pStyle w:val="Heading2"/>
        <w:spacing w:after="140" w:before="280"/>
      </w:pPr>
      <w:r>
        <w:rPr>
          <w:rFonts w:ascii="Arial" w:cs="Arial" w:eastAsia="Arial" w:hAnsi="Arial"/>
          <w:b/>
          <w:bCs/>
          <w:color w:val="7C2D12"/>
          <w:sz w:val="28"/>
          <w:szCs w:val="28"/>
        </w:rPr>
        <w:t xml:space="preserve">2028</w:t>
      </w:r>
    </w:p>
    <w:p>
      <w:pPr>
        <w:pStyle w:val="ListParagraph"/>
        <w:numPr>
          <w:ilvl w:val="0"/>
          <w:numId w:val="2"/>
        </w:numPr>
        <w:spacing w:after="60" w:before="30" w:line="280"/>
      </w:pPr>
      <w:r>
        <w:rPr>
          <w:rFonts w:ascii="Arial" w:cs="Arial" w:eastAsia="Arial" w:hAnsi="Arial"/>
          <w:color w:val="1A1410"/>
          <w:sz w:val="22"/>
          <w:szCs w:val="22"/>
        </w:rPr>
        <w:t xml:space="preserve">Conservative-case &gt;$3M annual; Ambitious-case &gt;$5M.</w:t>
      </w:r>
    </w:p>
    <w:p>
      <w:pPr>
        <w:pStyle w:val="ListParagraph"/>
        <w:numPr>
          <w:ilvl w:val="0"/>
          <w:numId w:val="2"/>
        </w:numPr>
        <w:spacing w:after="60" w:before="30" w:line="280"/>
      </w:pPr>
      <w:r>
        <w:rPr>
          <w:rFonts w:ascii="Arial" w:cs="Arial" w:eastAsia="Arial" w:hAnsi="Arial"/>
          <w:color w:val="1A1410"/>
          <w:sz w:val="22"/>
          <w:szCs w:val="22"/>
        </w:rPr>
        <w:t xml:space="preserve">Sub-Saharan Africa scaling: country sales playbooks in Kenya, Nigeria, South Africa, Uganda.</w:t>
      </w:r>
    </w:p>
    <w:p>
      <w:pPr>
        <w:pStyle w:val="ListParagraph"/>
        <w:numPr>
          <w:ilvl w:val="0"/>
          <w:numId w:val="2"/>
        </w:numPr>
        <w:spacing w:after="60" w:before="30" w:line="280"/>
      </w:pPr>
      <w:r>
        <w:rPr>
          <w:rFonts w:ascii="Arial" w:cs="Arial" w:eastAsia="Arial" w:hAnsi="Arial"/>
          <w:color w:val="1A1410"/>
          <w:sz w:val="22"/>
          <w:szCs w:val="22"/>
        </w:rPr>
        <w:t xml:space="preserve">LatAm + Caribbean scaling.</w:t>
      </w:r>
    </w:p>
    <w:p>
      <w:pPr>
        <w:pStyle w:val="ListParagraph"/>
        <w:numPr>
          <w:ilvl w:val="0"/>
          <w:numId w:val="2"/>
        </w:numPr>
        <w:spacing w:after="60" w:before="30" w:line="280"/>
      </w:pPr>
      <w:r>
        <w:rPr>
          <w:rFonts w:ascii="Arial" w:cs="Arial" w:eastAsia="Arial" w:hAnsi="Arial"/>
          <w:color w:val="1A1410"/>
          <w:sz w:val="22"/>
          <w:szCs w:val="22"/>
        </w:rPr>
        <w:t xml:space="preserve">Break-even in H2 2028 (Conservative); profitable from 2029.</w:t>
      </w:r>
    </w:p>
    <w:p>
      <w:pPr>
        <w:pStyle w:val="Heading1"/>
        <w:pageBreakBefore/>
        <w:spacing w:after="200" w:before="320"/>
      </w:pPr>
      <w:r>
        <w:rPr>
          <w:rFonts w:ascii="Arial" w:cs="Arial" w:eastAsia="Arial" w:hAnsi="Arial"/>
          <w:b/>
          <w:bCs/>
          <w:color w:val="C2410C"/>
          <w:sz w:val="36"/>
          <w:szCs w:val="36"/>
        </w:rPr>
        <w:t xml:space="preserve">14. Why Adeso / Kuja, Not Someone Else</w:t>
      </w:r>
    </w:p>
    <w:p>
      <w:pPr>
        <w:pStyle w:val="ListParagraph"/>
        <w:numPr>
          <w:ilvl w:val="0"/>
          <w:numId w:val="2"/>
        </w:numPr>
        <w:spacing w:after="60" w:before="30" w:line="280"/>
      </w:pPr>
      <w:r>
        <w:rPr>
          <w:rFonts w:ascii="Arial" w:cs="Arial" w:eastAsia="Arial" w:hAnsi="Arial"/>
          <w:b/>
          <w:bCs/>
          <w:color w:val="1A1410"/>
          <w:sz w:val="22"/>
          <w:szCs w:val="22"/>
        </w:rPr>
        <w:t xml:space="preserve">The platform is production-deployed. </w:t>
      </w:r>
      <w:r>
        <w:rPr>
          <w:rFonts w:ascii="Arial" w:cs="Arial" w:eastAsia="Arial" w:hAnsi="Arial"/>
          <w:color w:val="1A1410"/>
          <w:sz w:val="22"/>
          <w:szCs w:val="22"/>
        </w:rPr>
        <w:t xml:space="preserve">Verified test coverage as of June 2026: 54/54 full E2E regression PASS, 19/19 NEAR UAT suite PASS, 67/67 logic invariants PASS, 50/50 sustained health probes PASS, 7/7 live AI surface health checks PASS. 130+ numbered phases shipped in approximately six months.</w:t>
      </w:r>
    </w:p>
    <w:p>
      <w:pPr>
        <w:pStyle w:val="ListParagraph"/>
        <w:numPr>
          <w:ilvl w:val="0"/>
          <w:numId w:val="2"/>
        </w:numPr>
        <w:spacing w:after="60" w:before="30" w:line="280"/>
      </w:pPr>
      <w:r>
        <w:rPr>
          <w:rFonts w:ascii="Arial" w:cs="Arial" w:eastAsia="Arial" w:hAnsi="Arial"/>
          <w:b/>
          <w:bCs/>
          <w:color w:val="1A1410"/>
          <w:sz w:val="22"/>
          <w:szCs w:val="22"/>
        </w:rPr>
        <w:t xml:space="preserve">Adeso's own transformation is the methodology. </w:t>
      </w:r>
      <w:r>
        <w:rPr>
          <w:rFonts w:ascii="Arial" w:cs="Arial" w:eastAsia="Arial" w:hAnsi="Arial"/>
          <w:color w:val="1A1410"/>
          <w:sz w:val="22"/>
          <w:szCs w:val="22"/>
        </w:rPr>
        <w:t xml:space="preserve">Adeso ran a structured nine-month operational transformation on itself in 2024 — diagnose → improve → automate. That methodology became Kuja Elevate, productized in code. We are not selling theory; we are selling something we did to ourselves.</w:t>
      </w:r>
    </w:p>
    <w:p>
      <w:pPr>
        <w:pStyle w:val="ListParagraph"/>
        <w:numPr>
          <w:ilvl w:val="0"/>
          <w:numId w:val="2"/>
        </w:numPr>
        <w:spacing w:after="60" w:before="30" w:line="280"/>
      </w:pPr>
      <w:r>
        <w:rPr>
          <w:rFonts w:ascii="Arial" w:cs="Arial" w:eastAsia="Arial" w:hAnsi="Arial"/>
          <w:b/>
          <w:bCs/>
          <w:color w:val="1A1410"/>
          <w:sz w:val="22"/>
          <w:szCs w:val="22"/>
        </w:rPr>
        <w:t xml:space="preserve">We are Global South by origin and design. </w:t>
      </w:r>
      <w:r>
        <w:rPr>
          <w:rFonts w:ascii="Arial" w:cs="Arial" w:eastAsia="Arial" w:hAnsi="Arial"/>
          <w:color w:val="1A1410"/>
          <w:sz w:val="22"/>
          <w:szCs w:val="22"/>
        </w:rPr>
        <w:t xml:space="preserve">Adeso is Somali-founded, Nairobi-based, with 30+ years of work across Africa. Six languages at platform parity (EN, FR, AR, SW, SO, ES). Seven country registries pre-mapped (Kenya, Nigeria, South Africa, Uganda, Tanzania, Somalia, Ethiopia). Mobile-first because that is how the market works.</w:t>
      </w:r>
    </w:p>
    <w:p>
      <w:pPr>
        <w:pStyle w:val="ListParagraph"/>
        <w:numPr>
          <w:ilvl w:val="0"/>
          <w:numId w:val="2"/>
        </w:numPr>
        <w:spacing w:after="60" w:before="30" w:line="280"/>
      </w:pPr>
      <w:r>
        <w:rPr>
          <w:rFonts w:ascii="Arial" w:cs="Arial" w:eastAsia="Arial" w:hAnsi="Arial"/>
          <w:b/>
          <w:bCs/>
          <w:color w:val="1A1410"/>
          <w:sz w:val="22"/>
          <w:szCs w:val="22"/>
        </w:rPr>
        <w:t xml:space="preserve">NEAR is our reference architecture. </w:t>
      </w:r>
      <w:r>
        <w:rPr>
          <w:rFonts w:ascii="Arial" w:cs="Arial" w:eastAsia="Arial" w:hAnsi="Arial"/>
          <w:color w:val="1A1410"/>
          <w:sz w:val="22"/>
          <w:szCs w:val="22"/>
        </w:rPr>
        <w:t xml:space="preserve">Adeso co-founded the Network for Empowered Aid Response in 2016 (Wikipedia). NEAR is an independent network with its own governance; Kuja's NEAR tenant is the reference deployment we have built the Networks motion against. NEAR is the lead pilot prospect for the Networks motion.</w:t>
      </w:r>
    </w:p>
    <w:p>
      <w:pPr>
        <w:pStyle w:val="ListParagraph"/>
        <w:numPr>
          <w:ilvl w:val="0"/>
          <w:numId w:val="2"/>
        </w:numPr>
        <w:spacing w:after="60" w:before="30" w:line="280"/>
      </w:pPr>
      <w:r>
        <w:rPr>
          <w:rFonts w:ascii="Arial" w:cs="Arial" w:eastAsia="Arial" w:hAnsi="Arial"/>
          <w:b/>
          <w:bCs/>
          <w:color w:val="1A1410"/>
          <w:sz w:val="22"/>
          <w:szCs w:val="22"/>
        </w:rPr>
        <w:t xml:space="preserve">We ship at a pace incumbents cannot match. </w:t>
      </w:r>
      <w:r>
        <w:rPr>
          <w:rFonts w:ascii="Arial" w:cs="Arial" w:eastAsia="Arial" w:hAnsi="Arial"/>
          <w:color w:val="1A1410"/>
          <w:sz w:val="22"/>
          <w:szCs w:val="22"/>
        </w:rPr>
        <w:t xml:space="preserve">100+ commits in the last sprint. Production deploys daily. The architecture supports it because we built it for it.</w:t>
      </w:r>
    </w:p>
    <w:p>
      <w:pPr>
        <w:pStyle w:val="ListParagraph"/>
        <w:numPr>
          <w:ilvl w:val="0"/>
          <w:numId w:val="2"/>
        </w:numPr>
        <w:spacing w:after="60" w:before="30" w:line="280"/>
      </w:pPr>
      <w:r>
        <w:rPr>
          <w:rFonts w:ascii="Arial" w:cs="Arial" w:eastAsia="Arial" w:hAnsi="Arial"/>
          <w:b/>
          <w:bCs/>
          <w:color w:val="1A1410"/>
          <w:sz w:val="22"/>
          <w:szCs w:val="22"/>
        </w:rPr>
        <w:t xml:space="preserve">Audit chain is integral. </w:t>
      </w:r>
      <w:r>
        <w:rPr>
          <w:rFonts w:ascii="Arial" w:cs="Arial" w:eastAsia="Arial" w:hAnsi="Arial"/>
          <w:color w:val="1A1410"/>
          <w:sz w:val="22"/>
          <w:szCs w:val="22"/>
        </w:rPr>
        <w:t xml:space="preserve">Not a compliance feature retrofitted onto a CRM. Our data model writes a hash-linked entry for every governance action. Competitors would have to rewrite their data layer to match.</w:t>
      </w:r>
    </w:p>
    <w:p>
      <w:pPr>
        <w:pStyle w:val="ListParagraph"/>
        <w:numPr>
          <w:ilvl w:val="0"/>
          <w:numId w:val="2"/>
        </w:numPr>
        <w:spacing w:after="60" w:before="30" w:line="280"/>
      </w:pPr>
      <w:r>
        <w:rPr>
          <w:rFonts w:ascii="Arial" w:cs="Arial" w:eastAsia="Arial" w:hAnsi="Arial"/>
          <w:b/>
          <w:bCs/>
          <w:color w:val="1A1410"/>
          <w:sz w:val="22"/>
          <w:szCs w:val="22"/>
        </w:rPr>
        <w:t xml:space="preserve">We tell the truth about risks. </w:t>
      </w:r>
      <w:r>
        <w:rPr>
          <w:rFonts w:ascii="Arial" w:cs="Arial" w:eastAsia="Arial" w:hAnsi="Arial"/>
          <w:color w:val="1A1410"/>
          <w:sz w:val="22"/>
          <w:szCs w:val="22"/>
        </w:rPr>
        <w:t xml:space="preserve">NEAR_BACKLOG.md is honest about what we have not yet shipped. We deploy with documented gates. Every customer can see the same operational picture we see.</w:t>
      </w:r>
    </w:p>
    <w:p>
      <w:pPr>
        <w:pStyle w:val="Heading1"/>
        <w:pageBreakBefore/>
        <w:spacing w:after="200" w:before="320"/>
      </w:pPr>
      <w:r>
        <w:rPr>
          <w:rFonts w:ascii="Arial" w:cs="Arial" w:eastAsia="Arial" w:hAnsi="Arial"/>
          <w:b/>
          <w:bCs/>
          <w:color w:val="C2410C"/>
          <w:sz w:val="36"/>
          <w:szCs w:val="36"/>
        </w:rPr>
        <w:t xml:space="preserve">15. Risks and Mitigations</w:t>
      </w:r>
    </w:p>
    <w:p>
      <w:pPr>
        <w:pStyle w:val="Heading3"/>
        <w:spacing w:after="100" w:before="220"/>
      </w:pPr>
      <w:r>
        <w:rPr>
          <w:rFonts w:ascii="Arial" w:cs="Arial" w:eastAsia="Arial" w:hAnsi="Arial"/>
          <w:b/>
          <w:bCs/>
          <w:color w:val="1A1410"/>
          <w:sz w:val="24"/>
          <w:szCs w:val="24"/>
        </w:rPr>
        <w:t xml:space="preserve">Risk 1 — Methodology at scale (Elevate)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Adeso is one proof point. A methodology that worked for one Somali-founded NGO in Nairobi may not generalise to a francophone West African NGO with different governance constraints.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Phase deployment — five-grantee pilots before scaling. Senior consultant capacity in the regions we sell into. Partnership with regional INGOs for methodology validation. Open Backlog process with every customer.</w:t>
      </w:r>
    </w:p>
    <w:p>
      <w:pPr>
        <w:pStyle w:val="Heading3"/>
        <w:spacing w:after="100" w:before="220"/>
      </w:pPr>
      <w:r>
        <w:rPr>
          <w:rFonts w:ascii="Arial" w:cs="Arial" w:eastAsia="Arial" w:hAnsi="Arial"/>
          <w:b/>
          <w:bCs/>
          <w:color w:val="1A1410"/>
          <w:sz w:val="24"/>
          <w:szCs w:val="24"/>
        </w:rPr>
        <w:t xml:space="preserve">Risk 2 — Customer concentration in Year 1–2</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First two years revenue likely heavily concentrated in 2–3 customers. A single customer churn could materially threaten cash position.</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Diversify pilot pipeline across all three motions in parallel (Grant + Cohort + Network + Hosted Network). Land-and-expand within each customer (Grant → Elevate → ERP). Annual contracts with quarterly value reviews.</w:t>
      </w:r>
    </w:p>
    <w:p>
      <w:pPr>
        <w:pStyle w:val="Heading3"/>
        <w:spacing w:after="100" w:before="220"/>
      </w:pPr>
      <w:r>
        <w:rPr>
          <w:rFonts w:ascii="Arial" w:cs="Arial" w:eastAsia="Arial" w:hAnsi="Arial"/>
          <w:b/>
          <w:bCs/>
          <w:color w:val="1A1410"/>
          <w:sz w:val="24"/>
          <w:szCs w:val="24"/>
        </w:rPr>
        <w:t xml:space="preserve">Risk 3 — Platform adoption (the behavior-change problem)</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New software is a behavior change. Some grantees will resist external review of operations; some donor program officers will keep using their current tools out of habit.</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Six months of platform support included in every Elevate engagement. Voice and photo input modalities reduce the typing burden. Six-language parity removes the English barrier. The platform is mobile-first.</w:t>
      </w:r>
    </w:p>
    <w:p>
      <w:pPr>
        <w:pStyle w:val="Heading3"/>
        <w:spacing w:after="100" w:before="220"/>
      </w:pPr>
      <w:r>
        <w:rPr>
          <w:rFonts w:ascii="Arial" w:cs="Arial" w:eastAsia="Arial" w:hAnsi="Arial"/>
          <w:b/>
          <w:bCs/>
          <w:color w:val="1A1410"/>
          <w:sz w:val="24"/>
          <w:szCs w:val="24"/>
        </w:rPr>
        <w:t xml:space="preserve">Risk 4 — Team scaling (consultant + ops talent)</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Senior NGO operations consultants are scarce in East Africa. Hiring rate is a hard constraint on Elevate revenue.</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Adeso's existing relationships in the region. Remote-Africa hiring (continent-wide talent pool). Structured training program. BPO partnership for delivery in markets where direct hiring is uneconomical.</w:t>
      </w:r>
    </w:p>
    <w:p>
      <w:pPr>
        <w:pStyle w:val="Heading3"/>
        <w:spacing w:after="100" w:before="220"/>
      </w:pPr>
      <w:r>
        <w:rPr>
          <w:rFonts w:ascii="Arial" w:cs="Arial" w:eastAsia="Arial" w:hAnsi="Arial"/>
          <w:b/>
          <w:bCs/>
          <w:color w:val="1A1410"/>
          <w:sz w:val="24"/>
          <w:szCs w:val="24"/>
        </w:rPr>
        <w:t xml:space="preserve">Risk 5 — AI cost spike</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Foundation-model pricing could increase. Heavy AI surfaces (voice structuring, photo extraction, application scoring) are the largest cost drivers.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Anthropic prompt caching reduces prefix-processing cost. Translate runs on Haiku 4.5; reasoning tasks on Sonnet. Per-org AI budget gate prevents runaway spend. Background-task pattern keeps user-facing calls small. Daily 30-day cost projection vs. budget. AI cost as a % of revenue target: &lt;12%.</w:t>
      </w:r>
    </w:p>
    <w:p>
      <w:pPr>
        <w:pStyle w:val="Heading3"/>
        <w:spacing w:after="100" w:before="220"/>
      </w:pPr>
      <w:r>
        <w:rPr>
          <w:rFonts w:ascii="Arial" w:cs="Arial" w:eastAsia="Arial" w:hAnsi="Arial"/>
          <w:b/>
          <w:bCs/>
          <w:color w:val="1A1410"/>
          <w:sz w:val="24"/>
          <w:szCs w:val="24"/>
        </w:rPr>
        <w:t xml:space="preserve">Risk 6 — AI failure / hallucination</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A high-profile AI hallucination damages trust with funders who already have AI scepticism (only 1 in 10 funders accept AI-generated content per Candid 2024).</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Every AI output grounded with citations. Every workflow has a deterministic fallback. Operational AI grounded to STATE JSON only. /admin/ai-telemetry surfaces failure rates per endpoint.</w:t>
      </w:r>
    </w:p>
    <w:p>
      <w:pPr>
        <w:pStyle w:val="Heading3"/>
        <w:spacing w:after="100" w:before="220"/>
      </w:pPr>
      <w:r>
        <w:rPr>
          <w:rFonts w:ascii="Arial" w:cs="Arial" w:eastAsia="Arial" w:hAnsi="Arial"/>
          <w:b/>
          <w:bCs/>
          <w:color w:val="1A1410"/>
          <w:sz w:val="24"/>
          <w:szCs w:val="24"/>
        </w:rPr>
        <w:t xml:space="preserve">Risk 7 — Bilateral / government procurement delays</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Government procurement cycles are 9–18 months.</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Bilateral motion is intentionally NOT the 2026–2027 focus. Foundation and Network motions are 3–6 month cycles. Bilateral becomes meaningful in 2028+.</w:t>
      </w:r>
    </w:p>
    <w:p>
      <w:pPr>
        <w:pStyle w:val="Heading3"/>
        <w:spacing w:after="100" w:before="220"/>
      </w:pPr>
      <w:r>
        <w:rPr>
          <w:rFonts w:ascii="Arial" w:cs="Arial" w:eastAsia="Arial" w:hAnsi="Arial"/>
          <w:b/>
          <w:bCs/>
          <w:color w:val="1A1410"/>
          <w:sz w:val="24"/>
          <w:szCs w:val="24"/>
        </w:rPr>
        <w:t xml:space="preserve">Risk 8 — Cross-tenant security review</w:t>
      </w:r>
    </w:p>
    <w:p>
      <w:pPr>
        <w:spacing w:after="80" w:before="60" w:line="300"/>
        <w:jc w:val="left"/>
      </w:pPr>
      <w:r>
        <w:rPr>
          <w:rFonts w:ascii="Arial" w:cs="Arial" w:eastAsia="Arial" w:hAnsi="Arial"/>
          <w:b/>
          <w:bCs/>
          <w:color w:val="1A1410"/>
          <w:sz w:val="22"/>
          <w:szCs w:val="22"/>
        </w:rPr>
        <w:t xml:space="preserve">Risk: </w:t>
      </w:r>
      <w:r>
        <w:rPr>
          <w:rFonts w:ascii="Arial" w:cs="Arial" w:eastAsia="Arial" w:hAnsi="Arial"/>
          <w:color w:val="1A1410"/>
          <w:sz w:val="22"/>
          <w:szCs w:val="22"/>
        </w:rPr>
        <w:t xml:space="preserve">Multi-tenant architecture has not yet been independently penetration-tested.</w:t>
      </w:r>
    </w:p>
    <w:p>
      <w:pPr>
        <w:spacing w:after="80" w:before="60" w:line="300"/>
        <w:jc w:val="left"/>
      </w:pPr>
      <w:r>
        <w:rPr>
          <w:rFonts w:ascii="Arial" w:cs="Arial" w:eastAsia="Arial" w:hAnsi="Arial"/>
          <w:b/>
          <w:bCs/>
          <w:color w:val="1A1410"/>
          <w:sz w:val="22"/>
          <w:szCs w:val="22"/>
        </w:rPr>
        <w:t xml:space="preserve">Mitigation: </w:t>
      </w:r>
      <w:r>
        <w:rPr>
          <w:rFonts w:ascii="Arial" w:cs="Arial" w:eastAsia="Arial" w:hAnsi="Arial"/>
          <w:color w:val="1A1410"/>
          <w:sz w:val="22"/>
          <w:szCs w:val="22"/>
        </w:rPr>
        <w:t xml:space="preserve">External pen-test scheduled for Q3 2026 before the second paid network tenant signs. SLOW_REQUEST observability already in place. Audit chain integrity validated via /admin/audit-chain. Pen-test outcomes published to all customers under NDA.</w:t>
      </w:r>
    </w:p>
    <w:p>
      <w:pPr>
        <w:pStyle w:val="Heading1"/>
        <w:pageBreakBefore/>
        <w:spacing w:after="200" w:before="320"/>
      </w:pPr>
      <w:r>
        <w:rPr>
          <w:rFonts w:ascii="Arial" w:cs="Arial" w:eastAsia="Arial" w:hAnsi="Arial"/>
          <w:b/>
          <w:bCs/>
          <w:color w:val="C2410C"/>
          <w:sz w:val="36"/>
          <w:szCs w:val="36"/>
        </w:rPr>
        <w:t xml:space="preserve">16. Capital Strategy and Resourcing</w:t>
      </w:r>
    </w:p>
    <w:p>
      <w:pPr>
        <w:spacing w:after="80" w:before="60" w:line="300"/>
        <w:jc w:val="left"/>
      </w:pPr>
      <w:r>
        <w:rPr>
          <w:rFonts w:ascii="Arial" w:cs="Arial" w:eastAsia="Arial" w:hAnsi="Arial"/>
          <w:b/>
          <w:bCs/>
          <w:color w:val="1A1410"/>
          <w:sz w:val="22"/>
          <w:szCs w:val="22"/>
        </w:rPr>
        <w:t xml:space="preserve">Status today: </w:t>
      </w:r>
      <w:r>
        <w:rPr>
          <w:rFonts w:ascii="Arial" w:cs="Arial" w:eastAsia="Arial" w:hAnsi="Arial"/>
          <w:color w:val="1A1410"/>
          <w:sz w:val="22"/>
          <w:szCs w:val="22"/>
        </w:rPr>
        <w:t xml:space="preserve">Kuja is 100% grant-funded under Adeso. Goal: first commercial revenue in 2026, sustainable &gt;$2M annual revenue in 2028, profitable from 2029.</w:t>
      </w:r>
    </w:p>
    <w:p>
      <w:pPr>
        <w:pStyle w:val="Heading2"/>
        <w:spacing w:after="140" w:before="280"/>
      </w:pPr>
      <w:r>
        <w:rPr>
          <w:rFonts w:ascii="Arial" w:cs="Arial" w:eastAsia="Arial" w:hAnsi="Arial"/>
          <w:b/>
          <w:bCs/>
          <w:color w:val="7C2D12"/>
          <w:sz w:val="28"/>
          <w:szCs w:val="28"/>
        </w:rPr>
        <w:t xml:space="preserve">16.1 Funding Phases</w:t>
      </w:r>
    </w:p>
    <w:p>
      <w:pPr>
        <w:pStyle w:val="Heading3"/>
        <w:spacing w:after="100" w:before="220"/>
      </w:pPr>
      <w:r>
        <w:rPr>
          <w:rFonts w:ascii="Arial" w:cs="Arial" w:eastAsia="Arial" w:hAnsi="Arial"/>
          <w:b/>
          <w:bCs/>
          <w:color w:val="1A1410"/>
          <w:sz w:val="24"/>
          <w:szCs w:val="24"/>
        </w:rPr>
        <w:t xml:space="preserve">Phase 1 (2025–2026): Grant-Funded Build</w:t>
      </w:r>
    </w:p>
    <w:p>
      <w:pPr>
        <w:spacing w:after="80" w:before="60" w:line="300"/>
        <w:jc w:val="left"/>
      </w:pPr>
      <w:r>
        <w:rPr>
          <w:rFonts w:ascii="Arial" w:cs="Arial" w:eastAsia="Arial" w:hAnsi="Arial"/>
          <w:color w:val="1A1410"/>
          <w:sz w:val="22"/>
          <w:szCs w:val="22"/>
        </w:rPr>
        <w:t xml:space="preserve">Foundation grants (Adeso's existing donor base) fund the engineering build and first pilots. Burn covered by grants. Strategy: ship in production; prove the model; collect foundation references.</w:t>
      </w:r>
    </w:p>
    <w:p>
      <w:pPr>
        <w:pStyle w:val="Heading3"/>
        <w:spacing w:after="100" w:before="220"/>
      </w:pPr>
      <w:r>
        <w:rPr>
          <w:rFonts w:ascii="Arial" w:cs="Arial" w:eastAsia="Arial" w:hAnsi="Arial"/>
          <w:b/>
          <w:bCs/>
          <w:color w:val="1A1410"/>
          <w:sz w:val="24"/>
          <w:szCs w:val="24"/>
        </w:rPr>
        <w:t xml:space="preserve">Phase 2 (H2 2026 – 2027): Bridge Phase</w:t>
      </w:r>
    </w:p>
    <w:p>
      <w:pPr>
        <w:spacing w:after="80" w:before="60" w:line="300"/>
        <w:jc w:val="left"/>
      </w:pPr>
      <w:r>
        <w:rPr>
          <w:rFonts w:ascii="Arial" w:cs="Arial" w:eastAsia="Arial" w:hAnsi="Arial"/>
          <w:color w:val="1A1410"/>
          <w:sz w:val="22"/>
          <w:szCs w:val="22"/>
        </w:rPr>
        <w:t xml:space="preserve">Mix of foundation grants and first commercial pilots. Cash position needs to cover team scaling — particularly Elevate consultants and ERP implementers. </w:t>
      </w:r>
      <w:r>
        <w:rPr>
          <w:rFonts w:ascii="Arial" w:cs="Arial" w:eastAsia="Arial" w:hAnsi="Arial"/>
          <w:b/>
          <w:bCs/>
          <w:color w:val="1A1410"/>
          <w:sz w:val="22"/>
          <w:szCs w:val="22"/>
        </w:rPr>
        <w:t xml:space="preserve">Funding ask: $1.5M–$2.5M over 18 months</w:t>
      </w:r>
      <w:r>
        <w:rPr>
          <w:rFonts w:ascii="Arial" w:cs="Arial" w:eastAsia="Arial" w:hAnsi="Arial"/>
          <w:color w:val="1A1410"/>
          <w:sz w:val="22"/>
          <w:szCs w:val="22"/>
        </w:rPr>
        <w:t xml:space="preserve">, deployable in three tranches against milestones:</w:t>
      </w:r>
    </w:p>
    <w:p>
      <w:pPr>
        <w:pStyle w:val="ListParagraph"/>
        <w:numPr>
          <w:ilvl w:val="0"/>
          <w:numId w:val="2"/>
        </w:numPr>
        <w:spacing w:after="60" w:before="30" w:line="280"/>
      </w:pPr>
      <w:r>
        <w:rPr>
          <w:rFonts w:ascii="Arial" w:cs="Arial" w:eastAsia="Arial" w:hAnsi="Arial"/>
          <w:color w:val="1A1410"/>
          <w:sz w:val="22"/>
          <w:szCs w:val="22"/>
        </w:rPr>
        <w:t xml:space="preserve">Tranche 1 ($600K, Q3 2026): Sales + customer-success seats; one full Networks deployment team; AI cost runway.</w:t>
      </w:r>
    </w:p>
    <w:p>
      <w:pPr>
        <w:pStyle w:val="ListParagraph"/>
        <w:numPr>
          <w:ilvl w:val="0"/>
          <w:numId w:val="2"/>
        </w:numPr>
        <w:spacing w:after="60" w:before="30" w:line="280"/>
      </w:pPr>
      <w:r>
        <w:rPr>
          <w:rFonts w:ascii="Arial" w:cs="Arial" w:eastAsia="Arial" w:hAnsi="Arial"/>
          <w:color w:val="1A1410"/>
          <w:sz w:val="22"/>
          <w:szCs w:val="22"/>
        </w:rPr>
        <w:t xml:space="preserve">Tranche 2 ($800K, Q1 2027): Regional delivery (West Africa + LatAm Spanish); BPO partner activation; second Elevate cohort cycle.</w:t>
      </w:r>
    </w:p>
    <w:p>
      <w:pPr>
        <w:pStyle w:val="ListParagraph"/>
        <w:numPr>
          <w:ilvl w:val="0"/>
          <w:numId w:val="2"/>
        </w:numPr>
        <w:spacing w:after="60" w:before="30" w:line="280"/>
      </w:pPr>
      <w:r>
        <w:rPr>
          <w:rFonts w:ascii="Arial" w:cs="Arial" w:eastAsia="Arial" w:hAnsi="Arial"/>
          <w:color w:val="1A1410"/>
          <w:sz w:val="22"/>
          <w:szCs w:val="22"/>
        </w:rPr>
        <w:t xml:space="preserve">Tranche 3 ($600K, Q3 2027): Bilateral procurement preparation; external pen-test; security certifications (SOC 2 Type 1 → Type 2).</w:t>
      </w:r>
    </w:p>
    <w:p>
      <w:pPr>
        <w:pStyle w:val="Heading3"/>
        <w:spacing w:after="100" w:before="220"/>
      </w:pPr>
      <w:r>
        <w:rPr>
          <w:rFonts w:ascii="Arial" w:cs="Arial" w:eastAsia="Arial" w:hAnsi="Arial"/>
          <w:b/>
          <w:bCs/>
          <w:color w:val="1A1410"/>
          <w:sz w:val="24"/>
          <w:szCs w:val="24"/>
        </w:rPr>
        <w:t xml:space="preserve">Phase 3 (2028+): Self-Sustaining</w:t>
      </w:r>
    </w:p>
    <w:p>
      <w:pPr>
        <w:spacing w:after="80" w:before="60" w:line="300"/>
        <w:jc w:val="left"/>
      </w:pPr>
      <w:r>
        <w:rPr>
          <w:rFonts w:ascii="Arial" w:cs="Arial" w:eastAsia="Arial" w:hAnsi="Arial"/>
          <w:color w:val="1A1410"/>
          <w:sz w:val="22"/>
          <w:szCs w:val="22"/>
        </w:rPr>
        <w:t xml:space="preserve">Conservative-case revenue &gt;$3M in 2028 covers operating costs and reinvestment. Break-even H2 2028. Profitable from 2029.</w:t>
      </w:r>
    </w:p>
    <w:p>
      <w:pPr>
        <w:pStyle w:val="Heading2"/>
        <w:spacing w:after="140" w:before="280"/>
      </w:pPr>
      <w:r>
        <w:rPr>
          <w:rFonts w:ascii="Arial" w:cs="Arial" w:eastAsia="Arial" w:hAnsi="Arial"/>
          <w:b/>
          <w:bCs/>
          <w:color w:val="7C2D12"/>
          <w:sz w:val="28"/>
          <w:szCs w:val="28"/>
        </w:rPr>
        <w:t xml:space="preserve">16.2 Core Team Build-Out</w:t>
      </w:r>
    </w:p>
    <w:p>
      <w:pPr>
        <w:spacing w:after="80" w:before="60" w:line="300"/>
        <w:jc w:val="left"/>
      </w:pPr>
      <w:r>
        <w:rPr>
          <w:rFonts w:ascii="Arial" w:cs="Arial" w:eastAsia="Arial" w:hAnsi="Arial"/>
          <w:color w:val="1A1410"/>
          <w:sz w:val="22"/>
          <w:szCs w:val="22"/>
        </w:rPr>
        <w:t xml:space="preserve">Required hires over 18 months, in priority order:</w:t>
      </w:r>
    </w:p>
    <w:p>
      <w:pPr>
        <w:pStyle w:val="ListParagraph"/>
        <w:numPr>
          <w:ilvl w:val="0"/>
          <w:numId w:val="2"/>
        </w:numPr>
        <w:spacing w:after="60" w:before="30" w:line="280"/>
      </w:pPr>
      <w:r>
        <w:rPr>
          <w:rFonts w:ascii="Arial" w:cs="Arial" w:eastAsia="Arial" w:hAnsi="Arial"/>
          <w:color w:val="1A1410"/>
          <w:sz w:val="22"/>
          <w:szCs w:val="22"/>
        </w:rPr>
        <w:t xml:space="preserve">Head of GTM / Commercial Director (Q3 2026).</w:t>
      </w:r>
    </w:p>
    <w:p>
      <w:pPr>
        <w:pStyle w:val="ListParagraph"/>
        <w:numPr>
          <w:ilvl w:val="0"/>
          <w:numId w:val="2"/>
        </w:numPr>
        <w:spacing w:after="60" w:before="30" w:line="280"/>
      </w:pPr>
      <w:r>
        <w:rPr>
          <w:rFonts w:ascii="Arial" w:cs="Arial" w:eastAsia="Arial" w:hAnsi="Arial"/>
          <w:color w:val="1A1410"/>
          <w:sz w:val="22"/>
          <w:szCs w:val="22"/>
        </w:rPr>
        <w:t xml:space="preserve">Two senior Elevate consultants (Q3 2026 + Q1 2027).</w:t>
      </w:r>
    </w:p>
    <w:p>
      <w:pPr>
        <w:pStyle w:val="ListParagraph"/>
        <w:numPr>
          <w:ilvl w:val="0"/>
          <w:numId w:val="2"/>
        </w:numPr>
        <w:spacing w:after="60" w:before="30" w:line="280"/>
      </w:pPr>
      <w:r>
        <w:rPr>
          <w:rFonts w:ascii="Arial" w:cs="Arial" w:eastAsia="Arial" w:hAnsi="Arial"/>
          <w:color w:val="1A1410"/>
          <w:sz w:val="22"/>
          <w:szCs w:val="22"/>
        </w:rPr>
        <w:t xml:space="preserve">Two ERP implementation leads (Q4 2026 + Q1 2027).</w:t>
      </w:r>
    </w:p>
    <w:p>
      <w:pPr>
        <w:pStyle w:val="ListParagraph"/>
        <w:numPr>
          <w:ilvl w:val="0"/>
          <w:numId w:val="2"/>
        </w:numPr>
        <w:spacing w:after="60" w:before="30" w:line="280"/>
      </w:pPr>
      <w:r>
        <w:rPr>
          <w:rFonts w:ascii="Arial" w:cs="Arial" w:eastAsia="Arial" w:hAnsi="Arial"/>
          <w:color w:val="1A1410"/>
          <w:sz w:val="22"/>
          <w:szCs w:val="22"/>
        </w:rPr>
        <w:t xml:space="preserve">Customer success manager per region (East Africa + West Africa + LatAm by end-2027).</w:t>
      </w:r>
    </w:p>
    <w:p>
      <w:pPr>
        <w:pStyle w:val="ListParagraph"/>
        <w:numPr>
          <w:ilvl w:val="0"/>
          <w:numId w:val="2"/>
        </w:numPr>
        <w:spacing w:after="60" w:before="30" w:line="280"/>
      </w:pPr>
      <w:r>
        <w:rPr>
          <w:rFonts w:ascii="Arial" w:cs="Arial" w:eastAsia="Arial" w:hAnsi="Arial"/>
          <w:color w:val="1A1410"/>
          <w:sz w:val="22"/>
          <w:szCs w:val="22"/>
        </w:rPr>
        <w:t xml:space="preserve">Director of partnerships (BPO + foundation relationships).</w:t>
      </w:r>
    </w:p>
    <w:p>
      <w:pPr>
        <w:pStyle w:val="ListParagraph"/>
        <w:numPr>
          <w:ilvl w:val="0"/>
          <w:numId w:val="2"/>
        </w:numPr>
        <w:spacing w:after="60" w:before="30" w:line="280"/>
      </w:pPr>
      <w:r>
        <w:rPr>
          <w:rFonts w:ascii="Arial" w:cs="Arial" w:eastAsia="Arial" w:hAnsi="Arial"/>
          <w:color w:val="1A1410"/>
          <w:sz w:val="22"/>
          <w:szCs w:val="22"/>
        </w:rPr>
        <w:t xml:space="preserve">Compliance + security lead for SOC 2 + pen-test preparation.</w:t>
      </w:r>
    </w:p>
    <w:p>
      <w:pPr>
        <w:pStyle w:val="Heading1"/>
        <w:pageBreakBefore/>
        <w:spacing w:after="200" w:before="320"/>
      </w:pPr>
      <w:r>
        <w:rPr>
          <w:rFonts w:ascii="Arial" w:cs="Arial" w:eastAsia="Arial" w:hAnsi="Arial"/>
          <w:b/>
          <w:bCs/>
          <w:color w:val="C2410C"/>
          <w:sz w:val="36"/>
          <w:szCs w:val="36"/>
        </w:rPr>
        <w:t xml:space="preserve">17. Production Status and Recent Enhancements (June 2026)</w:t>
      </w:r>
    </w:p>
    <w:p>
      <w:pPr>
        <w:spacing w:after="80" w:before="60" w:line="300"/>
        <w:jc w:val="left"/>
      </w:pPr>
      <w:r>
        <w:rPr>
          <w:rFonts w:ascii="Arial" w:cs="Arial" w:eastAsia="Arial" w:hAnsi="Arial"/>
          <w:color w:val="1A1410"/>
          <w:sz w:val="22"/>
          <w:szCs w:val="22"/>
        </w:rPr>
        <w:t xml:space="preserve">A snapshot of what is already shipping, with citations against the codebase. This section answers any "show me what is actually running" question from a funder.</w:t>
      </w:r>
    </w:p>
    <w:p>
      <w:pPr>
        <w:pStyle w:val="Heading2"/>
        <w:spacing w:after="140" w:before="280"/>
      </w:pPr>
      <w:r>
        <w:rPr>
          <w:rFonts w:ascii="Arial" w:cs="Arial" w:eastAsia="Arial" w:hAnsi="Arial"/>
          <w:b/>
          <w:bCs/>
          <w:color w:val="7C2D12"/>
          <w:sz w:val="28"/>
          <w:szCs w:val="28"/>
        </w:rPr>
        <w:t xml:space="preserve">17.1 Live and Verified</w:t>
      </w:r>
    </w:p>
    <w:p>
      <w:pPr>
        <w:pStyle w:val="ListParagraph"/>
        <w:numPr>
          <w:ilvl w:val="0"/>
          <w:numId w:val="2"/>
        </w:numPr>
        <w:spacing w:after="60" w:before="30" w:line="280"/>
      </w:pPr>
      <w:r>
        <w:rPr>
          <w:rFonts w:ascii="Arial" w:cs="Arial" w:eastAsia="Arial" w:hAnsi="Arial"/>
          <w:b/>
          <w:bCs/>
          <w:color w:val="1A1410"/>
          <w:sz w:val="22"/>
          <w:szCs w:val="22"/>
        </w:rPr>
        <w:t xml:space="preserve">Platform deployed in production. </w:t>
      </w:r>
      <w:r>
        <w:rPr>
          <w:rFonts w:ascii="Arial" w:cs="Arial" w:eastAsia="Arial" w:hAnsi="Arial"/>
          <w:color w:val="1A1410"/>
          <w:sz w:val="22"/>
          <w:szCs w:val="22"/>
        </w:rPr>
        <w:t xml:space="preserve">Verified test coverage: 54/54 full E2E regression PASS; 19/19 NEAR UAT suite PASS; 67/67 logic invariants PASS; 50/50 sustained health probes PASS; 7/7 live AI surface health checks PASS.</w:t>
      </w:r>
    </w:p>
    <w:p>
      <w:pPr>
        <w:pStyle w:val="ListParagraph"/>
        <w:numPr>
          <w:ilvl w:val="0"/>
          <w:numId w:val="2"/>
        </w:numPr>
        <w:spacing w:after="60" w:before="30" w:line="280"/>
      </w:pPr>
      <w:r>
        <w:rPr>
          <w:rFonts w:ascii="Arial" w:cs="Arial" w:eastAsia="Arial" w:hAnsi="Arial"/>
          <w:b/>
          <w:bCs/>
          <w:color w:val="1A1410"/>
          <w:sz w:val="22"/>
          <w:szCs w:val="22"/>
        </w:rPr>
        <w:t xml:space="preserve">Kuja Marketplace — operational. </w:t>
      </w:r>
      <w:r>
        <w:rPr>
          <w:rFonts w:ascii="Arial" w:cs="Arial" w:eastAsia="Arial" w:hAnsi="Arial"/>
          <w:color w:val="1A1410"/>
          <w:sz w:val="22"/>
          <w:szCs w:val="22"/>
        </w:rPr>
        <w:t xml:space="preserve">Profile publishing, Trust Passport portability, donor discovery surfaces.</w:t>
      </w:r>
    </w:p>
    <w:p>
      <w:pPr>
        <w:pStyle w:val="ListParagraph"/>
        <w:numPr>
          <w:ilvl w:val="0"/>
          <w:numId w:val="2"/>
        </w:numPr>
        <w:spacing w:after="60" w:before="30" w:line="280"/>
      </w:pPr>
      <w:r>
        <w:rPr>
          <w:rFonts w:ascii="Arial" w:cs="Arial" w:eastAsia="Arial" w:hAnsi="Arial"/>
          <w:b/>
          <w:bCs/>
          <w:color w:val="1A1410"/>
          <w:sz w:val="22"/>
          <w:szCs w:val="22"/>
        </w:rPr>
        <w:t xml:space="preserve">Kuja Grant — operational. </w:t>
      </w:r>
      <w:r>
        <w:rPr>
          <w:rFonts w:ascii="Arial" w:cs="Arial" w:eastAsia="Arial" w:hAnsi="Arial"/>
          <w:color w:val="1A1410"/>
          <w:sz w:val="22"/>
          <w:szCs w:val="22"/>
        </w:rPr>
        <w:t xml:space="preserve">Application wizard, AI-graded rubric scoring, reviewer panels, AI-evaluated reporting, hard-gated direct-to-community rules, voice and photo evidence intake.</w:t>
      </w:r>
    </w:p>
    <w:p>
      <w:pPr>
        <w:pStyle w:val="ListParagraph"/>
        <w:numPr>
          <w:ilvl w:val="0"/>
          <w:numId w:val="2"/>
        </w:numPr>
        <w:spacing w:after="60" w:before="30" w:line="280"/>
      </w:pPr>
      <w:r>
        <w:rPr>
          <w:rFonts w:ascii="Arial" w:cs="Arial" w:eastAsia="Arial" w:hAnsi="Arial"/>
          <w:b/>
          <w:bCs/>
          <w:color w:val="1A1410"/>
          <w:sz w:val="22"/>
          <w:szCs w:val="22"/>
        </w:rPr>
        <w:t xml:space="preserve">Kuja ERP — in UAT. </w:t>
      </w:r>
      <w:r>
        <w:rPr>
          <w:rFonts w:ascii="Arial" w:cs="Arial" w:eastAsia="Arial" w:hAnsi="Arial"/>
          <w:color w:val="1A1410"/>
          <w:sz w:val="22"/>
          <w:szCs w:val="22"/>
        </w:rPr>
        <w:t xml:space="preserve">Finance, Accounting, Grant Budgeting modules live. Procurement + HR ship Q3 2026.</w:t>
      </w:r>
    </w:p>
    <w:p>
      <w:pPr>
        <w:pStyle w:val="ListParagraph"/>
        <w:numPr>
          <w:ilvl w:val="0"/>
          <w:numId w:val="2"/>
        </w:numPr>
        <w:spacing w:after="60" w:before="30" w:line="280"/>
      </w:pPr>
      <w:r>
        <w:rPr>
          <w:rFonts w:ascii="Arial" w:cs="Arial" w:eastAsia="Arial" w:hAnsi="Arial"/>
          <w:b/>
          <w:bCs/>
          <w:color w:val="1A1410"/>
          <w:sz w:val="22"/>
          <w:szCs w:val="22"/>
        </w:rPr>
        <w:t xml:space="preserve">AI infrastructure — 50+ surfaces in production. </w:t>
      </w:r>
      <w:r>
        <w:rPr>
          <w:rFonts w:ascii="Arial" w:cs="Arial" w:eastAsia="Arial" w:hAnsi="Arial"/>
          <w:color w:val="1A1410"/>
          <w:sz w:val="22"/>
          <w:szCs w:val="22"/>
        </w:rPr>
        <w:t xml:space="preserve">Telemetered at /admin/ai-telemetry. Prompt caching active. Fallback paths verified.</w:t>
      </w:r>
    </w:p>
    <w:p>
      <w:pPr>
        <w:pStyle w:val="ListParagraph"/>
        <w:numPr>
          <w:ilvl w:val="0"/>
          <w:numId w:val="2"/>
        </w:numPr>
        <w:spacing w:after="60" w:before="30" w:line="280"/>
      </w:pPr>
      <w:r>
        <w:rPr>
          <w:rFonts w:ascii="Arial" w:cs="Arial" w:eastAsia="Arial" w:hAnsi="Arial"/>
          <w:b/>
          <w:bCs/>
          <w:color w:val="1A1410"/>
          <w:sz w:val="22"/>
          <w:szCs w:val="22"/>
        </w:rPr>
        <w:t xml:space="preserve">Reference architecture — NEAR tenant configured. </w:t>
      </w:r>
      <w:r>
        <w:rPr>
          <w:rFonts w:ascii="Arial" w:cs="Arial" w:eastAsia="Arial" w:hAnsi="Arial"/>
          <w:color w:val="1A1410"/>
          <w:sz w:val="22"/>
          <w:szCs w:val="22"/>
        </w:rPr>
        <w:t xml:space="preserve">Multi-sig declarations, Crisis Monitoring cron, hash-anchored audit chain, OB recusal flow — all validated end-to-end against the NEAR reference tenant.</w:t>
      </w:r>
    </w:p>
    <w:p>
      <w:pPr>
        <w:pStyle w:val="Heading2"/>
        <w:spacing w:after="140" w:before="280"/>
      </w:pPr>
      <w:r>
        <w:rPr>
          <w:rFonts w:ascii="Arial" w:cs="Arial" w:eastAsia="Arial" w:hAnsi="Arial"/>
          <w:b/>
          <w:bCs/>
          <w:color w:val="7C2D12"/>
          <w:sz w:val="28"/>
          <w:szCs w:val="28"/>
        </w:rPr>
        <w:t xml:space="preserve">17.2 Recently Shipped (June 2026 Session)</w:t>
      </w:r>
    </w:p>
    <w:p>
      <w:pPr>
        <w:pStyle w:val="ListParagraph"/>
        <w:numPr>
          <w:ilvl w:val="0"/>
          <w:numId w:val="2"/>
        </w:numPr>
        <w:spacing w:after="60" w:before="30" w:line="280"/>
      </w:pPr>
      <w:r>
        <w:rPr>
          <w:rFonts w:ascii="Arial" w:cs="Arial" w:eastAsia="Arial" w:hAnsi="Arial"/>
          <w:b/>
          <w:bCs/>
          <w:color w:val="1A1410"/>
          <w:sz w:val="22"/>
          <w:szCs w:val="22"/>
        </w:rPr>
        <w:t xml:space="preserve">Tenant scoping completed. </w:t>
      </w:r>
      <w:r>
        <w:rPr>
          <w:rFonts w:ascii="Arial" w:cs="Arial" w:eastAsia="Arial" w:hAnsi="Arial"/>
          <w:color w:val="1A1410"/>
          <w:sz w:val="22"/>
          <w:szCs w:val="22"/>
        </w:rPr>
        <w:t xml:space="preserve">/api/applications, /api/grants, /api/reports, /api/reviews, and reviewer dashboard data sources all filter by current network.</w:t>
      </w:r>
    </w:p>
    <w:p>
      <w:pPr>
        <w:pStyle w:val="ListParagraph"/>
        <w:numPr>
          <w:ilvl w:val="0"/>
          <w:numId w:val="2"/>
        </w:numPr>
        <w:spacing w:after="60" w:before="30" w:line="280"/>
      </w:pPr>
      <w:r>
        <w:rPr>
          <w:rFonts w:ascii="Arial" w:cs="Arial" w:eastAsia="Arial" w:hAnsi="Arial"/>
          <w:b/>
          <w:bCs/>
          <w:color w:val="1A1410"/>
          <w:sz w:val="22"/>
          <w:szCs w:val="22"/>
        </w:rPr>
        <w:t xml:space="preserve">Trust Profile reconciliation. </w:t>
      </w:r>
      <w:r>
        <w:rPr>
          <w:rFonts w:ascii="Arial" w:cs="Arial" w:eastAsia="Arial" w:hAnsi="Arial"/>
          <w:color w:val="1A1410"/>
          <w:sz w:val="22"/>
          <w:szCs w:val="22"/>
        </w:rPr>
        <w:t xml:space="preserve">Overall status now correctly reflects worst pillar. Per-component status reconciled with score band. Network-specific framework labels.</w:t>
      </w:r>
    </w:p>
    <w:p>
      <w:pPr>
        <w:pStyle w:val="ListParagraph"/>
        <w:numPr>
          <w:ilvl w:val="0"/>
          <w:numId w:val="2"/>
        </w:numPr>
        <w:spacing w:after="60" w:before="30" w:line="280"/>
      </w:pPr>
      <w:r>
        <w:rPr>
          <w:rFonts w:ascii="Arial" w:cs="Arial" w:eastAsia="Arial" w:hAnsi="Arial"/>
          <w:b/>
          <w:bCs/>
          <w:color w:val="1A1410"/>
          <w:sz w:val="22"/>
          <w:szCs w:val="22"/>
        </w:rPr>
        <w:t xml:space="preserve">AI robustness completed. </w:t>
      </w:r>
      <w:r>
        <w:rPr>
          <w:rFonts w:ascii="Arial" w:cs="Arial" w:eastAsia="Arial" w:hAnsi="Arial"/>
          <w:color w:val="1A1410"/>
          <w:sz w:val="22"/>
          <w:szCs w:val="22"/>
        </w:rPr>
        <w:t xml:space="preserve">Status-aware notices, language-quality metadata, MediaRecorder audio backup, OpenAI Whisper fallback for Somali/Swahili/Arabic, admin telemetry rollup.</w:t>
      </w:r>
    </w:p>
    <w:p>
      <w:pPr>
        <w:pStyle w:val="ListParagraph"/>
        <w:numPr>
          <w:ilvl w:val="0"/>
          <w:numId w:val="2"/>
        </w:numPr>
        <w:spacing w:after="60" w:before="30" w:line="280"/>
      </w:pPr>
      <w:r>
        <w:rPr>
          <w:rFonts w:ascii="Arial" w:cs="Arial" w:eastAsia="Arial" w:hAnsi="Arial"/>
          <w:b/>
          <w:bCs/>
          <w:color w:val="1A1410"/>
          <w:sz w:val="22"/>
          <w:szCs w:val="22"/>
        </w:rPr>
        <w:t xml:space="preserve">Operational observability. </w:t>
      </w:r>
      <w:r>
        <w:rPr>
          <w:rFonts w:ascii="Arial" w:cs="Arial" w:eastAsia="Arial" w:hAnsi="Arial"/>
          <w:color w:val="1A1410"/>
          <w:sz w:val="22"/>
          <w:szCs w:val="22"/>
        </w:rPr>
        <w:t xml:space="preserve">SLOW_REQUEST warning on any /api/* call over 5s. Health-monitor GitHub Action every 5 minutes (fails on status≠200 or latency&gt;2s).</w:t>
      </w:r>
    </w:p>
    <w:p>
      <w:pPr>
        <w:pStyle w:val="ListParagraph"/>
        <w:numPr>
          <w:ilvl w:val="0"/>
          <w:numId w:val="2"/>
        </w:numPr>
        <w:spacing w:after="60" w:before="30" w:line="280"/>
      </w:pPr>
      <w:r>
        <w:rPr>
          <w:rFonts w:ascii="Arial" w:cs="Arial" w:eastAsia="Arial" w:hAnsi="Arial"/>
          <w:b/>
          <w:bCs/>
          <w:color w:val="1A1410"/>
          <w:sz w:val="22"/>
          <w:szCs w:val="22"/>
        </w:rPr>
        <w:t xml:space="preserve">Data hygiene. </w:t>
      </w:r>
      <w:r>
        <w:rPr>
          <w:rFonts w:ascii="Arial" w:cs="Arial" w:eastAsia="Arial" w:hAnsi="Arial"/>
          <w:color w:val="1A1410"/>
          <w:sz w:val="22"/>
          <w:szCs w:val="22"/>
        </w:rPr>
        <w:t xml:space="preserve">Org-name backfill replaced legacy "Org #N" grant titles with real organization names in prod.</w:t>
      </w:r>
    </w:p>
    <w:p>
      <w:pPr>
        <w:pStyle w:val="ListParagraph"/>
        <w:numPr>
          <w:ilvl w:val="0"/>
          <w:numId w:val="2"/>
        </w:numPr>
        <w:spacing w:after="60" w:before="30" w:line="280"/>
      </w:pPr>
      <w:r>
        <w:rPr>
          <w:rFonts w:ascii="Arial" w:cs="Arial" w:eastAsia="Arial" w:hAnsi="Arial"/>
          <w:b/>
          <w:bCs/>
          <w:color w:val="1A1410"/>
          <w:sz w:val="22"/>
          <w:szCs w:val="22"/>
        </w:rPr>
        <w:t xml:space="preserve">Mobile + accessibility. </w:t>
      </w:r>
      <w:r>
        <w:rPr>
          <w:rFonts w:ascii="Arial" w:cs="Arial" w:eastAsia="Arial" w:hAnsi="Arial"/>
          <w:color w:val="1A1410"/>
          <w:sz w:val="22"/>
          <w:szCs w:val="22"/>
        </w:rPr>
        <w:t xml:space="preserve">Sidebar padding fixed for 390px viewports. Mic policy header allows self-origin camera + microphone. Recording state only set after MediaRecorder actually starts.</w:t>
      </w:r>
    </w:p>
    <w:p>
      <w:pPr>
        <w:pStyle w:val="Heading2"/>
        <w:spacing w:after="140" w:before="280"/>
      </w:pPr>
      <w:r>
        <w:rPr>
          <w:rFonts w:ascii="Arial" w:cs="Arial" w:eastAsia="Arial" w:hAnsi="Arial"/>
          <w:b/>
          <w:bCs/>
          <w:color w:val="7C2D12"/>
          <w:sz w:val="28"/>
          <w:szCs w:val="28"/>
        </w:rPr>
        <w:t xml:space="preserve">17.3 Honest Gaps</w:t>
      </w:r>
    </w:p>
    <w:p>
      <w:pPr>
        <w:pStyle w:val="ListParagraph"/>
        <w:numPr>
          <w:ilvl w:val="0"/>
          <w:numId w:val="2"/>
        </w:numPr>
        <w:spacing w:after="60" w:before="30" w:line="280"/>
      </w:pPr>
      <w:r>
        <w:rPr>
          <w:rFonts w:ascii="Arial" w:cs="Arial" w:eastAsia="Arial" w:hAnsi="Arial"/>
          <w:color w:val="1A1410"/>
          <w:sz w:val="22"/>
          <w:szCs w:val="22"/>
        </w:rPr>
        <w:t xml:space="preserve">Email transport (SendGrid / SMTP) not yet wired on Railway — transactional emails log-only until set.</w:t>
      </w:r>
    </w:p>
    <w:p>
      <w:pPr>
        <w:pStyle w:val="ListParagraph"/>
        <w:numPr>
          <w:ilvl w:val="0"/>
          <w:numId w:val="2"/>
        </w:numPr>
        <w:spacing w:after="60" w:before="30" w:line="280"/>
      </w:pPr>
      <w:r>
        <w:rPr>
          <w:rFonts w:ascii="Arial" w:cs="Arial" w:eastAsia="Arial" w:hAnsi="Arial"/>
          <w:color w:val="1A1410"/>
          <w:sz w:val="22"/>
          <w:szCs w:val="22"/>
        </w:rPr>
        <w:t xml:space="preserve">Whisper API key not yet set on production — Somali/Swahili/Arabic voice users currently rely on the listen-back-and-type fallback.</w:t>
      </w:r>
    </w:p>
    <w:p>
      <w:pPr>
        <w:pStyle w:val="ListParagraph"/>
        <w:numPr>
          <w:ilvl w:val="0"/>
          <w:numId w:val="2"/>
        </w:numPr>
        <w:spacing w:after="60" w:before="30" w:line="280"/>
      </w:pPr>
      <w:r>
        <w:rPr>
          <w:rFonts w:ascii="Arial" w:cs="Arial" w:eastAsia="Arial" w:hAnsi="Arial"/>
          <w:color w:val="1A1410"/>
          <w:sz w:val="22"/>
          <w:szCs w:val="22"/>
        </w:rPr>
        <w:t xml:space="preserve">CRON_SECRET not yet on GitHub repo secrets — Crisis Monitoring cron self-authenticates via per-process fallback.</w:t>
      </w:r>
    </w:p>
    <w:p>
      <w:pPr>
        <w:pStyle w:val="ListParagraph"/>
        <w:numPr>
          <w:ilvl w:val="0"/>
          <w:numId w:val="2"/>
        </w:numPr>
        <w:spacing w:after="60" w:before="30" w:line="280"/>
      </w:pPr>
      <w:r>
        <w:rPr>
          <w:rFonts w:ascii="Arial" w:cs="Arial" w:eastAsia="Arial" w:hAnsi="Arial"/>
          <w:color w:val="1A1410"/>
          <w:sz w:val="22"/>
          <w:szCs w:val="22"/>
        </w:rPr>
        <w:t xml:space="preserve">Cross-tenant pen-test scheduled for Q3 2026 before the second paid network tenant signs.</w:t>
      </w:r>
    </w:p>
    <w:p>
      <w:pPr>
        <w:pStyle w:val="ListParagraph"/>
        <w:numPr>
          <w:ilvl w:val="0"/>
          <w:numId w:val="2"/>
        </w:numPr>
        <w:spacing w:after="60" w:before="30" w:line="280"/>
      </w:pPr>
      <w:r>
        <w:rPr>
          <w:rFonts w:ascii="Arial" w:cs="Arial" w:eastAsia="Arial" w:hAnsi="Arial"/>
          <w:color w:val="1A1410"/>
          <w:sz w:val="22"/>
          <w:szCs w:val="22"/>
        </w:rPr>
        <w:t xml:space="preserve">Production demo-data cleanup queued before next major foundation demo.</w:t>
      </w:r>
    </w:p>
    <w:p>
      <w:pPr>
        <w:pStyle w:val="ListParagraph"/>
        <w:numPr>
          <w:ilvl w:val="0"/>
          <w:numId w:val="2"/>
        </w:numPr>
        <w:spacing w:after="60" w:before="30" w:line="280"/>
      </w:pPr>
      <w:r>
        <w:rPr>
          <w:rFonts w:ascii="Arial" w:cs="Arial" w:eastAsia="Arial" w:hAnsi="Arial"/>
          <w:color w:val="1A1410"/>
          <w:sz w:val="22"/>
          <w:szCs w:val="22"/>
        </w:rPr>
        <w:t xml:space="preserve">Native-language user testing on real low-cost Android devices — recruitment pending.</w:t>
      </w:r>
    </w:p>
    <w:p>
      <w:pPr>
        <w:spacing w:after="80" w:before="60" w:line="300"/>
        <w:jc w:val="left"/>
      </w:pPr>
      <w:r>
        <w:rPr>
          <w:rFonts w:ascii="Arial" w:cs="Arial" w:eastAsia="Arial" w:hAnsi="Arial"/>
          <w:color w:val="1A1410"/>
          <w:sz w:val="22"/>
          <w:szCs w:val="22"/>
        </w:rPr>
        <w:t xml:space="preserve">Every gap is tracked in docs/NEAR_BACKLOG.md with revisit criteria. The list is open to any customer under NDA.</w:t>
      </w:r>
    </w:p>
    <w:p>
      <w:pPr>
        <w:pStyle w:val="Heading1"/>
        <w:pageBreakBefore/>
        <w:spacing w:after="200" w:before="320"/>
      </w:pPr>
      <w:r>
        <w:rPr>
          <w:rFonts w:ascii="Arial" w:cs="Arial" w:eastAsia="Arial" w:hAnsi="Arial"/>
          <w:b/>
          <w:bCs/>
          <w:color w:val="C2410C"/>
          <w:sz w:val="36"/>
          <w:szCs w:val="36"/>
        </w:rPr>
        <w:t xml:space="preserve">18. The Ask</w:t>
      </w:r>
    </w:p>
    <w:p>
      <w:pPr>
        <w:spacing w:after="80" w:before="60" w:line="300"/>
        <w:jc w:val="left"/>
      </w:pPr>
      <w:r>
        <w:rPr>
          <w:rFonts w:ascii="Arial" w:cs="Arial" w:eastAsia="Arial" w:hAnsi="Arial"/>
          <w:color w:val="1A1410"/>
          <w:sz w:val="22"/>
          <w:szCs w:val="22"/>
        </w:rPr>
        <w:t xml:space="preserve">Our ask depends on who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run a network</w:t>
            </w:r>
          </w:p>
          <w:p>
            <w:pPr>
              <w:spacing w:before="80"/>
            </w:pPr>
            <w:r>
              <w:rPr>
                <w:rFonts w:ascii="Arial" w:cs="Arial" w:eastAsia="Arial" w:hAnsi="Arial"/>
                <w:color w:val="1A1410"/>
                <w:sz w:val="22"/>
                <w:szCs w:val="22"/>
              </w:rPr>
              <w:t xml:space="preserve">45 minutes to walk you through our Networks architecture and the NEAR reference tenant. We then configure a tenant for you and run a pilot Crisis Monitoring + Declaration cycle inside six weeks. You are one of three reference tenants in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fund the Global South</w:t>
            </w:r>
          </w:p>
          <w:p>
            <w:pPr>
              <w:spacing w:before="80"/>
            </w:pPr>
            <w:r>
              <w:rPr>
                <w:rFonts w:ascii="Arial" w:cs="Arial" w:eastAsia="Arial" w:hAnsi="Arial"/>
                <w:color w:val="1A1410"/>
                <w:sz w:val="22"/>
                <w:szCs w:val="22"/>
              </w:rPr>
              <w:t xml:space="preserve">Start with the 90-day Grant Pilot ($25K–$50K) — single workflow, no long procurement. See the trust + reporting depth. Compare to your current stack. Expand to Elevate and ERP for the grantees where it makes sense.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8"/>
              <w:bottom w:val="single" w:color="4A7C59" w:sz="4"/>
              <w:right w:val="single" w:color="4A7C59"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 foundation or DAF without your own network</w:t>
            </w:r>
          </w:p>
          <w:p>
            <w:pPr>
              <w:spacing w:before="80"/>
            </w:pPr>
            <w:r>
              <w:rPr>
                <w:rFonts w:ascii="Arial" w:cs="Arial" w:eastAsia="Arial" w:hAnsi="Arial"/>
                <w:color w:val="1A1410"/>
                <w:sz w:val="22"/>
                <w:szCs w:val="22"/>
              </w:rPr>
              <w:t xml:space="preserve">The Hosted Network motion is new — you get network-grade trust signals and curated NGO access without operating a secretariat. Start with a $30K–$80K annual subscription and grow grant volume from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1A1410"/>
                <w:sz w:val="22"/>
                <w:szCs w:val="22"/>
              </w:rPr>
              <w:t xml:space="preserve">If you are an investor or growth-stage funder</w:t>
            </w:r>
          </w:p>
          <w:p>
            <w:pPr>
              <w:spacing w:before="80"/>
            </w:pPr>
            <w:r>
              <w:rPr>
                <w:rFonts w:ascii="Arial" w:cs="Arial" w:eastAsia="Arial" w:hAnsi="Arial"/>
                <w:color w:val="1A1410"/>
                <w:sz w:val="22"/>
                <w:szCs w:val="22"/>
              </w:rPr>
              <w:t xml:space="preserve">We are raising $1.5M–$2.5M over 18 months to bridge to sustainable revenue. Conservative case is profitable from 2029 on $3M+ ARR. Reach out to discuss the milestone tranching.</w:t>
            </w:r>
          </w:p>
        </w:tc>
      </w:tr>
    </w:tbl>
    <w:p>
      <w:pPr>
        <w:spacing w:after="80" w:before="200" w:line="300"/>
        <w:jc w:val="left"/>
      </w:pPr>
      <w:r>
        <w:rPr>
          <w:rFonts w:ascii="Arial" w:cs="Arial" w:eastAsia="Arial" w:hAnsi="Arial"/>
          <w:b/>
          <w:bCs/>
          <w:color w:val="1A1410"/>
          <w:sz w:val="22"/>
          <w:szCs w:val="22"/>
        </w:rPr>
        <w:t xml:space="preserve">Reach us: </w:t>
      </w:r>
      <w:r>
        <w:rPr>
          <w:rFonts w:ascii="Arial" w:cs="Arial" w:eastAsia="Arial" w:hAnsi="Arial"/>
          <w:color w:val="1A1410"/>
          <w:sz w:val="22"/>
          <w:szCs w:val="22"/>
        </w:rPr>
        <w:t xml:space="preserve">kuja@adeso.org · production demo: https://web-production-6f8a.up.railway.app</w:t>
      </w:r>
    </w:p>
    <w:p>
      <w:pPr>
        <w:pStyle w:val="Heading1"/>
        <w:pageBreakBefore/>
        <w:spacing w:after="200" w:before="320"/>
      </w:pPr>
      <w:r>
        <w:rPr>
          <w:rFonts w:ascii="Arial" w:cs="Arial" w:eastAsia="Arial" w:hAnsi="Arial"/>
          <w:b/>
          <w:bCs/>
          <w:color w:val="C2410C"/>
          <w:sz w:val="36"/>
          <w:szCs w:val="36"/>
        </w:rPr>
        <w:t xml:space="preserve">19. Sources and Bibliography</w:t>
      </w:r>
    </w:p>
    <w:p>
      <w:pPr>
        <w:spacing w:after="80" w:before="60" w:line="300"/>
        <w:jc w:val="left"/>
      </w:pPr>
      <w:r>
        <w:rPr>
          <w:rFonts w:ascii="Arial" w:cs="Arial" w:eastAsia="Arial" w:hAnsi="Arial"/>
          <w:color w:val="1A1410"/>
          <w:sz w:val="22"/>
          <w:szCs w:val="22"/>
        </w:rPr>
        <w:t xml:space="preserve">Every statistical claim in this document is traceable to a published source. Where a figure could not be verified from a public primary source, the document either drops the claim or explicitly flags it as "directional" or "unverified."</w:t>
      </w:r>
    </w:p>
    <w:p>
      <w:pPr>
        <w:pStyle w:val="Heading2"/>
        <w:spacing w:after="140" w:before="280"/>
      </w:pPr>
      <w:r>
        <w:rPr>
          <w:rFonts w:ascii="Arial" w:cs="Arial" w:eastAsia="Arial" w:hAnsi="Arial"/>
          <w:b/>
          <w:bCs/>
          <w:color w:val="7C2D12"/>
          <w:sz w:val="28"/>
          <w:szCs w:val="28"/>
        </w:rPr>
        <w:t xml:space="preserve">Funding landscape and ODA</w:t>
      </w:r>
    </w:p>
    <w:p>
      <w:pPr>
        <w:pStyle w:val="ListParagraph"/>
        <w:numPr>
          <w:ilvl w:val="0"/>
          <w:numId w:val="2"/>
        </w:numPr>
        <w:spacing w:after="60" w:before="30" w:line="280"/>
      </w:pPr>
      <w:r>
        <w:rPr>
          <w:rFonts w:ascii="Arial" w:cs="Arial" w:eastAsia="Arial" w:hAnsi="Arial"/>
          <w:i/>
          <w:iCs/>
          <w:color w:val="6B6660"/>
          <w:sz w:val="18"/>
          <w:szCs w:val="18"/>
        </w:rPr>
        <w:t xml:space="preserve">OECD (April 2026). A Historic Decline in Foreign Aid: Preliminary 2025 ODA Data. https://www.oecd.org/en/data/insights/data-explainers/2026/04/</w:t>
      </w:r>
    </w:p>
    <w:p>
      <w:pPr>
        <w:pStyle w:val="ListParagraph"/>
        <w:numPr>
          <w:ilvl w:val="0"/>
          <w:numId w:val="2"/>
        </w:numPr>
        <w:spacing w:after="60" w:before="30" w:line="280"/>
      </w:pPr>
      <w:r>
        <w:rPr>
          <w:rFonts w:ascii="Arial" w:cs="Arial" w:eastAsia="Arial" w:hAnsi="Arial"/>
          <w:i/>
          <w:iCs/>
          <w:color w:val="6B6660"/>
          <w:sz w:val="18"/>
          <w:szCs w:val="18"/>
        </w:rPr>
        <w:t xml:space="preserve">Donor Tracker (2025). US Government Announces Official Closure of USAID. https://donortracker.org/policy_updates</w:t>
      </w:r>
    </w:p>
    <w:p>
      <w:pPr>
        <w:pStyle w:val="ListParagraph"/>
        <w:numPr>
          <w:ilvl w:val="0"/>
          <w:numId w:val="2"/>
        </w:numPr>
        <w:spacing w:after="60" w:before="30" w:line="280"/>
      </w:pPr>
      <w:r>
        <w:rPr>
          <w:rFonts w:ascii="Arial" w:cs="Arial" w:eastAsia="Arial" w:hAnsi="Arial"/>
          <w:i/>
          <w:iCs/>
          <w:color w:val="6B6660"/>
          <w:sz w:val="18"/>
          <w:szCs w:val="18"/>
        </w:rPr>
        <w:t xml:space="preserve">Reuters / Malay Mail (10 March 2025). Rubio: US cancels 83% of USAID programs.</w:t>
      </w:r>
    </w:p>
    <w:p>
      <w:pPr>
        <w:pStyle w:val="ListParagraph"/>
        <w:numPr>
          <w:ilvl w:val="0"/>
          <w:numId w:val="2"/>
        </w:numPr>
        <w:spacing w:after="60" w:before="30" w:line="280"/>
      </w:pPr>
      <w:r>
        <w:rPr>
          <w:rFonts w:ascii="Arial" w:cs="Arial" w:eastAsia="Arial" w:hAnsi="Arial"/>
          <w:i/>
          <w:iCs/>
          <w:color w:val="6B6660"/>
          <w:sz w:val="18"/>
          <w:szCs w:val="18"/>
        </w:rPr>
        <w:t xml:space="preserve">House of Commons Library (2026). Briefing Paper CBP-10243 on UK ODA.</w:t>
      </w:r>
    </w:p>
    <w:p>
      <w:pPr>
        <w:pStyle w:val="ListParagraph"/>
        <w:numPr>
          <w:ilvl w:val="0"/>
          <w:numId w:val="2"/>
        </w:numPr>
        <w:spacing w:after="60" w:before="30" w:line="280"/>
      </w:pPr>
      <w:r>
        <w:rPr>
          <w:rFonts w:ascii="Arial" w:cs="Arial" w:eastAsia="Arial" w:hAnsi="Arial"/>
          <w:i/>
          <w:iCs/>
          <w:color w:val="6B6660"/>
          <w:sz w:val="18"/>
          <w:szCs w:val="18"/>
        </w:rPr>
        <w:t xml:space="preserve">Bond (March 2026). ODA allocations for 2026 onwards.</w:t>
      </w:r>
    </w:p>
    <w:p>
      <w:pPr>
        <w:pStyle w:val="ListParagraph"/>
        <w:numPr>
          <w:ilvl w:val="0"/>
          <w:numId w:val="2"/>
        </w:numPr>
        <w:spacing w:after="60" w:before="30" w:line="280"/>
      </w:pPr>
      <w:r>
        <w:rPr>
          <w:rFonts w:ascii="Arial" w:cs="Arial" w:eastAsia="Arial" w:hAnsi="Arial"/>
          <w:i/>
          <w:iCs/>
          <w:color w:val="6B6660"/>
          <w:sz w:val="18"/>
          <w:szCs w:val="18"/>
        </w:rPr>
        <w:t xml:space="preserve">Donor Tracker — Germany 2025 budget; Sweden Sida profile.</w:t>
      </w:r>
    </w:p>
    <w:p>
      <w:pPr>
        <w:pStyle w:val="ListParagraph"/>
        <w:numPr>
          <w:ilvl w:val="0"/>
          <w:numId w:val="2"/>
        </w:numPr>
        <w:spacing w:after="60" w:before="30" w:line="280"/>
      </w:pPr>
      <w:r>
        <w:rPr>
          <w:rFonts w:ascii="Arial" w:cs="Arial" w:eastAsia="Arial" w:hAnsi="Arial"/>
          <w:i/>
          <w:iCs/>
          <w:color w:val="6B6660"/>
          <w:sz w:val="18"/>
          <w:szCs w:val="18"/>
        </w:rPr>
        <w:t xml:space="preserve">Norad (2025). Historic Decline in International Aid.</w:t>
      </w:r>
    </w:p>
    <w:p>
      <w:pPr>
        <w:pStyle w:val="ListParagraph"/>
        <w:numPr>
          <w:ilvl w:val="0"/>
          <w:numId w:val="2"/>
        </w:numPr>
        <w:spacing w:after="60" w:before="30" w:line="280"/>
      </w:pPr>
      <w:r>
        <w:rPr>
          <w:rFonts w:ascii="Arial" w:cs="Arial" w:eastAsia="Arial" w:hAnsi="Arial"/>
          <w:i/>
          <w:iCs/>
          <w:color w:val="6B6660"/>
          <w:sz w:val="18"/>
          <w:szCs w:val="18"/>
        </w:rPr>
        <w:t xml:space="preserve">DFAT (2025). Australia's Official Development Assistance Budget Summary 2025–26.</w:t>
      </w:r>
    </w:p>
    <w:p>
      <w:pPr>
        <w:pStyle w:val="ListParagraph"/>
        <w:numPr>
          <w:ilvl w:val="0"/>
          <w:numId w:val="2"/>
        </w:numPr>
        <w:spacing w:after="60" w:before="30" w:line="280"/>
      </w:pPr>
      <w:r>
        <w:rPr>
          <w:rFonts w:ascii="Arial" w:cs="Arial" w:eastAsia="Arial" w:hAnsi="Arial"/>
          <w:i/>
          <w:iCs/>
          <w:color w:val="6B6660"/>
          <w:sz w:val="18"/>
          <w:szCs w:val="18"/>
        </w:rPr>
        <w:t xml:space="preserve">CBC News (2025). Carney Budget 2025 — international development assistance.</w:t>
      </w:r>
    </w:p>
    <w:p>
      <w:pPr>
        <w:pStyle w:val="Heading2"/>
        <w:spacing w:after="140" w:before="280"/>
      </w:pPr>
      <w:r>
        <w:rPr>
          <w:rFonts w:ascii="Arial" w:cs="Arial" w:eastAsia="Arial" w:hAnsi="Arial"/>
          <w:b/>
          <w:bCs/>
          <w:color w:val="7C2D12"/>
          <w:sz w:val="28"/>
          <w:szCs w:val="28"/>
        </w:rPr>
        <w:t xml:space="preserve">Localization</w:t>
      </w:r>
    </w:p>
    <w:p>
      <w:pPr>
        <w:pStyle w:val="ListParagraph"/>
        <w:numPr>
          <w:ilvl w:val="0"/>
          <w:numId w:val="2"/>
        </w:numPr>
        <w:spacing w:after="60" w:before="30" w:line="280"/>
      </w:pPr>
      <w:r>
        <w:rPr>
          <w:rFonts w:ascii="Arial" w:cs="Arial" w:eastAsia="Arial" w:hAnsi="Arial"/>
          <w:i/>
          <w:iCs/>
          <w:color w:val="6B6660"/>
          <w:sz w:val="18"/>
          <w:szCs w:val="18"/>
        </w:rPr>
        <w:t xml:space="preserve">Development Initiatives (2025). Falling Short: Funding to Local and National Actors. https://devinit.github.io/resources/</w:t>
      </w:r>
    </w:p>
    <w:p>
      <w:pPr>
        <w:pStyle w:val="ListParagraph"/>
        <w:numPr>
          <w:ilvl w:val="0"/>
          <w:numId w:val="2"/>
        </w:numPr>
        <w:spacing w:after="60" w:before="30" w:line="280"/>
      </w:pPr>
      <w:r>
        <w:rPr>
          <w:rFonts w:ascii="Arial" w:cs="Arial" w:eastAsia="Arial" w:hAnsi="Arial"/>
          <w:i/>
          <w:iCs/>
          <w:color w:val="6B6660"/>
          <w:sz w:val="18"/>
          <w:szCs w:val="18"/>
        </w:rPr>
        <w:t xml:space="preserve">ALNAP / Global Humanitarian Assistance Report 2025.</w:t>
      </w:r>
    </w:p>
    <w:p>
      <w:pPr>
        <w:pStyle w:val="Heading2"/>
        <w:spacing w:after="140" w:before="280"/>
      </w:pPr>
      <w:r>
        <w:rPr>
          <w:rFonts w:ascii="Arial" w:cs="Arial" w:eastAsia="Arial" w:hAnsi="Arial"/>
          <w:b/>
          <w:bCs/>
          <w:color w:val="7C2D12"/>
          <w:sz w:val="28"/>
          <w:szCs w:val="28"/>
        </w:rPr>
        <w:t xml:space="preserve">Foundation giving</w:t>
      </w:r>
    </w:p>
    <w:p>
      <w:pPr>
        <w:pStyle w:val="ListParagraph"/>
        <w:numPr>
          <w:ilvl w:val="0"/>
          <w:numId w:val="2"/>
        </w:numPr>
        <w:spacing w:after="60" w:before="30" w:line="280"/>
      </w:pPr>
      <w:r>
        <w:rPr>
          <w:rFonts w:ascii="Arial" w:cs="Arial" w:eastAsia="Arial" w:hAnsi="Arial"/>
          <w:i/>
          <w:iCs/>
          <w:color w:val="6B6660"/>
          <w:sz w:val="18"/>
          <w:szCs w:val="18"/>
        </w:rPr>
        <w:t xml:space="preserve">OECD (December 2025). Private Philanthropy for Development, Third Edition. https://www.oecd.org/en/publications/</w:t>
      </w:r>
    </w:p>
    <w:p>
      <w:pPr>
        <w:pStyle w:val="ListParagraph"/>
        <w:numPr>
          <w:ilvl w:val="0"/>
          <w:numId w:val="2"/>
        </w:numPr>
        <w:spacing w:after="60" w:before="30" w:line="280"/>
      </w:pPr>
      <w:r>
        <w:rPr>
          <w:rFonts w:ascii="Arial" w:cs="Arial" w:eastAsia="Arial" w:hAnsi="Arial"/>
          <w:i/>
          <w:iCs/>
          <w:color w:val="6B6660"/>
          <w:sz w:val="18"/>
          <w:szCs w:val="18"/>
        </w:rPr>
        <w:t xml:space="preserve">CBS News (2025). MacKenzie Scott donations to nonprofits 2025. https://www.cbsnews.com/news/mackenzie-scott-donations-nonprofits-2025/</w:t>
      </w:r>
    </w:p>
    <w:p>
      <w:pPr>
        <w:pStyle w:val="ListParagraph"/>
        <w:numPr>
          <w:ilvl w:val="0"/>
          <w:numId w:val="2"/>
        </w:numPr>
        <w:spacing w:after="60" w:before="30" w:line="280"/>
      </w:pPr>
      <w:r>
        <w:rPr>
          <w:rFonts w:ascii="Arial" w:cs="Arial" w:eastAsia="Arial" w:hAnsi="Arial"/>
          <w:i/>
          <w:iCs/>
          <w:color w:val="6B6660"/>
          <w:sz w:val="18"/>
          <w:szCs w:val="18"/>
        </w:rPr>
        <w:t xml:space="preserve">Ford Foundation (2024). BUILD program expansion announcement.</w:t>
      </w:r>
    </w:p>
    <w:p>
      <w:pPr>
        <w:pStyle w:val="ListParagraph"/>
        <w:numPr>
          <w:ilvl w:val="0"/>
          <w:numId w:val="2"/>
        </w:numPr>
        <w:spacing w:after="60" w:before="30" w:line="280"/>
      </w:pPr>
      <w:r>
        <w:rPr>
          <w:rFonts w:ascii="Arial" w:cs="Arial" w:eastAsia="Arial" w:hAnsi="Arial"/>
          <w:i/>
          <w:iCs/>
          <w:color w:val="6B6660"/>
          <w:sz w:val="18"/>
          <w:szCs w:val="18"/>
        </w:rPr>
        <w:t xml:space="preserve">IKEA Foundation (2025). The IKEA Foundation in 2024 — Annual Report.</w:t>
      </w:r>
    </w:p>
    <w:p>
      <w:pPr>
        <w:pStyle w:val="ListParagraph"/>
        <w:numPr>
          <w:ilvl w:val="0"/>
          <w:numId w:val="2"/>
        </w:numPr>
        <w:spacing w:after="60" w:before="30" w:line="280"/>
      </w:pPr>
      <w:r>
        <w:rPr>
          <w:rFonts w:ascii="Arial" w:cs="Arial" w:eastAsia="Arial" w:hAnsi="Arial"/>
          <w:i/>
          <w:iCs/>
          <w:color w:val="6B6660"/>
          <w:sz w:val="18"/>
          <w:szCs w:val="18"/>
        </w:rPr>
        <w:t xml:space="preserve">Candid (2026). Outlook for charitable giving in 2026.</w:t>
      </w:r>
    </w:p>
    <w:p>
      <w:pPr>
        <w:pStyle w:val="ListParagraph"/>
        <w:numPr>
          <w:ilvl w:val="0"/>
          <w:numId w:val="2"/>
        </w:numPr>
        <w:spacing w:after="60" w:before="30" w:line="280"/>
      </w:pPr>
      <w:r>
        <w:rPr>
          <w:rFonts w:ascii="Arial" w:cs="Arial" w:eastAsia="Arial" w:hAnsi="Arial"/>
          <w:i/>
          <w:iCs/>
          <w:color w:val="6B6660"/>
          <w:sz w:val="18"/>
          <w:szCs w:val="18"/>
        </w:rPr>
        <w:t xml:space="preserve">NonProfit Times (2025). Research documenting the impact of MacKenzie Scott's giving.</w:t>
      </w:r>
    </w:p>
    <w:p>
      <w:pPr>
        <w:pStyle w:val="Heading2"/>
        <w:spacing w:after="140" w:before="280"/>
      </w:pPr>
      <w:r>
        <w:rPr>
          <w:rFonts w:ascii="Arial" w:cs="Arial" w:eastAsia="Arial" w:hAnsi="Arial"/>
          <w:b/>
          <w:bCs/>
          <w:color w:val="7C2D12"/>
          <w:sz w:val="28"/>
          <w:szCs w:val="28"/>
        </w:rPr>
        <w:t xml:space="preserve">Networks</w:t>
      </w:r>
    </w:p>
    <w:p>
      <w:pPr>
        <w:pStyle w:val="ListParagraph"/>
        <w:numPr>
          <w:ilvl w:val="0"/>
          <w:numId w:val="2"/>
        </w:numPr>
        <w:spacing w:after="60" w:before="30" w:line="280"/>
      </w:pPr>
      <w:r>
        <w:rPr>
          <w:rFonts w:ascii="Arial" w:cs="Arial" w:eastAsia="Arial" w:hAnsi="Arial"/>
          <w:i/>
          <w:iCs/>
          <w:color w:val="6B6660"/>
          <w:sz w:val="18"/>
          <w:szCs w:val="18"/>
        </w:rPr>
        <w:t xml:space="preserve">Wikipedia. Network for Empowered Aid Response (NEAR). https://en.wikipedia.org/wiki/Network_for_Empowered_Aid_Response</w:t>
      </w:r>
    </w:p>
    <w:p>
      <w:pPr>
        <w:pStyle w:val="ListParagraph"/>
        <w:numPr>
          <w:ilvl w:val="0"/>
          <w:numId w:val="2"/>
        </w:numPr>
        <w:spacing w:after="60" w:before="30" w:line="280"/>
      </w:pPr>
      <w:r>
        <w:rPr>
          <w:rFonts w:ascii="Arial" w:cs="Arial" w:eastAsia="Arial" w:hAnsi="Arial"/>
          <w:i/>
          <w:iCs/>
          <w:color w:val="6B6660"/>
          <w:sz w:val="18"/>
          <w:szCs w:val="18"/>
        </w:rPr>
        <w:t xml:space="preserve">Start Network. About + Start Fund digital platform. https://startnetwork.org/</w:t>
      </w:r>
    </w:p>
    <w:p>
      <w:pPr>
        <w:pStyle w:val="Heading2"/>
        <w:spacing w:after="140" w:before="280"/>
      </w:pPr>
      <w:r>
        <w:rPr>
          <w:rFonts w:ascii="Arial" w:cs="Arial" w:eastAsia="Arial" w:hAnsi="Arial"/>
          <w:b/>
          <w:bCs/>
          <w:color w:val="7C2D12"/>
          <w:sz w:val="28"/>
          <w:szCs w:val="28"/>
        </w:rPr>
        <w:t xml:space="preserve">Grant management software market</w:t>
      </w:r>
    </w:p>
    <w:p>
      <w:pPr>
        <w:pStyle w:val="ListParagraph"/>
        <w:numPr>
          <w:ilvl w:val="0"/>
          <w:numId w:val="2"/>
        </w:numPr>
        <w:spacing w:after="60" w:before="30" w:line="280"/>
      </w:pPr>
      <w:r>
        <w:rPr>
          <w:rFonts w:ascii="Arial" w:cs="Arial" w:eastAsia="Arial" w:hAnsi="Arial"/>
          <w:i/>
          <w:iCs/>
          <w:color w:val="6B6660"/>
          <w:sz w:val="18"/>
          <w:szCs w:val="18"/>
        </w:rPr>
        <w:t xml:space="preserve">Mordor Intelligence. Grant Management Software Market Report. 2025 market USD 2.56B → 2030 USD 4.23B at 10.57% CAGR; North America = 45.12% of 2024 revenue. https://www.mordorintelligence.com/industry-reports/grant-management-software-market</w:t>
      </w:r>
    </w:p>
    <w:p>
      <w:pPr>
        <w:pStyle w:val="ListParagraph"/>
        <w:numPr>
          <w:ilvl w:val="0"/>
          <w:numId w:val="2"/>
        </w:numPr>
        <w:spacing w:after="60" w:before="30" w:line="280"/>
      </w:pPr>
      <w:r>
        <w:rPr>
          <w:rFonts w:ascii="Arial" w:cs="Arial" w:eastAsia="Arial" w:hAnsi="Arial"/>
          <w:i/>
          <w:iCs/>
          <w:color w:val="6B6660"/>
          <w:sz w:val="18"/>
          <w:szCs w:val="18"/>
        </w:rPr>
        <w:t xml:space="preserve">Grand View Research. Grant Management Software Market 2024 → 2033. 2024 market USD 2.66B → 2033 USD 6.19B at 10.0% CAGR.</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2026 USD 3.38B → 2035 USD 8.09B.</w:t>
      </w:r>
    </w:p>
    <w:p>
      <w:pPr>
        <w:pStyle w:val="ListParagraph"/>
        <w:numPr>
          <w:ilvl w:val="0"/>
          <w:numId w:val="2"/>
        </w:numPr>
        <w:spacing w:after="60" w:before="30" w:line="280"/>
      </w:pPr>
      <w:r>
        <w:rPr>
          <w:rFonts w:ascii="Arial" w:cs="Arial" w:eastAsia="Arial" w:hAnsi="Arial"/>
          <w:i/>
          <w:iCs/>
          <w:color w:val="6B6660"/>
          <w:sz w:val="18"/>
          <w:szCs w:val="18"/>
        </w:rPr>
        <w:t xml:space="preserve">ALNAP Global Humanitarian Assistance Report 2025. Direct + indirect funding to local actors fell to 7.5% in 2024. https://alnap.org/help-library/resources/global-humanitarian-assistance-gha-report-2025/</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Grant Market Analysis (June 2026). Full 7-vendor competitive landscape, 15-feature matrix, accessibility moat detail, AI compliance pipeline. Filed under Kuja_Grant_Market_Analysis_June2026.docx.</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Elevate Market Analysis (June 2026). 11 module families, stitched-stack TCO benchmark, Platform + Advisory tier detail. Filed under Kuja_Elevate_Market_Analysis_June2026.docx.</w:t>
      </w:r>
    </w:p>
    <w:p>
      <w:pPr>
        <w:pStyle w:val="ListParagraph"/>
        <w:numPr>
          <w:ilvl w:val="0"/>
          <w:numId w:val="2"/>
        </w:numPr>
        <w:spacing w:after="60" w:before="30" w:line="280"/>
      </w:pPr>
      <w:r>
        <w:rPr>
          <w:rFonts w:ascii="Arial" w:cs="Arial" w:eastAsia="Arial" w:hAnsi="Arial"/>
          <w:i/>
          <w:iCs/>
          <w:color w:val="6B6660"/>
          <w:sz w:val="18"/>
          <w:szCs w:val="18"/>
        </w:rPr>
        <w:t xml:space="preserve">Companion document: Kuja Strategy Cohesion Brief (June 2026). Canonical artifact set, cross-references, unified numbers. Filed under Kuja_Strategy_Cohesion_Brief_June2026.docx.</w:t>
      </w:r>
    </w:p>
    <w:p>
      <w:pPr>
        <w:pStyle w:val="ListParagraph"/>
        <w:numPr>
          <w:ilvl w:val="0"/>
          <w:numId w:val="2"/>
        </w:numPr>
        <w:spacing w:after="60" w:before="30" w:line="280"/>
      </w:pPr>
      <w:r>
        <w:rPr>
          <w:rFonts w:ascii="Arial" w:cs="Arial" w:eastAsia="Arial" w:hAnsi="Arial"/>
          <w:i/>
          <w:iCs/>
          <w:color w:val="6B6660"/>
          <w:sz w:val="18"/>
          <w:szCs w:val="18"/>
        </w:rPr>
        <w:t xml:space="preserve">Precedence Research. Grant Management Software Market 2024–2035.</w:t>
      </w:r>
    </w:p>
    <w:p>
      <w:pPr>
        <w:pStyle w:val="ListParagraph"/>
        <w:numPr>
          <w:ilvl w:val="0"/>
          <w:numId w:val="2"/>
        </w:numPr>
        <w:spacing w:after="60" w:before="30" w:line="280"/>
      </w:pPr>
      <w:r>
        <w:rPr>
          <w:rFonts w:ascii="Arial" w:cs="Arial" w:eastAsia="Arial" w:hAnsi="Arial"/>
          <w:i/>
          <w:iCs/>
          <w:color w:val="6B6660"/>
          <w:sz w:val="18"/>
          <w:szCs w:val="18"/>
        </w:rPr>
        <w:t xml:space="preserve">Plinth (2025). Complete Guide: Grant Management Systems Compared. https://www.plinth.org.uk/</w:t>
      </w:r>
    </w:p>
    <w:p>
      <w:pPr>
        <w:pStyle w:val="ListParagraph"/>
        <w:numPr>
          <w:ilvl w:val="0"/>
          <w:numId w:val="2"/>
        </w:numPr>
        <w:spacing w:after="60" w:before="30" w:line="280"/>
      </w:pPr>
      <w:r>
        <w:rPr>
          <w:rFonts w:ascii="Arial" w:cs="Arial" w:eastAsia="Arial" w:hAnsi="Arial"/>
          <w:i/>
          <w:iCs/>
          <w:color w:val="6B6660"/>
          <w:sz w:val="18"/>
          <w:szCs w:val="18"/>
        </w:rPr>
        <w:t xml:space="preserve">Capterra listings — Fluxx, Bonterra Grants Management, Instrumentl.</w:t>
      </w:r>
    </w:p>
    <w:p>
      <w:pPr>
        <w:pStyle w:val="ListParagraph"/>
        <w:numPr>
          <w:ilvl w:val="0"/>
          <w:numId w:val="2"/>
        </w:numPr>
        <w:spacing w:after="60" w:before="30" w:line="280"/>
      </w:pPr>
      <w:r>
        <w:rPr>
          <w:rFonts w:ascii="Arial" w:cs="Arial" w:eastAsia="Arial" w:hAnsi="Arial"/>
          <w:i/>
          <w:iCs/>
          <w:color w:val="6B6660"/>
          <w:sz w:val="18"/>
          <w:szCs w:val="18"/>
        </w:rPr>
        <w:t xml:space="preserve">Submittable (2025). Introducing Submittable's Review AI.</w:t>
      </w:r>
    </w:p>
    <w:p>
      <w:pPr>
        <w:pStyle w:val="ListParagraph"/>
        <w:numPr>
          <w:ilvl w:val="0"/>
          <w:numId w:val="2"/>
        </w:numPr>
        <w:spacing w:after="60" w:before="30" w:line="280"/>
      </w:pPr>
      <w:r>
        <w:rPr>
          <w:rFonts w:ascii="Arial" w:cs="Arial" w:eastAsia="Arial" w:hAnsi="Arial"/>
          <w:i/>
          <w:iCs/>
          <w:color w:val="6B6660"/>
          <w:sz w:val="18"/>
          <w:szCs w:val="18"/>
        </w:rPr>
        <w:t xml:space="preserve">Bonterra (2025). Best Grant Management Software blog.</w:t>
      </w:r>
    </w:p>
    <w:p>
      <w:pPr>
        <w:pStyle w:val="ListParagraph"/>
        <w:numPr>
          <w:ilvl w:val="0"/>
          <w:numId w:val="2"/>
        </w:numPr>
        <w:spacing w:after="60" w:before="30" w:line="280"/>
      </w:pPr>
      <w:r>
        <w:rPr>
          <w:rFonts w:ascii="Arial" w:cs="Arial" w:eastAsia="Arial" w:hAnsi="Arial"/>
          <w:i/>
          <w:iCs/>
          <w:color w:val="6B6660"/>
          <w:sz w:val="18"/>
          <w:szCs w:val="18"/>
        </w:rPr>
        <w:t xml:space="preserve">Instrumentl pricing page. https://www.instrumentl.com/pricing</w:t>
      </w:r>
    </w:p>
    <w:p>
      <w:pPr>
        <w:pStyle w:val="Heading2"/>
        <w:spacing w:after="140" w:before="280"/>
      </w:pPr>
      <w:r>
        <w:rPr>
          <w:rFonts w:ascii="Arial" w:cs="Arial" w:eastAsia="Arial" w:hAnsi="Arial"/>
          <w:b/>
          <w:bCs/>
          <w:color w:val="7C2D12"/>
          <w:sz w:val="28"/>
          <w:szCs w:val="28"/>
        </w:rPr>
        <w:t xml:space="preserve">NGO ERP / accounting</w:t>
      </w:r>
    </w:p>
    <w:p>
      <w:pPr>
        <w:pStyle w:val="ListParagraph"/>
        <w:numPr>
          <w:ilvl w:val="0"/>
          <w:numId w:val="2"/>
        </w:numPr>
        <w:spacing w:after="60" w:before="30" w:line="280"/>
      </w:pPr>
      <w:r>
        <w:rPr>
          <w:rFonts w:ascii="Arial" w:cs="Arial" w:eastAsia="Arial" w:hAnsi="Arial"/>
          <w:i/>
          <w:iCs/>
          <w:color w:val="6B6660"/>
          <w:sz w:val="18"/>
          <w:szCs w:val="18"/>
        </w:rPr>
        <w:t xml:space="preserve">BT Partners (2025). Sage Intacct pricing and features for nonprofits. https://www.btpartners.com/technology-blogs/</w:t>
      </w:r>
    </w:p>
    <w:p>
      <w:pPr>
        <w:pStyle w:val="ListParagraph"/>
        <w:numPr>
          <w:ilvl w:val="0"/>
          <w:numId w:val="2"/>
        </w:numPr>
        <w:spacing w:after="60" w:before="30" w:line="280"/>
      </w:pPr>
      <w:r>
        <w:rPr>
          <w:rFonts w:ascii="Arial" w:cs="Arial" w:eastAsia="Arial" w:hAnsi="Arial"/>
          <w:i/>
          <w:iCs/>
          <w:color w:val="6B6660"/>
          <w:sz w:val="18"/>
          <w:szCs w:val="18"/>
        </w:rPr>
        <w:t xml:space="preserve">ERP Research (2025). Sage Intacct Pricing. https://www.erpresearch.com/pricing/sage-intacct</w:t>
      </w:r>
    </w:p>
    <w:p>
      <w:pPr>
        <w:pStyle w:val="ListParagraph"/>
        <w:numPr>
          <w:ilvl w:val="0"/>
          <w:numId w:val="2"/>
        </w:numPr>
        <w:spacing w:after="60" w:before="30" w:line="280"/>
      </w:pPr>
      <w:r>
        <w:rPr>
          <w:rFonts w:ascii="Arial" w:cs="Arial" w:eastAsia="Arial" w:hAnsi="Arial"/>
          <w:i/>
          <w:iCs/>
          <w:color w:val="6B6660"/>
          <w:sz w:val="18"/>
          <w:szCs w:val="18"/>
        </w:rPr>
        <w:t xml:space="preserve">Cargas. Sage Intacct pricing reference.</w:t>
      </w:r>
    </w:p>
    <w:p>
      <w:pPr>
        <w:pStyle w:val="ListParagraph"/>
        <w:numPr>
          <w:ilvl w:val="0"/>
          <w:numId w:val="2"/>
        </w:numPr>
        <w:spacing w:after="60" w:before="30" w:line="280"/>
      </w:pPr>
      <w:r>
        <w:rPr>
          <w:rFonts w:ascii="Arial" w:cs="Arial" w:eastAsia="Arial" w:hAnsi="Arial"/>
          <w:i/>
          <w:iCs/>
          <w:color w:val="6B6660"/>
          <w:sz w:val="18"/>
          <w:szCs w:val="18"/>
        </w:rPr>
        <w:t xml:space="preserve">Odoo (2024). Odoo Experience 2024 — Utilizing Odoo for NGOs.</w:t>
      </w:r>
    </w:p>
    <w:p>
      <w:pPr>
        <w:pStyle w:val="Heading2"/>
        <w:spacing w:after="140" w:before="280"/>
      </w:pPr>
      <w:r>
        <w:rPr>
          <w:rFonts w:ascii="Arial" w:cs="Arial" w:eastAsia="Arial" w:hAnsi="Arial"/>
          <w:b/>
          <w:bCs/>
          <w:color w:val="7C2D12"/>
          <w:sz w:val="28"/>
          <w:szCs w:val="28"/>
        </w:rPr>
        <w:t xml:space="preserve">Operational transformation services</w:t>
      </w:r>
    </w:p>
    <w:p>
      <w:pPr>
        <w:pStyle w:val="ListParagraph"/>
        <w:numPr>
          <w:ilvl w:val="0"/>
          <w:numId w:val="2"/>
        </w:numPr>
        <w:spacing w:after="60" w:before="30" w:line="280"/>
      </w:pPr>
      <w:r>
        <w:rPr>
          <w:rFonts w:ascii="Arial" w:cs="Arial" w:eastAsia="Arial" w:hAnsi="Arial"/>
          <w:i/>
          <w:iCs/>
          <w:color w:val="6B6660"/>
          <w:sz w:val="18"/>
          <w:szCs w:val="18"/>
        </w:rPr>
        <w:t xml:space="preserve">Consultancy.africa. Consulting Industry fees and rates reference.</w:t>
      </w:r>
    </w:p>
    <w:p>
      <w:pPr>
        <w:pStyle w:val="ListParagraph"/>
        <w:numPr>
          <w:ilvl w:val="0"/>
          <w:numId w:val="2"/>
        </w:numPr>
        <w:spacing w:after="60" w:before="30" w:line="280"/>
      </w:pPr>
      <w:r>
        <w:rPr>
          <w:rFonts w:ascii="Arial" w:cs="Arial" w:eastAsia="Arial" w:hAnsi="Arial"/>
          <w:i/>
          <w:iCs/>
          <w:color w:val="6B6660"/>
          <w:sz w:val="18"/>
          <w:szCs w:val="18"/>
        </w:rPr>
        <w:t xml:space="preserve">Impact Consulting Hub (2025). Fees, fees, fees — consultant charging benchmarks.</w:t>
      </w:r>
    </w:p>
    <w:p>
      <w:pPr>
        <w:pStyle w:val="ListParagraph"/>
        <w:numPr>
          <w:ilvl w:val="0"/>
          <w:numId w:val="2"/>
        </w:numPr>
        <w:spacing w:after="60" w:before="30" w:line="280"/>
      </w:pPr>
      <w:r>
        <w:rPr>
          <w:rFonts w:ascii="Arial" w:cs="Arial" w:eastAsia="Arial" w:hAnsi="Arial"/>
          <w:i/>
          <w:iCs/>
          <w:color w:val="6B6660"/>
          <w:sz w:val="18"/>
          <w:szCs w:val="18"/>
        </w:rPr>
        <w:t xml:space="preserve">Humentum. NGO Consulting services overview. https://humentum.org/</w:t>
      </w:r>
    </w:p>
    <w:p>
      <w:pPr>
        <w:pStyle w:val="Heading2"/>
        <w:spacing w:after="140" w:before="280"/>
      </w:pPr>
      <w:r>
        <w:rPr>
          <w:rFonts w:ascii="Arial" w:cs="Arial" w:eastAsia="Arial" w:hAnsi="Arial"/>
          <w:b/>
          <w:bCs/>
          <w:color w:val="7C2D12"/>
          <w:sz w:val="28"/>
          <w:szCs w:val="28"/>
        </w:rPr>
        <w:t xml:space="preserve">AI in nonprofits and grantmakers</w:t>
      </w:r>
    </w:p>
    <w:p>
      <w:pPr>
        <w:pStyle w:val="ListParagraph"/>
        <w:numPr>
          <w:ilvl w:val="0"/>
          <w:numId w:val="2"/>
        </w:numPr>
        <w:spacing w:after="60" w:before="30" w:line="280"/>
      </w:pPr>
      <w:r>
        <w:rPr>
          <w:rFonts w:ascii="Arial" w:cs="Arial" w:eastAsia="Arial" w:hAnsi="Arial"/>
          <w:i/>
          <w:iCs/>
          <w:color w:val="6B6660"/>
          <w:sz w:val="18"/>
          <w:szCs w:val="18"/>
        </w:rPr>
        <w:t xml:space="preserve">Virtuous + Fundraising.AI (2026). Nonprofit AI Adoption Report.</w:t>
      </w:r>
    </w:p>
    <w:p>
      <w:pPr>
        <w:pStyle w:val="ListParagraph"/>
        <w:numPr>
          <w:ilvl w:val="0"/>
          <w:numId w:val="2"/>
        </w:numPr>
        <w:spacing w:after="60" w:before="30" w:line="280"/>
      </w:pPr>
      <w:r>
        <w:rPr>
          <w:rFonts w:ascii="Arial" w:cs="Arial" w:eastAsia="Arial" w:hAnsi="Arial"/>
          <w:i/>
          <w:iCs/>
          <w:color w:val="6B6660"/>
          <w:sz w:val="18"/>
          <w:szCs w:val="18"/>
        </w:rPr>
        <w:t xml:space="preserve">NonProfit PRO (2026). Nonprofit AI Adoption Hits 92% but Only 7% See Major Impact.</w:t>
      </w:r>
    </w:p>
    <w:p>
      <w:pPr>
        <w:pStyle w:val="ListParagraph"/>
        <w:numPr>
          <w:ilvl w:val="0"/>
          <w:numId w:val="2"/>
        </w:numPr>
        <w:spacing w:after="60" w:before="30" w:line="280"/>
      </w:pPr>
      <w:r>
        <w:rPr>
          <w:rFonts w:ascii="Arial" w:cs="Arial" w:eastAsia="Arial" w:hAnsi="Arial"/>
          <w:i/>
          <w:iCs/>
          <w:color w:val="6B6660"/>
          <w:sz w:val="18"/>
          <w:szCs w:val="18"/>
        </w:rPr>
        <w:t xml:space="preserve">BDO USA (2024). Nonprofit Standards Benchmarking Survey.</w:t>
      </w:r>
    </w:p>
    <w:p>
      <w:pPr>
        <w:pStyle w:val="ListParagraph"/>
        <w:numPr>
          <w:ilvl w:val="0"/>
          <w:numId w:val="2"/>
        </w:numPr>
        <w:spacing w:after="60" w:before="30" w:line="280"/>
      </w:pPr>
      <w:r>
        <w:rPr>
          <w:rFonts w:ascii="Arial" w:cs="Arial" w:eastAsia="Arial" w:hAnsi="Arial"/>
          <w:i/>
          <w:iCs/>
          <w:color w:val="6B6660"/>
          <w:sz w:val="18"/>
          <w:szCs w:val="18"/>
        </w:rPr>
        <w:t xml:space="preserve">TechSoup + Tapp Network (2025). State of AI in Nonprofits. https://page.techsoup.org/ai-benchmark-report-2025</w:t>
      </w:r>
    </w:p>
    <w:p>
      <w:pPr>
        <w:pStyle w:val="ListParagraph"/>
        <w:numPr>
          <w:ilvl w:val="0"/>
          <w:numId w:val="2"/>
        </w:numPr>
        <w:spacing w:after="60" w:before="30" w:line="280"/>
      </w:pPr>
      <w:r>
        <w:rPr>
          <w:rFonts w:ascii="Arial" w:cs="Arial" w:eastAsia="Arial" w:hAnsi="Arial"/>
          <w:i/>
          <w:iCs/>
          <w:color w:val="6B6660"/>
          <w:sz w:val="18"/>
          <w:szCs w:val="18"/>
        </w:rPr>
        <w:t xml:space="preserve">GivingTuesday (2024). AI Readiness Survey.</w:t>
      </w:r>
    </w:p>
    <w:p>
      <w:pPr>
        <w:pStyle w:val="ListParagraph"/>
        <w:numPr>
          <w:ilvl w:val="0"/>
          <w:numId w:val="2"/>
        </w:numPr>
        <w:spacing w:after="60" w:before="30" w:line="280"/>
      </w:pPr>
      <w:r>
        <w:rPr>
          <w:rFonts w:ascii="Arial" w:cs="Arial" w:eastAsia="Arial" w:hAnsi="Arial"/>
          <w:i/>
          <w:iCs/>
          <w:color w:val="6B6660"/>
          <w:sz w:val="18"/>
          <w:szCs w:val="18"/>
        </w:rPr>
        <w:t xml:space="preserve">Candid (2024). Funders' insights on AI-generated grant application proposals.</w:t>
      </w:r>
    </w:p>
    <w:p>
      <w:pPr>
        <w:pStyle w:val="ListParagraph"/>
        <w:numPr>
          <w:ilvl w:val="0"/>
          <w:numId w:val="2"/>
        </w:numPr>
        <w:spacing w:after="60" w:before="30" w:line="280"/>
      </w:pPr>
      <w:r>
        <w:rPr>
          <w:rFonts w:ascii="Arial" w:cs="Arial" w:eastAsia="Arial" w:hAnsi="Arial"/>
          <w:i/>
          <w:iCs/>
          <w:color w:val="6B6660"/>
          <w:sz w:val="18"/>
          <w:szCs w:val="18"/>
        </w:rPr>
        <w:t xml:space="preserve">Salesforce (March 2025). New AI tools for nonprofits — Einstein 1 Platform.</w:t>
      </w:r>
    </w:p>
    <w:p>
      <w:pPr>
        <w:pStyle w:val="ListParagraph"/>
        <w:numPr>
          <w:ilvl w:val="0"/>
          <w:numId w:val="2"/>
        </w:numPr>
        <w:spacing w:after="60" w:before="30" w:line="280"/>
      </w:pPr>
      <w:r>
        <w:rPr>
          <w:rFonts w:ascii="Arial" w:cs="Arial" w:eastAsia="Arial" w:hAnsi="Arial"/>
          <w:i/>
          <w:iCs/>
          <w:color w:val="6B6660"/>
          <w:sz w:val="18"/>
          <w:szCs w:val="18"/>
        </w:rPr>
        <w:t xml:space="preserve">Microsoft Source (January 2025). $5M AI for Good Open Call Grant Program announcement.</w:t>
      </w:r>
    </w:p>
    <w:p>
      <w:pPr>
        <w:pStyle w:val="ListParagraph"/>
        <w:numPr>
          <w:ilvl w:val="0"/>
          <w:numId w:val="2"/>
        </w:numPr>
        <w:spacing w:after="60" w:before="30" w:line="280"/>
      </w:pPr>
      <w:r>
        <w:rPr>
          <w:rFonts w:ascii="Arial" w:cs="Arial" w:eastAsia="Arial" w:hAnsi="Arial"/>
          <w:i/>
          <w:iCs/>
          <w:color w:val="6B6660"/>
          <w:sz w:val="18"/>
          <w:szCs w:val="18"/>
        </w:rPr>
        <w:t xml:space="preserve">Submittable (2025). The truth about AI in grant management software.</w:t>
      </w:r>
    </w:p>
    <w:p>
      <w:pPr>
        <w:pStyle w:val="ListParagraph"/>
        <w:numPr>
          <w:ilvl w:val="0"/>
          <w:numId w:val="2"/>
        </w:numPr>
        <w:spacing w:after="60" w:before="30" w:line="280"/>
      </w:pPr>
      <w:r>
        <w:rPr>
          <w:rFonts w:ascii="Arial" w:cs="Arial" w:eastAsia="Arial" w:hAnsi="Arial"/>
          <w:i/>
          <w:iCs/>
          <w:color w:val="6B6660"/>
          <w:sz w:val="18"/>
          <w:szCs w:val="18"/>
        </w:rPr>
        <w:t xml:space="preserve">Gates Foundation. AI Principles for Development. https://www.gatesfoundation.org/ideas/articles/</w:t>
      </w:r>
    </w:p>
    <w:p>
      <w:pPr>
        <w:pStyle w:val="ListParagraph"/>
        <w:numPr>
          <w:ilvl w:val="0"/>
          <w:numId w:val="2"/>
        </w:numPr>
        <w:spacing w:after="60" w:before="30" w:line="280"/>
      </w:pPr>
      <w:r>
        <w:rPr>
          <w:rFonts w:ascii="Arial" w:cs="Arial" w:eastAsia="Arial" w:hAnsi="Arial"/>
          <w:i/>
          <w:iCs/>
          <w:color w:val="6B6660"/>
          <w:sz w:val="18"/>
          <w:szCs w:val="18"/>
        </w:rPr>
        <w:t xml:space="preserve">Gates Foundation (2026). Anthropic partnership announcement.</w:t>
      </w:r>
    </w:p>
    <w:p>
      <w:pPr>
        <w:pStyle w:val="ListParagraph"/>
        <w:numPr>
          <w:ilvl w:val="0"/>
          <w:numId w:val="2"/>
        </w:numPr>
        <w:spacing w:after="60" w:before="30" w:line="280"/>
      </w:pPr>
      <w:r>
        <w:rPr>
          <w:rFonts w:ascii="Arial" w:cs="Arial" w:eastAsia="Arial" w:hAnsi="Arial"/>
          <w:i/>
          <w:iCs/>
          <w:color w:val="6B6660"/>
          <w:sz w:val="18"/>
          <w:szCs w:val="18"/>
        </w:rPr>
        <w:t xml:space="preserve">Ford Foundation (October 2025). Humanity AI initiative announcement ($500M / 5 years).</w:t>
      </w:r>
    </w:p>
    <w:p>
      <w:pPr>
        <w:pStyle w:val="ListParagraph"/>
        <w:numPr>
          <w:ilvl w:val="0"/>
          <w:numId w:val="2"/>
        </w:numPr>
        <w:spacing w:after="60" w:before="30" w:line="280"/>
      </w:pPr>
      <w:r>
        <w:rPr>
          <w:rFonts w:ascii="Arial" w:cs="Arial" w:eastAsia="Arial" w:hAnsi="Arial"/>
          <w:i/>
          <w:iCs/>
          <w:color w:val="6B6660"/>
          <w:sz w:val="18"/>
          <w:szCs w:val="18"/>
        </w:rPr>
        <w:t xml:space="preserve">OCHA (April 2024). Briefing Note: Artificial Intelligence and the Humanitarian Sector.</w:t>
      </w:r>
    </w:p>
    <w:p>
      <w:pPr>
        <w:pStyle w:val="ListParagraph"/>
        <w:numPr>
          <w:ilvl w:val="0"/>
          <w:numId w:val="2"/>
        </w:numPr>
        <w:spacing w:after="60" w:before="30" w:line="280"/>
      </w:pPr>
      <w:r>
        <w:rPr>
          <w:rFonts w:ascii="Arial" w:cs="Arial" w:eastAsia="Arial" w:hAnsi="Arial"/>
          <w:i/>
          <w:iCs/>
          <w:color w:val="6B6660"/>
          <w:sz w:val="18"/>
          <w:szCs w:val="18"/>
        </w:rPr>
        <w:t xml:space="preserve">ICRC. Humanitarian principles and ethical considerations of AI in humanitarian action.</w:t>
      </w:r>
    </w:p>
    <w:p>
      <w:pPr>
        <w:pStyle w:val="Heading2"/>
        <w:spacing w:after="140" w:before="280"/>
      </w:pPr>
      <w:r>
        <w:rPr>
          <w:rFonts w:ascii="Arial" w:cs="Arial" w:eastAsia="Arial" w:hAnsi="Arial"/>
          <w:b/>
          <w:bCs/>
          <w:color w:val="7C2D12"/>
          <w:sz w:val="28"/>
          <w:szCs w:val="28"/>
        </w:rPr>
        <w:t xml:space="preserve">Multilingual AI and bias</w:t>
      </w:r>
    </w:p>
    <w:p>
      <w:pPr>
        <w:pStyle w:val="ListParagraph"/>
        <w:numPr>
          <w:ilvl w:val="0"/>
          <w:numId w:val="2"/>
        </w:numPr>
        <w:spacing w:after="60" w:before="30" w:line="280"/>
      </w:pPr>
      <w:r>
        <w:rPr>
          <w:rFonts w:ascii="Arial" w:cs="Arial" w:eastAsia="Arial" w:hAnsi="Arial"/>
          <w:i/>
          <w:iCs/>
          <w:color w:val="6B6660"/>
          <w:sz w:val="18"/>
          <w:szCs w:val="18"/>
        </w:rPr>
        <w:t xml:space="preserve">Where Are We? Evaluating LLM Performance on African Languages. arXiv:2502.19582 (2025).</w:t>
      </w:r>
    </w:p>
    <w:p>
      <w:pPr>
        <w:pStyle w:val="ListParagraph"/>
        <w:numPr>
          <w:ilvl w:val="0"/>
          <w:numId w:val="2"/>
        </w:numPr>
        <w:spacing w:after="60" w:before="30" w:line="280"/>
      </w:pPr>
      <w:r>
        <w:rPr>
          <w:rFonts w:ascii="Arial" w:cs="Arial" w:eastAsia="Arial" w:hAnsi="Arial"/>
          <w:i/>
          <w:iCs/>
          <w:color w:val="6B6660"/>
          <w:sz w:val="18"/>
          <w:szCs w:val="18"/>
        </w:rPr>
        <w:t xml:space="preserve">Benchmarking ASR Models for African Languages. arXiv:2512.10968.</w:t>
      </w:r>
    </w:p>
    <w:p>
      <w:pPr>
        <w:pStyle w:val="ListParagraph"/>
        <w:numPr>
          <w:ilvl w:val="0"/>
          <w:numId w:val="2"/>
        </w:numPr>
        <w:spacing w:after="60" w:before="30" w:line="280"/>
      </w:pPr>
      <w:r>
        <w:rPr>
          <w:rFonts w:ascii="Arial" w:cs="Arial" w:eastAsia="Arial" w:hAnsi="Arial"/>
          <w:i/>
          <w:iCs/>
          <w:color w:val="6B6660"/>
          <w:sz w:val="18"/>
          <w:szCs w:val="18"/>
        </w:rPr>
        <w:t xml:space="preserve">Invisible Filters: Bias in LLM-based scoring. AIES 2025.</w:t>
      </w:r>
    </w:p>
    <w:p>
      <w:pPr>
        <w:pStyle w:val="ListParagraph"/>
        <w:numPr>
          <w:ilvl w:val="0"/>
          <w:numId w:val="2"/>
        </w:numPr>
        <w:spacing w:after="60" w:before="30" w:line="280"/>
      </w:pPr>
      <w:r>
        <w:rPr>
          <w:rFonts w:ascii="Arial" w:cs="Arial" w:eastAsia="Arial" w:hAnsi="Arial"/>
          <w:i/>
          <w:iCs/>
          <w:color w:val="6B6660"/>
          <w:sz w:val="18"/>
          <w:szCs w:val="18"/>
        </w:rPr>
        <w:t xml:space="preserve">Entity-based bias audit. arXiv:2601.12374.</w:t>
      </w:r>
    </w:p>
    <w:p>
      <w:pPr>
        <w:pStyle w:val="Heading2"/>
        <w:spacing w:after="140" w:before="280"/>
      </w:pPr>
      <w:r>
        <w:rPr>
          <w:rFonts w:ascii="Arial" w:cs="Arial" w:eastAsia="Arial" w:hAnsi="Arial"/>
          <w:b/>
          <w:bCs/>
          <w:color w:val="7C2D12"/>
          <w:sz w:val="28"/>
          <w:szCs w:val="28"/>
        </w:rPr>
        <w:t xml:space="preserve">Marketplaces</w:t>
      </w:r>
    </w:p>
    <w:p>
      <w:pPr>
        <w:pStyle w:val="ListParagraph"/>
        <w:numPr>
          <w:ilvl w:val="0"/>
          <w:numId w:val="2"/>
        </w:numPr>
        <w:spacing w:after="60" w:before="30" w:line="280"/>
      </w:pPr>
      <w:r>
        <w:rPr>
          <w:rFonts w:ascii="Arial" w:cs="Arial" w:eastAsia="Arial" w:hAnsi="Arial"/>
          <w:i/>
          <w:iCs/>
          <w:color w:val="6B6660"/>
          <w:sz w:val="18"/>
          <w:szCs w:val="18"/>
        </w:rPr>
        <w:t xml:space="preserve">GlobalGiving (2025). GlobalGiving fees support article. https://support.globalgiving.org/</w:t>
      </w:r>
    </w:p>
    <w:p>
      <w:pPr>
        <w:pStyle w:val="ListParagraph"/>
        <w:numPr>
          <w:ilvl w:val="0"/>
          <w:numId w:val="2"/>
        </w:numPr>
        <w:spacing w:after="60" w:before="30" w:line="280"/>
      </w:pPr>
      <w:r>
        <w:rPr>
          <w:rFonts w:ascii="Arial" w:cs="Arial" w:eastAsia="Arial" w:hAnsi="Arial"/>
          <w:i/>
          <w:iCs/>
          <w:color w:val="6B6660"/>
          <w:sz w:val="18"/>
          <w:szCs w:val="18"/>
        </w:rPr>
        <w:t xml:space="preserve">Candid Foundation Directory pricing. https://candid.org/</w:t>
      </w:r>
    </w:p>
    <w:p>
      <w:pPr>
        <w:pStyle w:val="ListParagraph"/>
        <w:numPr>
          <w:ilvl w:val="0"/>
          <w:numId w:val="2"/>
        </w:numPr>
        <w:spacing w:after="60" w:before="30" w:line="280"/>
      </w:pPr>
      <w:r>
        <w:rPr>
          <w:rFonts w:ascii="Arial" w:cs="Arial" w:eastAsia="Arial" w:hAnsi="Arial"/>
          <w:i/>
          <w:iCs/>
          <w:color w:val="6B6660"/>
          <w:sz w:val="18"/>
          <w:szCs w:val="18"/>
        </w:rPr>
        <w:t xml:space="preserve">Bond (UK). About membership network. https://www.bond.org.uk/</w:t>
      </w:r>
    </w:p>
    <w:p>
      <w:pPr>
        <w:pStyle w:val="ListParagraph"/>
        <w:numPr>
          <w:ilvl w:val="0"/>
          <w:numId w:val="2"/>
        </w:numPr>
        <w:spacing w:after="60" w:before="30" w:line="280"/>
      </w:pPr>
      <w:r>
        <w:rPr>
          <w:rFonts w:ascii="Arial" w:cs="Arial" w:eastAsia="Arial" w:hAnsi="Arial"/>
          <w:i/>
          <w:iCs/>
          <w:color w:val="6B6660"/>
          <w:sz w:val="18"/>
          <w:szCs w:val="18"/>
        </w:rPr>
        <w:t xml:space="preserve">InterAction. Member directory. https://www.interaction.org/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6B6660"/>
        <w:sz w:val="18"/>
        <w:szCs w:val="18"/>
      </w:rPr>
      <w:t xml:space="preserve">Confidential</w:t>
    </w:r>
    <w:r>
      <w:rPr>
        <w:rFonts w:ascii="Arial" w:cs="Arial" w:eastAsia="Arial" w:hAnsi="Arial"/>
        <w:color w:val="6B6660"/>
        <w:sz w:val="18"/>
        <w:szCs w:val="18"/>
      </w:rPr>
      <w:t xml:space="preserve">	Page </w:t>
    </w:r>
    <w:r>
      <w:rPr>
        <w:rFonts w:ascii="Arial" w:cs="Arial" w:eastAsia="Arial" w:hAnsi="Arial"/>
        <w:color w:val="6B66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B6660"/>
        <w:sz w:val="18"/>
        <w:szCs w:val="18"/>
      </w:rPr>
      <w:t xml:space="preserve">KUJA · Business Strategy 2026–2028</w:t>
    </w:r>
    <w:r>
      <w:rPr>
        <w:rFonts w:ascii="Arial" w:cs="Arial" w:eastAsia="Arial" w:hAnsi="Arial"/>
        <w:color w:val="6B6660"/>
        <w:sz w:val="18"/>
        <w:szCs w:val="18"/>
      </w:rPr>
      <w:t xml:space="preserve">	V3.6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2410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2D12"/>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2026-06-18T19:57:46.431Z</dcterms:created>
  <dcterms:modified xsi:type="dcterms:W3CDTF">2026-06-18T19:57:46.435Z</dcterms:modified>
</cp:coreProperties>
</file>

<file path=docProps/custom.xml><?xml version="1.0" encoding="utf-8"?>
<Properties xmlns="http://schemas.openxmlformats.org/officeDocument/2006/custom-properties" xmlns:vt="http://schemas.openxmlformats.org/officeDocument/2006/docPropsVTypes"/>
</file>