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C2410C"/>
          <w:sz w:val="72"/>
          <w:szCs w:val="72"/>
        </w:rPr>
        <w:t xml:space="preserve">KUJA ELEVATE</w:t>
      </w:r>
    </w:p>
    <w:p>
      <w:pPr>
        <w:spacing w:after="0" w:before="80"/>
      </w:pPr>
      <w:r>
        <w:rPr>
          <w:rFonts w:ascii="Arial" w:cs="Arial" w:eastAsia="Arial" w:hAnsi="Arial"/>
          <w:b/>
          <w:bCs/>
          <w:color w:val="1A1410"/>
          <w:sz w:val="56"/>
          <w:szCs w:val="56"/>
        </w:rPr>
        <w:t xml:space="preserve">Market Analysis</w:t>
      </w:r>
    </w:p>
    <w:p>
      <w:pPr>
        <w:spacing w:after="0" w:before="200"/>
      </w:pPr>
      <w:r>
        <w:rPr>
          <w:rFonts w:ascii="Arial" w:cs="Arial" w:eastAsia="Arial" w:hAnsi="Arial"/>
          <w:i/>
          <w:iCs/>
          <w:color w:val="7C2D12"/>
          <w:sz w:val="32"/>
          <w:szCs w:val="32"/>
        </w:rPr>
        <w:t xml:space="preserve">The operating system for mid-size NGOs</w:t>
      </w:r>
    </w:p>
    <w:p>
      <w:pPr>
        <w:spacing w:after="0" w:before="80"/>
      </w:pPr>
      <w:r>
        <w:rPr>
          <w:rFonts w:ascii="Arial" w:cs="Arial" w:eastAsia="Arial" w:hAnsi="Arial"/>
          <w:i/>
          <w:iCs/>
          <w:color w:val="6B6660"/>
          <w:sz w:val="24"/>
          <w:szCs w:val="24"/>
        </w:rPr>
        <w:t xml:space="preserve">Platform + Advisory · AI-native · Global South-built</w:t>
      </w:r>
    </w:p>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One platform replacing six to ten point-tool SaaS products.</w:t>
            </w:r>
          </w:p>
          <w:p>
            <w:pPr>
              <w:spacing w:before="80"/>
            </w:pPr>
            <w:r>
              <w:rPr>
                <w:rFonts w:ascii="Arial" w:cs="Arial" w:eastAsia="Arial" w:hAnsi="Arial"/>
                <w:color w:val="1A1410"/>
                <w:sz w:val="22"/>
                <w:szCs w:val="22"/>
              </w:rPr>
              <w:t xml:space="preserve">Stitched-stack TCO for a mid-size NGO: roughly $130K/year + $55K Year-1 implementation. Kuja Elevate Standard tier: $30K–$60K/year, integrated, AI-native, Global South-localized.</w:t>
            </w:r>
          </w:p>
        </w:tc>
      </w:tr>
    </w:tbl>
    <w:p>
      <w:pPr>
        <w:spacing w:after="0" w:before="800"/>
      </w:pPr>
      <w:r>
        <w:t xml:space="preserve"/>
      </w:r>
    </w:p>
    <w:p>
      <w:pPr>
        <w:spacing w:after="0" w:before="200"/>
      </w:pPr>
      <w:r>
        <w:rPr>
          <w:rFonts w:ascii="Arial" w:cs="Arial" w:eastAsia="Arial" w:hAnsi="Arial"/>
          <w:b/>
          <w:bCs/>
          <w:color w:val="6B6660"/>
          <w:sz w:val="22"/>
          <w:szCs w:val="22"/>
        </w:rPr>
        <w:t xml:space="preserve">June 2026 · Companion to Business Strategy V3.6, Grant Market Analysis, and Strategy Cohesion Brief</w:t>
      </w:r>
    </w:p>
    <w:p>
      <w:pPr>
        <w:spacing w:after="0" w:before="80"/>
      </w:pPr>
      <w:r>
        <w:rPr>
          <w:rFonts w:ascii="Arial" w:cs="Arial" w:eastAsia="Arial" w:hAnsi="Arial"/>
          <w:color w:val="6B6660"/>
          <w:sz w:val="22"/>
          <w:szCs w:val="22"/>
        </w:rPr>
        <w:t xml:space="preserve">Adeso · Nairobi, Kenya · kuja@adeso.org</w:t>
      </w:r>
    </w:p>
    <w:p>
      <w:pPr>
        <w:spacing w:after="0" w:before="40"/>
      </w:pPr>
      <w:r>
        <w:rPr>
          <w:rFonts w:ascii="Arial" w:cs="Arial" w:eastAsia="Arial" w:hAnsi="Arial"/>
          <w:i/>
          <w:iCs/>
          <w:color w:val="6B6660"/>
          <w:sz w:val="20"/>
          <w:szCs w:val="20"/>
        </w:rPr>
        <w:t xml:space="preserve">Confidential — for partner foundations, donors, and internal Kuja leadership</w:t>
      </w:r>
    </w:p>
    <w:p>
      <w:pPr>
        <w:pStyle w:val="Heading1"/>
        <w:pageBreakBefore/>
        <w:spacing w:after="200" w:before="320"/>
      </w:pPr>
      <w:r>
        <w:rPr>
          <w:rFonts w:ascii="Arial" w:cs="Arial" w:eastAsia="Arial" w:hAnsi="Arial"/>
          <w:b/>
          <w:bCs/>
          <w:color w:val="C2410C"/>
          <w:sz w:val="36"/>
          <w:szCs w:val="36"/>
        </w:rPr>
        <w:t xml:space="preserve">1. Executive Summary</w:t>
      </w:r>
    </w:p>
    <w:p>
      <w:pPr>
        <w:spacing w:after="80" w:before="60" w:line="300"/>
        <w:jc w:val="left"/>
      </w:pPr>
      <w:r>
        <w:rPr>
          <w:rFonts w:ascii="Arial" w:cs="Arial" w:eastAsia="Arial" w:hAnsi="Arial"/>
          <w:color w:val="1A1410"/>
          <w:sz w:val="22"/>
          <w:szCs w:val="22"/>
        </w:rPr>
        <w:t xml:space="preserve">Kuja Elevate is the operating backbone for mid-size NGOs — one AI-native platform that replaces six to ten point-tool SaaS products currently stitched together at significant cost and zero integration. It is sold in three configurations: the Platform (SaaS subscription), Advisory (optional services engagement to onboard the NGO), and the Bundle (Platform + Advisory together).</w:t>
      </w:r>
    </w:p>
    <w:p>
      <w:pPr>
        <w:spacing w:after="80" w:before="60" w:line="300"/>
        <w:jc w:val="left"/>
      </w:pPr>
      <w:r>
        <w:rPr>
          <w:rFonts w:ascii="Arial" w:cs="Arial" w:eastAsia="Arial" w:hAnsi="Arial"/>
          <w:color w:val="1A1410"/>
          <w:sz w:val="22"/>
          <w:szCs w:val="22"/>
        </w:rPr>
        <w:t xml:space="preserve">The market opportunity is large, specific, and currently un-met by a single integrated product:</w:t>
      </w:r>
    </w:p>
    <w:p>
      <w:pPr>
        <w:pStyle w:val="ListParagraph"/>
        <w:numPr>
          <w:ilvl w:val="0"/>
          <w:numId w:val="2"/>
        </w:numPr>
        <w:spacing w:after="60" w:before="30" w:line="280"/>
      </w:pPr>
      <w:r>
        <w:rPr>
          <w:rFonts w:ascii="Arial" w:cs="Arial" w:eastAsia="Arial" w:hAnsi="Arial"/>
          <w:b/>
          <w:bCs/>
          <w:color w:val="1A1410"/>
          <w:sz w:val="22"/>
          <w:szCs w:val="22"/>
        </w:rPr>
        <w:t xml:space="preserve">150,000–300,000 mid-size NGOs globally </w:t>
      </w:r>
      <w:r>
        <w:rPr>
          <w:rFonts w:ascii="Arial" w:cs="Arial" w:eastAsia="Arial" w:hAnsi="Arial"/>
          <w:color w:val="1A1410"/>
          <w:sz w:val="22"/>
          <w:szCs w:val="22"/>
        </w:rPr>
        <w:t xml:space="preserve">have annual revenue in the $1M–$50M band — including roughly 478,000 US nonprofits filing Form 990 (Candid), 897,054 Brazilian CSOs (IPEA Mapa das OSCs, 2024), and 187,395 India-registered NGOs (NGO Darpan, 2023). A defensible mid-size band is 150K–300K organizations globally, concentrated in the US, India, Brazil, Kenya, and Indonesia.</w:t>
      </w:r>
    </w:p>
    <w:p>
      <w:pPr>
        <w:pStyle w:val="ListParagraph"/>
        <w:numPr>
          <w:ilvl w:val="0"/>
          <w:numId w:val="2"/>
        </w:numPr>
        <w:spacing w:after="60" w:before="30" w:line="280"/>
      </w:pPr>
      <w:r>
        <w:rPr>
          <w:rFonts w:ascii="Arial" w:cs="Arial" w:eastAsia="Arial" w:hAnsi="Arial"/>
          <w:b/>
          <w:bCs/>
          <w:color w:val="1A1410"/>
          <w:sz w:val="22"/>
          <w:szCs w:val="22"/>
        </w:rPr>
        <w:t xml:space="preserve">Nonprofits underspend on technology. </w:t>
      </w:r>
      <w:r>
        <w:rPr>
          <w:rFonts w:ascii="Arial" w:cs="Arial" w:eastAsia="Arial" w:hAnsi="Arial"/>
          <w:color w:val="1A1410"/>
          <w:sz w:val="22"/>
          <w:szCs w:val="22"/>
        </w:rPr>
        <w:t xml:space="preserve">Less than 3% of operating budget on tech is the typical nonprofit benchmark; only 13% spend more than 5%. For-profits average 5.85%. 45% of nonprofits say they are not spending enough on tech, and 77% cite budget as the primary barrier (NTEN 2024 Nonprofit Digital Investments Report).</w:t>
      </w:r>
    </w:p>
    <w:p>
      <w:pPr>
        <w:pStyle w:val="ListParagraph"/>
        <w:numPr>
          <w:ilvl w:val="0"/>
          <w:numId w:val="2"/>
        </w:numPr>
        <w:spacing w:after="60" w:before="30" w:line="280"/>
      </w:pPr>
      <w:r>
        <w:rPr>
          <w:rFonts w:ascii="Arial" w:cs="Arial" w:eastAsia="Arial" w:hAnsi="Arial"/>
          <w:b/>
          <w:bCs/>
          <w:color w:val="1A1410"/>
          <w:sz w:val="22"/>
          <w:szCs w:val="22"/>
        </w:rPr>
        <w:t xml:space="preserve">Tool sprawl is the dominant operational complaint. </w:t>
      </w:r>
      <w:r>
        <w:rPr>
          <w:rFonts w:ascii="Arial" w:cs="Arial" w:eastAsia="Arial" w:hAnsi="Arial"/>
          <w:color w:val="1A1410"/>
          <w:sz w:val="22"/>
          <w:szCs w:val="22"/>
        </w:rPr>
        <w:t xml:space="preserve">Sector consensus across 2024–2025 is that nonprofits accumulated SaaS tools post-pandemic and now spend "more time managing technology than using it" (NonProfit PRO 2026 trends review). The swing back to integrated platforms is underway. Kuja Elevate is purpose-built for this swing.</w:t>
      </w:r>
    </w:p>
    <w:p>
      <w:pPr>
        <w:pStyle w:val="ListParagraph"/>
        <w:numPr>
          <w:ilvl w:val="0"/>
          <w:numId w:val="2"/>
        </w:numPr>
        <w:spacing w:after="60" w:before="30" w:line="280"/>
      </w:pPr>
      <w:r>
        <w:rPr>
          <w:rFonts w:ascii="Arial" w:cs="Arial" w:eastAsia="Arial" w:hAnsi="Arial"/>
          <w:b/>
          <w:bCs/>
          <w:color w:val="1A1410"/>
          <w:sz w:val="22"/>
          <w:szCs w:val="22"/>
        </w:rPr>
        <w:t xml:space="preserve">Stitched-stack TCO is verifiable at ~$130K/year subscription + ~$55K Year-1 implementation. </w:t>
      </w:r>
      <w:r>
        <w:rPr>
          <w:rFonts w:ascii="Arial" w:cs="Arial" w:eastAsia="Arial" w:hAnsi="Arial"/>
          <w:color w:val="1A1410"/>
          <w:sz w:val="22"/>
          <w:szCs w:val="22"/>
        </w:rPr>
        <w:t xml:space="preserve">Reasonable mid-tier picks one tool per category (Salesforce NPC + LinkSquares CLM + BoardEffect + ClearPoint Strategy + Onspring + Asana Advanced) total $129K annual subscription. Year 1 implementation adds ~$55K. Real TCO including escalators, middleware, and admin FTE is closer to $220K–$250K Year 1. Sources for each line item verified in Section 5.</w:t>
      </w:r>
    </w:p>
    <w:p>
      <w:pPr>
        <w:pStyle w:val="ListParagraph"/>
        <w:numPr>
          <w:ilvl w:val="0"/>
          <w:numId w:val="2"/>
        </w:numPr>
        <w:spacing w:after="60" w:before="30" w:line="280"/>
      </w:pPr>
      <w:r>
        <w:rPr>
          <w:rFonts w:ascii="Arial" w:cs="Arial" w:eastAsia="Arial" w:hAnsi="Arial"/>
          <w:b/>
          <w:bCs/>
          <w:color w:val="1A1410"/>
          <w:sz w:val="22"/>
          <w:szCs w:val="22"/>
        </w:rPr>
        <w:t xml:space="preserve">Kuja Elevate Standard tier: $30K–$60K/year. </w:t>
      </w:r>
      <w:r>
        <w:rPr>
          <w:rFonts w:ascii="Arial" w:cs="Arial" w:eastAsia="Arial" w:hAnsi="Arial"/>
          <w:color w:val="1A1410"/>
          <w:sz w:val="22"/>
          <w:szCs w:val="22"/>
        </w:rPr>
        <w:t xml:space="preserve">One-third to one-quarter the stitched-stack TCO, with full integration, AI included, six-language platform parity, Global South localization, and donor-compliance regimes encoded. Adeso runs its own operations on this platform today — every claim in the user guide is something we operate.</w:t>
      </w:r>
    </w:p>
    <w:p>
      <w:pPr>
        <w:pStyle w:val="ListParagraph"/>
        <w:numPr>
          <w:ilvl w:val="0"/>
          <w:numId w:val="2"/>
        </w:numPr>
        <w:spacing w:after="60" w:before="30" w:line="280"/>
      </w:pPr>
      <w:r>
        <w:rPr>
          <w:rFonts w:ascii="Arial" w:cs="Arial" w:eastAsia="Arial" w:hAnsi="Arial"/>
          <w:b/>
          <w:bCs/>
          <w:color w:val="1A1410"/>
          <w:sz w:val="22"/>
          <w:szCs w:val="22"/>
        </w:rPr>
        <w:t xml:space="preserve">AI is the architectural moat. </w:t>
      </w:r>
      <w:r>
        <w:rPr>
          <w:rFonts w:ascii="Arial" w:cs="Arial" w:eastAsia="Arial" w:hAnsi="Arial"/>
          <w:color w:val="1A1410"/>
          <w:sz w:val="22"/>
          <w:szCs w:val="22"/>
        </w:rPr>
        <w:t xml:space="preserve">92% of nonprofits report using AI tools, but only 7% report major organizational impact (Virtuous + Fundraising.AI 2026). 80% of nonprofits familiar with AI but 76% have no AI policy and only 4% have AI training budget (Candid AI Equity Project 2025). Incumbent vendors are bolting AI onto rigid data models. Kuja Elevate is AI-native from day one.</w:t>
      </w:r>
    </w:p>
    <w:p>
      <w:pPr>
        <w:spacing w:after="80" w:before="60" w:line="300"/>
        <w:jc w:val="left"/>
      </w:pPr>
      <w:r>
        <w:rPr>
          <w:rFonts w:ascii="Arial" w:cs="Arial" w:eastAsia="Arial" w:hAnsi="Arial"/>
          <w:color w:val="1A1410"/>
          <w:sz w:val="22"/>
          <w:szCs w:val="22"/>
        </w:rPr>
        <w:t xml:space="preserve">This analysis covers (sections 2–14) what the product is, who buys it, the competitive landscape module by module, the integrated stitched-stack TCO, the customer profile pyramid, pricing benchmarks, the Advisory landscape, the go-to-market motion, positioning by persona, risks, and a full bibliography.</w:t>
      </w:r>
    </w:p>
    <w:p>
      <w:pPr>
        <w:pStyle w:val="Heading1"/>
        <w:pageBreakBefore/>
        <w:spacing w:after="200" w:before="320"/>
      </w:pPr>
      <w:r>
        <w:rPr>
          <w:rFonts w:ascii="Arial" w:cs="Arial" w:eastAsia="Arial" w:hAnsi="Arial"/>
          <w:b/>
          <w:bCs/>
          <w:color w:val="C2410C"/>
          <w:sz w:val="36"/>
          <w:szCs w:val="36"/>
        </w:rPr>
        <w:t xml:space="preserve">2. The Product — Platform + Advisory</w:t>
      </w:r>
    </w:p>
    <w:p>
      <w:pPr>
        <w:spacing w:after="80" w:before="60" w:line="300"/>
        <w:jc w:val="left"/>
      </w:pPr>
      <w:r>
        <w:rPr>
          <w:rFonts w:ascii="Arial" w:cs="Arial" w:eastAsia="Arial" w:hAnsi="Arial"/>
          <w:color w:val="1A1410"/>
          <w:sz w:val="22"/>
          <w:szCs w:val="22"/>
        </w:rPr>
        <w:t xml:space="preserve">Kuja Elevate is two products, sold separately or together: the SaaS Platform and the optional Advisory services engagement.</w:t>
      </w:r>
    </w:p>
    <w:p>
      <w:pPr>
        <w:pStyle w:val="Heading2"/>
        <w:spacing w:after="140" w:before="280"/>
      </w:pPr>
      <w:r>
        <w:rPr>
          <w:rFonts w:ascii="Arial" w:cs="Arial" w:eastAsia="Arial" w:hAnsi="Arial"/>
          <w:b/>
          <w:bCs/>
          <w:color w:val="7C2D12"/>
          <w:sz w:val="28"/>
          <w:szCs w:val="28"/>
        </w:rPr>
        <w:t xml:space="preserve">2.1 The Platform — eleven module families</w:t>
      </w:r>
    </w:p>
    <w:p>
      <w:pPr>
        <w:spacing w:after="80" w:before="60" w:line="300"/>
        <w:jc w:val="left"/>
      </w:pPr>
      <w:r>
        <w:rPr>
          <w:rFonts w:ascii="Arial" w:cs="Arial" w:eastAsia="Arial" w:hAnsi="Arial"/>
          <w:color w:val="1A1410"/>
          <w:sz w:val="22"/>
          <w:szCs w:val="22"/>
        </w:rPr>
        <w:t xml:space="preserve">Elevate is structured as eleven integrated module families, each first-class — not bolt-ons to a primary product. Adopt one at a time or all at once. All eleven share one customer record, one audit trail, one AI memory, one role-based permissions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Module</w:t>
            </w:r>
          </w:p>
        </w:tc>
        <w:tc>
          <w:tcPr>
            <w:tcW w:type="dxa" w:w="7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does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Home &amp; Daily Work</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Inbox, Today, Notifications, Calendar, Search across every module. The "what needs me right now?" landing surface.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KPIs &amp; Performance</w:t>
            </w:r>
          </w:p>
        </w:tc>
        <w:tc>
          <w:tcPr>
            <w:tcW w:type="dxa" w:w="7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PMO defines the measurement framework; departments report values; executive sees the rollup. Designed for cross-org coherence.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Initiatives &amp; Projects</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Strategic project management — milestones, status updates, executive reviews. Replaces Asana / Monday / Smartsheet.</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Business Development &amp; Partnerships</w:t>
            </w:r>
          </w:p>
        </w:tc>
        <w:tc>
          <w:tcPr>
            <w:tcW w:type="dxa" w:w="7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Opportunity pipeline, partner CRM, donor relationship data, decision log, win/loss. Replaces Salesforce NPC / HubSpot / Affinity.</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Grants &amp; Compliance</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 agreements, deliverables, deadlines, AI-evaluated reporting, audit-evidence export. NGO grantee side.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Contracts</w:t>
            </w:r>
          </w:p>
        </w:tc>
        <w:tc>
          <w:tcPr>
            <w:tcW w:type="dxa" w:w="7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Vendor + service contract lifecycle. AI clause extraction. Approval routing. Signing. Obligation tracking. Replaces DocuSign CLM / Ironclad / ContractWorks.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SOPs &amp; Policies</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Single source of truth for organizational policies. Acknowledgement tracking. Versioning. Change history. Replaces ConvergePoint / PowerDMS.</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Board &amp; Governance</w:t>
            </w:r>
          </w:p>
        </w:tc>
        <w:tc>
          <w:tcPr>
            <w:tcW w:type="dxa" w:w="7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Board packs, meetings, minutes, resolutions, action items, secure portal. Replaces BoardEffect / OnBoard / Diligent.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Departments &amp; Teams</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Unit-level views of KPIs, initiatives, grants, contracts owned by each department. Clean line-of-sight org-to-individual.</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Executive</w:t>
            </w:r>
          </w:p>
        </w:tc>
        <w:tc>
          <w:tcPr>
            <w:tcW w:type="dxa" w:w="7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Org-wide cross-department rollups with weekly status auto-generation.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Co-pilot</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Cross-cutting throughout — document extraction, data assistant, plain-language compliance flags, knowledge agent, drafting. Not present in incumbent stacks.</w:t>
            </w:r>
          </w:p>
        </w:tc>
      </w:tr>
    </w:tbl>
    <w:p>
      <w:pPr>
        <w:pStyle w:val="Heading2"/>
        <w:spacing w:after="140" w:before="280"/>
      </w:pPr>
      <w:r>
        <w:rPr>
          <w:rFonts w:ascii="Arial" w:cs="Arial" w:eastAsia="Arial" w:hAnsi="Arial"/>
          <w:b/>
          <w:bCs/>
          <w:color w:val="7C2D12"/>
          <w:sz w:val="28"/>
          <w:szCs w:val="28"/>
        </w:rPr>
        <w:t xml:space="preserve">2.2 Advisory — the optional services engagement</w:t>
      </w:r>
    </w:p>
    <w:p>
      <w:pPr>
        <w:spacing w:after="80" w:before="60" w:line="300"/>
        <w:jc w:val="left"/>
      </w:pPr>
      <w:r>
        <w:rPr>
          <w:rFonts w:ascii="Arial" w:cs="Arial" w:eastAsia="Arial" w:hAnsi="Arial"/>
          <w:color w:val="1A1410"/>
          <w:sz w:val="22"/>
          <w:szCs w:val="22"/>
        </w:rPr>
        <w:t xml:space="preserve">Advisory is the engagement that helps an NGO transform from current state (typically: spreadsheets, lost email threads, manual board prep, fragmented donor data) to deployed-and-running on the Platform. Three tiers:</w:t>
      </w:r>
    </w:p>
    <w:p>
      <w:pPr>
        <w:pStyle w:val="ListParagraph"/>
        <w:numPr>
          <w:ilvl w:val="0"/>
          <w:numId w:val="2"/>
        </w:numPr>
        <w:spacing w:after="60" w:before="30" w:line="280"/>
      </w:pPr>
      <w:r>
        <w:rPr>
          <w:rFonts w:ascii="Arial" w:cs="Arial" w:eastAsia="Arial" w:hAnsi="Arial"/>
          <w:b/>
          <w:bCs/>
          <w:color w:val="1A1410"/>
          <w:sz w:val="22"/>
          <w:szCs w:val="22"/>
        </w:rPr>
        <w:t xml:space="preserve">Onboarding ($40K–$60K, 3 months): </w:t>
      </w:r>
      <w:r>
        <w:rPr>
          <w:rFonts w:ascii="Arial" w:cs="Arial" w:eastAsia="Arial" w:hAnsi="Arial"/>
          <w:color w:val="1A1410"/>
          <w:sz w:val="22"/>
          <w:szCs w:val="22"/>
        </w:rPr>
        <w:t xml:space="preserve">Light-touch Diagnose + Improve + Automate. Most common tier under donor cohort sponsorship.</w:t>
      </w:r>
    </w:p>
    <w:p>
      <w:pPr>
        <w:pStyle w:val="ListParagraph"/>
        <w:numPr>
          <w:ilvl w:val="0"/>
          <w:numId w:val="2"/>
        </w:numPr>
        <w:spacing w:after="60" w:before="30" w:line="280"/>
      </w:pPr>
      <w:r>
        <w:rPr>
          <w:rFonts w:ascii="Arial" w:cs="Arial" w:eastAsia="Arial" w:hAnsi="Arial"/>
          <w:b/>
          <w:bCs/>
          <w:color w:val="1A1410"/>
          <w:sz w:val="22"/>
          <w:szCs w:val="22"/>
        </w:rPr>
        <w:t xml:space="preserve">Full Transformation ($80K–$150K, 6–9 months): </w:t>
      </w:r>
      <w:r>
        <w:rPr>
          <w:rFonts w:ascii="Arial" w:cs="Arial" w:eastAsia="Arial" w:hAnsi="Arial"/>
          <w:color w:val="1A1410"/>
          <w:sz w:val="22"/>
          <w:szCs w:val="22"/>
        </w:rPr>
        <w:t xml:space="preserve">Mid-size NGO direct purchase. Deeper Improve cycle, change management, multi-module deployment.</w:t>
      </w:r>
    </w:p>
    <w:p>
      <w:pPr>
        <w:pStyle w:val="ListParagraph"/>
        <w:numPr>
          <w:ilvl w:val="0"/>
          <w:numId w:val="2"/>
        </w:numPr>
        <w:spacing w:after="60" w:before="30" w:line="280"/>
      </w:pPr>
      <w:r>
        <w:rPr>
          <w:rFonts w:ascii="Arial" w:cs="Arial" w:eastAsia="Arial" w:hAnsi="Arial"/>
          <w:b/>
          <w:bCs/>
          <w:color w:val="1A1410"/>
          <w:sz w:val="22"/>
          <w:szCs w:val="22"/>
        </w:rPr>
        <w:t xml:space="preserve">Custom Enterprise ($150K+): </w:t>
      </w:r>
      <w:r>
        <w:rPr>
          <w:rFonts w:ascii="Arial" w:cs="Arial" w:eastAsia="Arial" w:hAnsi="Arial"/>
          <w:color w:val="1A1410"/>
          <w:sz w:val="22"/>
          <w:szCs w:val="22"/>
        </w:rPr>
        <w:t xml:space="preserve">Large NGO or network. Custom scope. Multi-entity. Sometimes co-delivered with regional implementation partner.</w:t>
      </w:r>
    </w:p>
    <w:p>
      <w:pPr>
        <w:pStyle w:val="Heading2"/>
        <w:spacing w:after="140" w:before="280"/>
      </w:pPr>
      <w:r>
        <w:rPr>
          <w:rFonts w:ascii="Arial" w:cs="Arial" w:eastAsia="Arial" w:hAnsi="Arial"/>
          <w:b/>
          <w:bCs/>
          <w:color w:val="7C2D12"/>
          <w:sz w:val="28"/>
          <w:szCs w:val="28"/>
        </w:rPr>
        <w:t xml:space="preserve">2.3 Real product proof — Adeso runs on it</w:t>
      </w:r>
    </w:p>
    <w:p>
      <w:pPr>
        <w:spacing w:after="80" w:before="60" w:line="300"/>
        <w:jc w:val="left"/>
      </w:pPr>
      <w:r>
        <w:rPr>
          <w:rFonts w:ascii="Arial" w:cs="Arial" w:eastAsia="Arial" w:hAnsi="Arial"/>
          <w:color w:val="1A1410"/>
          <w:sz w:val="22"/>
          <w:szCs w:val="22"/>
        </w:rPr>
        <w:t xml:space="preserve">Every module described above is one that Adeso operates today. Every KPI reported. Every contract signed. Every board pack generated. Every SOP versioned. Every partner conversation logged. The system was built BY Adeso's PMO to run Adeso's own operations — the strategy is to sell that same proven platform to the rest of the sector.</w:t>
      </w:r>
    </w:p>
    <w:p>
      <w:pPr>
        <w:pStyle w:val="Heading1"/>
        <w:pageBreakBefore/>
        <w:spacing w:after="200" w:before="320"/>
      </w:pPr>
      <w:r>
        <w:rPr>
          <w:rFonts w:ascii="Arial" w:cs="Arial" w:eastAsia="Arial" w:hAnsi="Arial"/>
          <w:b/>
          <w:bCs/>
          <w:color w:val="C2410C"/>
          <w:sz w:val="36"/>
          <w:szCs w:val="36"/>
        </w:rPr>
        <w:t xml:space="preserve">3. The Market Problem — Tool Sprawl + Compliance Burden</w:t>
      </w:r>
    </w:p>
    <w:p>
      <w:pPr>
        <w:pStyle w:val="Heading2"/>
        <w:spacing w:after="140" w:before="280"/>
      </w:pPr>
      <w:r>
        <w:rPr>
          <w:rFonts w:ascii="Arial" w:cs="Arial" w:eastAsia="Arial" w:hAnsi="Arial"/>
          <w:b/>
          <w:bCs/>
          <w:color w:val="7C2D12"/>
          <w:sz w:val="28"/>
          <w:szCs w:val="28"/>
        </w:rPr>
        <w:t xml:space="preserve">3.1 The stitched stack is the default — and it is failing</w:t>
      </w:r>
    </w:p>
    <w:p>
      <w:pPr>
        <w:spacing w:after="80" w:before="60" w:line="300"/>
        <w:jc w:val="left"/>
      </w:pPr>
      <w:r>
        <w:rPr>
          <w:rFonts w:ascii="Arial" w:cs="Arial" w:eastAsia="Arial" w:hAnsi="Arial"/>
          <w:color w:val="1A1410"/>
          <w:sz w:val="22"/>
          <w:szCs w:val="22"/>
        </w:rPr>
        <w:t xml:space="preserve">A $5M–$50M NGO today runs operations across six to ten disconnected SaaS tools. None of them talk to each other. None are AI-native. None are designed for the Global South. The default state is:</w:t>
      </w:r>
    </w:p>
    <w:p>
      <w:pPr>
        <w:pStyle w:val="ListParagraph"/>
        <w:numPr>
          <w:ilvl w:val="0"/>
          <w:numId w:val="2"/>
        </w:numPr>
        <w:spacing w:after="60" w:before="30" w:line="280"/>
      </w:pPr>
      <w:r>
        <w:rPr>
          <w:rFonts w:ascii="Arial" w:cs="Arial" w:eastAsia="Arial" w:hAnsi="Arial"/>
          <w:color w:val="1A1410"/>
          <w:sz w:val="22"/>
          <w:szCs w:val="22"/>
        </w:rPr>
        <w:t xml:space="preserve">CRM: Salesforce Nonprofit Cloud or spreadsheets (64–67% report using a real CRM per Sage 2024 + Bloomerang/NPTechForGood; the unstated remainder runs on spreadsheets).</w:t>
      </w:r>
    </w:p>
    <w:p>
      <w:pPr>
        <w:pStyle w:val="ListParagraph"/>
        <w:numPr>
          <w:ilvl w:val="0"/>
          <w:numId w:val="2"/>
        </w:numPr>
        <w:spacing w:after="60" w:before="30" w:line="280"/>
      </w:pPr>
      <w:r>
        <w:rPr>
          <w:rFonts w:ascii="Arial" w:cs="Arial" w:eastAsia="Arial" w:hAnsi="Arial"/>
          <w:color w:val="1A1410"/>
          <w:sz w:val="22"/>
          <w:szCs w:val="22"/>
        </w:rPr>
        <w:t xml:space="preserve">Financial management: 85% of nonprofits use dedicated financial software (Sage 2024).</w:t>
      </w:r>
    </w:p>
    <w:p>
      <w:pPr>
        <w:pStyle w:val="ListParagraph"/>
        <w:numPr>
          <w:ilvl w:val="0"/>
          <w:numId w:val="2"/>
        </w:numPr>
        <w:spacing w:after="60" w:before="30" w:line="280"/>
      </w:pPr>
      <w:r>
        <w:rPr>
          <w:rFonts w:ascii="Arial" w:cs="Arial" w:eastAsia="Arial" w:hAnsi="Arial"/>
          <w:color w:val="1A1410"/>
          <w:sz w:val="22"/>
          <w:szCs w:val="22"/>
        </w:rPr>
        <w:t xml:space="preserve">Budgeting and planning: 28% — up from 18% in 2022 (Sage 2024).</w:t>
      </w:r>
    </w:p>
    <w:p>
      <w:pPr>
        <w:pStyle w:val="ListParagraph"/>
        <w:numPr>
          <w:ilvl w:val="0"/>
          <w:numId w:val="2"/>
        </w:numPr>
        <w:spacing w:after="60" w:before="30" w:line="280"/>
      </w:pPr>
      <w:r>
        <w:rPr>
          <w:rFonts w:ascii="Arial" w:cs="Arial" w:eastAsia="Arial" w:hAnsi="Arial"/>
          <w:color w:val="1A1410"/>
          <w:sz w:val="22"/>
          <w:szCs w:val="22"/>
        </w:rPr>
        <w:t xml:space="preserve">Board portal: no published adoption % — the board portal market is roughly $6B (2023) growing 20%/yr, implying low current penetration in nonprofits.</w:t>
      </w:r>
    </w:p>
    <w:p>
      <w:pPr>
        <w:pStyle w:val="ListParagraph"/>
        <w:numPr>
          <w:ilvl w:val="0"/>
          <w:numId w:val="2"/>
        </w:numPr>
        <w:spacing w:after="60" w:before="30" w:line="280"/>
      </w:pPr>
      <w:r>
        <w:rPr>
          <w:rFonts w:ascii="Arial" w:cs="Arial" w:eastAsia="Arial" w:hAnsi="Arial"/>
          <w:color w:val="1A1410"/>
          <w:sz w:val="22"/>
          <w:szCs w:val="22"/>
        </w:rPr>
        <w:t xml:space="preserve">Formal KPI / OKR tracking: no published adoption % for nonprofits specifically.</w:t>
      </w:r>
    </w:p>
    <w:p>
      <w:pPr>
        <w:pStyle w:val="ListParagraph"/>
        <w:numPr>
          <w:ilvl w:val="0"/>
          <w:numId w:val="2"/>
        </w:numPr>
        <w:spacing w:after="60" w:before="30" w:line="280"/>
      </w:pPr>
      <w:r>
        <w:rPr>
          <w:rFonts w:ascii="Arial" w:cs="Arial" w:eastAsia="Arial" w:hAnsi="Arial"/>
          <w:color w:val="1A1410"/>
          <w:sz w:val="22"/>
          <w:szCs w:val="22"/>
        </w:rPr>
        <w:t xml:space="preserve">Policy / SOP management: no published adoption %.</w:t>
      </w:r>
    </w:p>
    <w:p>
      <w:pPr>
        <w:pStyle w:val="ListParagraph"/>
        <w:numPr>
          <w:ilvl w:val="0"/>
          <w:numId w:val="2"/>
        </w:numPr>
        <w:spacing w:after="60" w:before="30" w:line="280"/>
      </w:pPr>
      <w:r>
        <w:rPr>
          <w:rFonts w:ascii="Arial" w:cs="Arial" w:eastAsia="Arial" w:hAnsi="Arial"/>
          <w:color w:val="1A1410"/>
          <w:sz w:val="22"/>
          <w:szCs w:val="22"/>
        </w:rPr>
        <w:t xml:space="preserve">Contract management: same.</w:t>
      </w:r>
    </w:p>
    <w:p>
      <w:pPr>
        <w:spacing w:after="80" w:before="60" w:line="300"/>
        <w:jc w:val="left"/>
      </w:pPr>
      <w:r>
        <w:rPr>
          <w:rFonts w:ascii="Arial" w:cs="Arial" w:eastAsia="Arial" w:hAnsi="Arial"/>
          <w:color w:val="1A1410"/>
          <w:sz w:val="22"/>
          <w:szCs w:val="22"/>
        </w:rPr>
        <w:t xml:space="preserve">Sector consensus from 2024–2025 reviews of nonprofit tech (NonProfit PRO, NTEN community discussions): organizations accumulated tools through 2020–2024 and are now spending "more time managing technology than using it." The swing back to integrated platforms is underway.</w:t>
      </w:r>
    </w:p>
    <w:p>
      <w:pPr>
        <w:pStyle w:val="Heading2"/>
        <w:spacing w:after="140" w:before="280"/>
      </w:pPr>
      <w:r>
        <w:rPr>
          <w:rFonts w:ascii="Arial" w:cs="Arial" w:eastAsia="Arial" w:hAnsi="Arial"/>
          <w:b/>
          <w:bCs/>
          <w:color w:val="7C2D12"/>
          <w:sz w:val="28"/>
          <w:szCs w:val="28"/>
        </w:rPr>
        <w:t xml:space="preserve">3.2 Compliance burden is rising — and is the #1 buying trigger</w:t>
      </w:r>
    </w:p>
    <w:p>
      <w:pPr>
        <w:spacing w:after="80" w:before="60" w:line="300"/>
        <w:jc w:val="left"/>
      </w:pPr>
      <w:r>
        <w:rPr>
          <w:rFonts w:ascii="Arial" w:cs="Arial" w:eastAsia="Arial" w:hAnsi="Arial"/>
          <w:color w:val="1A1410"/>
          <w:sz w:val="22"/>
          <w:szCs w:val="22"/>
        </w:rPr>
        <w:t xml:space="preserve">The Bridgespan COO survey, Humanitarian Futures INGO Leadership Survey, and UN JIU Reporting Requirements review document the same pattern: multi-donor compliance is rising as a share of operational cost. One Humanitarian Outcomes (2017) case study documents an INGO in Chad with 80% of support costs absorbed by one donor's reporting and compliance demands. That is an extreme case, not a sector average — but the trajectory is consistent across published research.</w:t>
      </w:r>
    </w:p>
    <w:p>
      <w:pPr>
        <w:spacing w:after="80" w:before="60" w:line="300"/>
        <w:jc w:val="left"/>
      </w:pPr>
      <w:r>
        <w:rPr>
          <w:rFonts w:ascii="Arial" w:cs="Arial" w:eastAsia="Arial" w:hAnsi="Arial"/>
          <w:color w:val="1A1410"/>
          <w:sz w:val="22"/>
          <w:szCs w:val="22"/>
        </w:rPr>
        <w:t xml:space="preserve">Failed or qualified audit is the single most-cited replacement trigger for nonprofit operations software per Sage and Blackbaud audit-pattern publications. Donor compliance crisis (USAID Data Quality Assessment finding, EU INTPA verification result, UN HACT micro-assessment downgrade) forces a 6–12 month remediation window. Leadership change is the second-most-cited replacement trigger.</w:t>
      </w:r>
    </w:p>
    <w:p>
      <w:pPr>
        <w:pStyle w:val="Heading2"/>
        <w:spacing w:after="140" w:before="280"/>
      </w:pPr>
      <w:r>
        <w:rPr>
          <w:rFonts w:ascii="Arial" w:cs="Arial" w:eastAsia="Arial" w:hAnsi="Arial"/>
          <w:b/>
          <w:bCs/>
          <w:color w:val="7C2D12"/>
          <w:sz w:val="28"/>
          <w:szCs w:val="28"/>
        </w:rPr>
        <w:t xml:space="preserve">3.3 The Global South is the most acute version of this problem</w:t>
      </w:r>
    </w:p>
    <w:p>
      <w:pPr>
        <w:spacing w:after="80" w:before="60" w:line="300"/>
        <w:jc w:val="left"/>
      </w:pPr>
      <w:r>
        <w:rPr>
          <w:rFonts w:ascii="Arial" w:cs="Arial" w:eastAsia="Arial" w:hAnsi="Arial"/>
          <w:color w:val="1A1410"/>
          <w:sz w:val="22"/>
          <w:szCs w:val="22"/>
        </w:rPr>
        <w:t xml:space="preserve">North America accounts for roughly 44–45% of the global nonprofit software market (Global Growth Insights). Africa has the lowest digital readiness — Middle Africa at 32.2% internet penetration and Eastern Africa at 26.8% (Premier Science, 2024). ICT4D research repeatedly flags small Global South CSOs as having limited experience using digital tech safely. USD-denominated SaaS pricing, weak localization, and connectivity constraints are documented adoption barriers.</w:t>
      </w:r>
    </w:p>
    <w:p>
      <w:pPr>
        <w:spacing w:after="80" w:before="60" w:line="300"/>
        <w:jc w:val="left"/>
      </w:pPr>
      <w:r>
        <w:rPr>
          <w:rFonts w:ascii="Arial" w:cs="Arial" w:eastAsia="Arial" w:hAnsi="Arial"/>
          <w:color w:val="1A1410"/>
          <w:sz w:val="22"/>
          <w:szCs w:val="22"/>
        </w:rPr>
        <w:t xml:space="preserve">Yet this is the segment with the fastest-growing demand and the most acute multi-donor compliance burden. Ford BUILD ($1.85B to 560+ organizations across 47 countries since 2016, &gt;50% Global South), MacKenzie Scott unrestricted giving, and IKEA Foundation's €349M/year are all pushing unrestricted operational strengthening capital INTO this segment. The market is being funded from the donor side faster than NGO supply-side maturity can absorb.</w:t>
      </w:r>
    </w:p>
    <w:p>
      <w:pPr>
        <w:pStyle w:val="Heading1"/>
        <w:pageBreakBefore/>
        <w:spacing w:after="200" w:before="320"/>
      </w:pPr>
      <w:r>
        <w:rPr>
          <w:rFonts w:ascii="Arial" w:cs="Arial" w:eastAsia="Arial" w:hAnsi="Arial"/>
          <w:b/>
          <w:bCs/>
          <w:color w:val="C2410C"/>
          <w:sz w:val="36"/>
          <w:szCs w:val="36"/>
        </w:rPr>
        <w:t xml:space="preserve">4. Market Sizing</w:t>
      </w:r>
    </w:p>
    <w:p>
      <w:pPr>
        <w:pStyle w:val="Heading2"/>
        <w:spacing w:after="140" w:before="280"/>
      </w:pPr>
      <w:r>
        <w:rPr>
          <w:rFonts w:ascii="Arial" w:cs="Arial" w:eastAsia="Arial" w:hAnsi="Arial"/>
          <w:b/>
          <w:bCs/>
          <w:color w:val="7C2D12"/>
          <w:sz w:val="28"/>
          <w:szCs w:val="28"/>
        </w:rPr>
        <w:t xml:space="preserve">4.1 The addressable mid-size NGO universe</w:t>
      </w:r>
    </w:p>
    <w:p>
      <w:pPr>
        <w:spacing w:after="80" w:before="60" w:line="300"/>
        <w:jc w:val="left"/>
      </w:pPr>
      <w:r>
        <w:rPr>
          <w:rFonts w:ascii="Arial" w:cs="Arial" w:eastAsia="Arial" w:hAnsi="Arial"/>
          <w:color w:val="1A1410"/>
          <w:sz w:val="22"/>
          <w:szCs w:val="22"/>
        </w:rPr>
        <w:t xml:space="preserve">There is no clean global count of NGOs by revenue band. Country registries use different definitions and revenue thresholds. With that caveat, here is the most defensible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Geography</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Count</w:t>
            </w:r>
          </w:p>
        </w:tc>
        <w:tc>
          <w:tcPr>
            <w:tcW w:type="dxa" w:w="4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United States — all 990 filers</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~478,000</w:t>
            </w:r>
          </w:p>
        </w:tc>
        <w:tc>
          <w:tcPr>
            <w:tcW w:type="dxa" w:w="4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Form 990 filings; ~60% of US nonprofits are under $50K budget (Candid; Independent Sector; Urban Institute NCCS)</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Brazil — active CSOs</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897,054 (2024)</w:t>
            </w:r>
          </w:p>
        </w:tc>
        <w:tc>
          <w:tcPr>
            <w:tcW w:type="dxa" w:w="4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IPEA Mapa das OSCs, 2024</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India — registered NGOs</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187,395 (2023)</w:t>
            </w:r>
          </w:p>
        </w:tc>
        <w:tc>
          <w:tcPr>
            <w:tcW w:type="dxa" w:w="4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NGO Darpan registration portal — note that revenue distribution is not published</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Global directory listing</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~54,000</w:t>
            </w:r>
          </w:p>
        </w:tc>
        <w:tc>
          <w:tcPr>
            <w:tcW w:type="dxa" w:w="4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WANGO — voluntary listing across 190 countries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Global nonprofit market size (vendor estimate)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$348.8B (2025), 5.5% CAGR</w:t>
            </w:r>
          </w:p>
        </w:tc>
        <w:tc>
          <w:tcPr>
            <w:tcW w:type="dxa" w:w="4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Business Research Company — vendor estimate, directional only</w:t>
            </w:r>
          </w:p>
        </w:tc>
      </w:tr>
    </w:tbl>
    <w:p>
      <w:pPr>
        <w:spacing w:after="80" w:before="60" w:line="300"/>
        <w:jc w:val="left"/>
      </w:pPr>
      <w:r>
        <w:rPr>
          <w:rFonts w:ascii="Arial" w:cs="Arial" w:eastAsia="Arial" w:hAnsi="Arial"/>
          <w:b/>
          <w:bCs/>
          <w:color w:val="1A1410"/>
          <w:sz w:val="22"/>
          <w:szCs w:val="22"/>
        </w:rPr>
        <w:t xml:space="preserve">Defensible bound for the mid-size band ($1M–$50M revenue): </w:t>
      </w:r>
      <w:r>
        <w:rPr>
          <w:rFonts w:ascii="Arial" w:cs="Arial" w:eastAsia="Arial" w:hAnsi="Arial"/>
          <w:color w:val="1A1410"/>
          <w:sz w:val="22"/>
          <w:szCs w:val="22"/>
        </w:rPr>
        <w:t xml:space="preserve">150,000–300,000 organizations globally, with the largest absolute counts in the US, India, Brazil, Kenya, and Indonesia. Country-level Africa / MENA / Asia-Pacific totals are not reliably published — published NGO counts in these regions skew to either total-registered (over-counts) or self-listed directories (under-counts).</w:t>
      </w:r>
    </w:p>
    <w:p>
      <w:pPr>
        <w:pStyle w:val="Heading2"/>
        <w:spacing w:after="140" w:before="280"/>
      </w:pPr>
      <w:r>
        <w:rPr>
          <w:rFonts w:ascii="Arial" w:cs="Arial" w:eastAsia="Arial" w:hAnsi="Arial"/>
          <w:b/>
          <w:bCs/>
          <w:color w:val="7C2D12"/>
          <w:sz w:val="28"/>
          <w:szCs w:val="28"/>
        </w:rPr>
        <w:t xml:space="preserve">4.2 Realistic served addressable market for Kuja Elevate</w:t>
      </w:r>
    </w:p>
    <w:p>
      <w:pPr>
        <w:spacing w:after="80" w:before="60" w:line="300"/>
        <w:jc w:val="left"/>
      </w:pPr>
      <w:r>
        <w:rPr>
          <w:rFonts w:ascii="Arial" w:cs="Arial" w:eastAsia="Arial" w:hAnsi="Arial"/>
          <w:color w:val="1A1410"/>
          <w:sz w:val="22"/>
          <w:szCs w:val="22"/>
        </w:rPr>
        <w:t xml:space="preserve">We do not target the full mid-size band. Three filters narrow the realistic Serviceable Addressable Market (SAM):</w:t>
      </w:r>
    </w:p>
    <w:p>
      <w:pPr>
        <w:pStyle w:val="ListParagraph"/>
        <w:numPr>
          <w:ilvl w:val="0"/>
          <w:numId w:val="2"/>
        </w:numPr>
        <w:spacing w:after="60" w:before="30" w:line="280"/>
      </w:pPr>
      <w:r>
        <w:rPr>
          <w:rFonts w:ascii="Arial" w:cs="Arial" w:eastAsia="Arial" w:hAnsi="Arial"/>
          <w:b/>
          <w:bCs/>
          <w:color w:val="1A1410"/>
          <w:sz w:val="22"/>
          <w:szCs w:val="22"/>
        </w:rPr>
        <w:t xml:space="preserve">Filter 1 — geography. </w:t>
      </w:r>
      <w:r>
        <w:rPr>
          <w:rFonts w:ascii="Arial" w:cs="Arial" w:eastAsia="Arial" w:hAnsi="Arial"/>
          <w:color w:val="1A1410"/>
          <w:sz w:val="22"/>
          <w:szCs w:val="22"/>
        </w:rPr>
        <w:t xml:space="preserve">Global South focus: Africa, MENA, Asia-Pacific, LatAm. North America and Europe are secondary opportunities pursued via channel partners later. This roughly halves the mid-size base — let's call it 75,000–150,000 mid-size NGOs in Global South geographies.</w:t>
      </w:r>
    </w:p>
    <w:p>
      <w:pPr>
        <w:pStyle w:val="ListParagraph"/>
        <w:numPr>
          <w:ilvl w:val="0"/>
          <w:numId w:val="2"/>
        </w:numPr>
        <w:spacing w:after="60" w:before="30" w:line="280"/>
      </w:pPr>
      <w:r>
        <w:rPr>
          <w:rFonts w:ascii="Arial" w:cs="Arial" w:eastAsia="Arial" w:hAnsi="Arial"/>
          <w:b/>
          <w:bCs/>
          <w:color w:val="1A1410"/>
          <w:sz w:val="22"/>
          <w:szCs w:val="22"/>
        </w:rPr>
        <w:t xml:space="preserve">Filter 2 — operational maturity. </w:t>
      </w:r>
      <w:r>
        <w:rPr>
          <w:rFonts w:ascii="Arial" w:cs="Arial" w:eastAsia="Arial" w:hAnsi="Arial"/>
          <w:color w:val="1A1410"/>
          <w:sz w:val="22"/>
          <w:szCs w:val="22"/>
        </w:rPr>
        <w:t xml:space="preserve">Only NGOs that have outgrown spreadsheets but cannot afford the stitched enterprise stack at $130K–$220K Year 1. This is the "messy middle." Conservatively half the mid-size Global South base — call it 35,000–75,000 organizations.</w:t>
      </w:r>
    </w:p>
    <w:p>
      <w:pPr>
        <w:pStyle w:val="ListParagraph"/>
        <w:numPr>
          <w:ilvl w:val="0"/>
          <w:numId w:val="2"/>
        </w:numPr>
        <w:spacing w:after="60" w:before="30" w:line="280"/>
      </w:pPr>
      <w:r>
        <w:rPr>
          <w:rFonts w:ascii="Arial" w:cs="Arial" w:eastAsia="Arial" w:hAnsi="Arial"/>
          <w:b/>
          <w:bCs/>
          <w:color w:val="1A1410"/>
          <w:sz w:val="22"/>
          <w:szCs w:val="22"/>
        </w:rPr>
        <w:t xml:space="preserve">Filter 3 — donor sponsorship or direct purchase capability. </w:t>
      </w:r>
      <w:r>
        <w:rPr>
          <w:rFonts w:ascii="Arial" w:cs="Arial" w:eastAsia="Arial" w:hAnsi="Arial"/>
          <w:color w:val="1A1410"/>
          <w:sz w:val="22"/>
          <w:szCs w:val="22"/>
        </w:rPr>
        <w:t xml:space="preserve">Either the NGO has $25K–$60K of discretionary spend per year for operations software (the direct-purchase customer) or a foundation will pay for them under a cohort pilot (the donor-sponsored customer). Conservative reach: 15,000–35,000 organizations.</w:t>
      </w:r>
    </w:p>
    <w:p>
      <w:pPr>
        <w:spacing w:after="80" w:before="60" w:line="300"/>
        <w:jc w:val="left"/>
      </w:pPr>
      <w:r>
        <w:rPr>
          <w:rFonts w:ascii="Arial" w:cs="Arial" w:eastAsia="Arial" w:hAnsi="Arial"/>
          <w:b/>
          <w:bCs/>
          <w:color w:val="1A1410"/>
          <w:sz w:val="22"/>
          <w:szCs w:val="22"/>
        </w:rPr>
        <w:t xml:space="preserve">SAM estimate: 15,000–35,000 mid-size Global South NGOs </w:t>
      </w:r>
      <w:r>
        <w:rPr>
          <w:rFonts w:ascii="Arial" w:cs="Arial" w:eastAsia="Arial" w:hAnsi="Arial"/>
          <w:color w:val="1A1410"/>
          <w:sz w:val="22"/>
          <w:szCs w:val="22"/>
        </w:rPr>
        <w:t xml:space="preserve">at an annual Platform ACV of $25K–$75K (Standard tier weighted). That is a roughly $400M–$2.6B annual revenue ceiling — well above the strategy's 2030 target of $12.5M Conservative case. The mid-band capture rate needed to deliver Conservative is &lt; 0.5%.</w:t>
      </w:r>
    </w:p>
    <w:p>
      <w:pPr>
        <w:pStyle w:val="Heading2"/>
        <w:spacing w:after="140" w:before="280"/>
      </w:pPr>
      <w:r>
        <w:rPr>
          <w:rFonts w:ascii="Arial" w:cs="Arial" w:eastAsia="Arial" w:hAnsi="Arial"/>
          <w:b/>
          <w:bCs/>
          <w:color w:val="7C2D12"/>
          <w:sz w:val="28"/>
          <w:szCs w:val="28"/>
        </w:rPr>
        <w:t xml:space="preserve">4.3 IT and operations spend benchmarks</w:t>
      </w:r>
    </w:p>
    <w:p>
      <w:pPr>
        <w:spacing w:after="80" w:before="60" w:line="300"/>
        <w:jc w:val="left"/>
      </w:pPr>
      <w:r>
        <w:rPr>
          <w:rFonts w:ascii="Arial" w:cs="Arial" w:eastAsia="Arial" w:hAnsi="Arial"/>
          <w:color w:val="1A1410"/>
          <w:sz w:val="22"/>
          <w:szCs w:val="22"/>
        </w:rPr>
        <w:t xml:space="preserve">Critical context for pricing and positioning:</w:t>
      </w:r>
    </w:p>
    <w:p>
      <w:pPr>
        <w:pStyle w:val="ListParagraph"/>
        <w:numPr>
          <w:ilvl w:val="0"/>
          <w:numId w:val="2"/>
        </w:numPr>
        <w:spacing w:after="60" w:before="30" w:line="280"/>
      </w:pPr>
      <w:r>
        <w:rPr>
          <w:rFonts w:ascii="Arial" w:cs="Arial" w:eastAsia="Arial" w:hAnsi="Arial"/>
          <w:i/>
          <w:iCs/>
          <w:color w:val="6B6660"/>
          <w:sz w:val="18"/>
          <w:szCs w:val="18"/>
        </w:rPr>
        <w:t xml:space="preserve">&lt;3% of operating budget is the typical nonprofit tech spend. Only 13% invest &gt;5%. For-profits average 5.85%. (NTEN 2024 Nonprofit Digital Investments Report.)</w:t>
      </w:r>
    </w:p>
    <w:p>
      <w:pPr>
        <w:pStyle w:val="ListParagraph"/>
        <w:numPr>
          <w:ilvl w:val="0"/>
          <w:numId w:val="2"/>
        </w:numPr>
        <w:spacing w:after="60" w:before="30" w:line="280"/>
      </w:pPr>
      <w:r>
        <w:rPr>
          <w:rFonts w:ascii="Arial" w:cs="Arial" w:eastAsia="Arial" w:hAnsi="Arial"/>
          <w:i/>
          <w:iCs/>
          <w:color w:val="6B6660"/>
          <w:sz w:val="18"/>
          <w:szCs w:val="18"/>
        </w:rPr>
        <w:t xml:space="preserve">45% of nonprofits say they are not spending enough on tech; 77% cite budget as the primary barrier. (NTEN, 2024.)</w:t>
      </w:r>
    </w:p>
    <w:p>
      <w:pPr>
        <w:pStyle w:val="ListParagraph"/>
        <w:numPr>
          <w:ilvl w:val="0"/>
          <w:numId w:val="2"/>
        </w:numPr>
        <w:spacing w:after="60" w:before="30" w:line="280"/>
      </w:pPr>
      <w:r>
        <w:rPr>
          <w:rFonts w:ascii="Arial" w:cs="Arial" w:eastAsia="Arial" w:hAnsi="Arial"/>
          <w:i/>
          <w:iCs/>
          <w:color w:val="6B6660"/>
          <w:sz w:val="18"/>
          <w:szCs w:val="18"/>
        </w:rPr>
        <w:t xml:space="preserve">Data and data systems are the #1 investment focus for 2023–24, security #2. (NTEN, 2024.)</w:t>
      </w:r>
    </w:p>
    <w:p>
      <w:pPr>
        <w:pStyle w:val="ListParagraph"/>
        <w:numPr>
          <w:ilvl w:val="0"/>
          <w:numId w:val="2"/>
        </w:numPr>
        <w:spacing w:after="60" w:before="30" w:line="280"/>
      </w:pPr>
      <w:r>
        <w:rPr>
          <w:rFonts w:ascii="Arial" w:cs="Arial" w:eastAsia="Arial" w:hAnsi="Arial"/>
          <w:i/>
          <w:iCs/>
          <w:color w:val="6B6660"/>
          <w:sz w:val="18"/>
          <w:szCs w:val="18"/>
        </w:rPr>
        <w:t xml:space="preserve">Only 20% of funders fund tech directly, down from 23%. (NTEN.)</w:t>
      </w:r>
    </w:p>
    <w:p>
      <w:pPr>
        <w:spacing w:after="80" w:before="60" w:line="300"/>
        <w:jc w:val="left"/>
      </w:pPr>
      <w:r>
        <w:rPr>
          <w:rFonts w:ascii="Arial" w:cs="Arial" w:eastAsia="Arial" w:hAnsi="Arial"/>
          <w:color w:val="1A1410"/>
          <w:sz w:val="22"/>
          <w:szCs w:val="22"/>
        </w:rPr>
        <w:t xml:space="preserve">This shapes the GTM motion. NGOs underspend on tech and cite budget as the primary barrier. That means: (a) per-seat pricing is dead — buyers will not accept it. Tier-based annual pricing wins. (b) Donor-sponsored deployment is structurally easier than direct sales for the smallest organizations. (c) The TCO comparison vs the stitched stack is the critical sales argument.</w:t>
      </w:r>
    </w:p>
    <w:p>
      <w:pPr>
        <w:pStyle w:val="Heading1"/>
        <w:pageBreakBefore/>
        <w:spacing w:after="200" w:before="320"/>
      </w:pPr>
      <w:r>
        <w:rPr>
          <w:rFonts w:ascii="Arial" w:cs="Arial" w:eastAsia="Arial" w:hAnsi="Arial"/>
          <w:b/>
          <w:bCs/>
          <w:color w:val="C2410C"/>
          <w:sz w:val="36"/>
          <w:szCs w:val="36"/>
        </w:rPr>
        <w:t xml:space="preserve">5. Competitive Landscape by Module</w:t>
      </w:r>
    </w:p>
    <w:p>
      <w:pPr>
        <w:spacing w:after="80" w:before="60" w:line="300"/>
        <w:jc w:val="left"/>
      </w:pPr>
      <w:r>
        <w:rPr>
          <w:rFonts w:ascii="Arial" w:cs="Arial" w:eastAsia="Arial" w:hAnsi="Arial"/>
          <w:color w:val="1A1410"/>
          <w:sz w:val="22"/>
          <w:szCs w:val="22"/>
        </w:rPr>
        <w:t xml:space="preserve">Kuja Elevate competes against different vendors in different module categories. No single competitor exists for the integrated whole. This section maps the per-module competitors with verified pricing.</w:t>
      </w:r>
    </w:p>
    <w:p>
      <w:pPr>
        <w:pStyle w:val="Heading2"/>
        <w:spacing w:after="140" w:before="280"/>
      </w:pPr>
      <w:r>
        <w:rPr>
          <w:rFonts w:ascii="Arial" w:cs="Arial" w:eastAsia="Arial" w:hAnsi="Arial"/>
          <w:b/>
          <w:bCs/>
          <w:color w:val="7C2D12"/>
          <w:sz w:val="28"/>
          <w:szCs w:val="28"/>
        </w:rPr>
        <w:t xml:space="preserve">5.1 Contract Management (CLM) — vs Module 4: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Vendor</w:t>
            </w:r>
          </w:p>
        </w:tc>
        <w:tc>
          <w:tcPr>
            <w:tcW w:type="dxa" w:w="2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Pricing</w:t>
            </w:r>
          </w:p>
        </w:tc>
        <w:tc>
          <w:tcPr>
            <w:tcW w:type="dxa" w:w="4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Positioning</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DocuSign CLM</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~$10K entry; $25K–$100K mid-market</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E-sign leader extended to CLM. Source: Bind, 2026.</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Ironclad</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quote; $30K–$150K + $5K–$50K impl</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AI-native enterprise CLM for legal teams. Source: Bind, 2026.</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ContractWorks (Onit)</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$399/mo Essential, unlimited users (~$7K–$15K/yr)</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Simple repository + e-sign for SMB. Source: HyperStart.</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Concord</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$49/user/mo Essentials; $79 Business (~$30K–$80K/yr mid-market)</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All-in-one drafting + signing. Source: Concord 2026.</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Agiloft</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quote; ~$68K/yr median (Vendr)</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No-code configurable CLM with deep workflows.</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LinkSquares</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~$10K entry; ~$31K median (Vendr)</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contract analytics for in-house legal.</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PandaDoc CLM</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$19/user/mo Starter; $49 Business; ~$16K median</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Proposals + sign + light CLM. Source: PandaDoc, Vendr.</w:t>
            </w:r>
          </w:p>
        </w:tc>
      </w:tr>
    </w:tbl>
    <w:p>
      <w:pPr>
        <w:spacing w:after="80" w:before="60" w:line="300"/>
        <w:jc w:val="left"/>
      </w:pPr>
      <w:r>
        <w:rPr>
          <w:rFonts w:ascii="Arial" w:cs="Arial" w:eastAsia="Arial" w:hAnsi="Arial"/>
          <w:i/>
          <w:iCs/>
          <w:color w:val="6B6660"/>
          <w:sz w:val="18"/>
          <w:szCs w:val="18"/>
        </w:rPr>
        <w:t xml:space="preserve">NGO discount: none standard across this category. Kuja Elevate Contracts module is included in the Platform — no separate license.</w:t>
      </w:r>
    </w:p>
    <w:p>
      <w:pPr>
        <w:pStyle w:val="Heading2"/>
        <w:spacing w:after="140" w:before="280"/>
      </w:pPr>
      <w:r>
        <w:rPr>
          <w:rFonts w:ascii="Arial" w:cs="Arial" w:eastAsia="Arial" w:hAnsi="Arial"/>
          <w:b/>
          <w:bCs/>
          <w:color w:val="7C2D12"/>
          <w:sz w:val="28"/>
          <w:szCs w:val="28"/>
        </w:rPr>
        <w:t xml:space="preserve">5.2 Board Governance / Portal — vs Module 8: Board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Vendor</w:t>
            </w:r>
          </w:p>
        </w:tc>
        <w:tc>
          <w:tcPr>
            <w:tcW w:type="dxa" w:w="2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Pricing</w:t>
            </w:r>
          </w:p>
        </w:tc>
        <w:tc>
          <w:tcPr>
            <w:tcW w:type="dxa" w:w="4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Positioning</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BoardEffect (Diligent)</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quote; ~$5K–$15K/yr mid-market</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Nonprofit/healthcare-focused board portal. Source: imBoard.</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OnBoard (Passageways)</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quote; not published</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Most-requested by nonprofits per category surveys.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Diligent Boards</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quote; high end of market</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Category leader; governance + ESG + entity management.</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Boardable</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$20.99/user/mo annual billing</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Lowest-cost transparent option, nonprofit-friendly. Source: imBoard.</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Nasdaq Boardvantage</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quote; below Diligent</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 regulated boards.</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BoardPro</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$165/board/mo</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Flat per-board pricing; SMB nonprofit.</w:t>
            </w:r>
          </w:p>
        </w:tc>
      </w:tr>
    </w:tbl>
    <w:p>
      <w:pPr>
        <w:pStyle w:val="Heading2"/>
        <w:spacing w:after="140" w:before="280"/>
      </w:pPr>
      <w:r>
        <w:rPr>
          <w:rFonts w:ascii="Arial" w:cs="Arial" w:eastAsia="Arial" w:hAnsi="Arial"/>
          <w:b/>
          <w:bCs/>
          <w:color w:val="7C2D12"/>
          <w:sz w:val="28"/>
          <w:szCs w:val="28"/>
        </w:rPr>
        <w:t xml:space="preserve">5.3 KPI / OKR / Strategy Execution — vs Module 2: KPIs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Vendor</w:t>
            </w:r>
          </w:p>
        </w:tc>
        <w:tc>
          <w:tcPr>
            <w:tcW w:type="dxa" w:w="2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Pricing</w:t>
            </w:r>
          </w:p>
        </w:tc>
        <w:tc>
          <w:tcPr>
            <w:tcW w:type="dxa" w:w="4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Positioning</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ClearPoint Strategy</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$250/mo entry; $800/mo Professional; Enterprise EQ</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Balanced Scorecard / strategy execution for enterprises and nonprofits. Source: SaaSWorthy.</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Quantive (formerly Gtmhub)</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Acquired by Workboard; legacy ~$18/user/mo</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StrategyAI platform; now folded into Workboard.</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Workboard</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quote; ~$9/user/mo estimate, ~$1K/user/yr</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OKR + QBR cadence. Source: SoftwareSuggest.</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Lattice</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$11/user/mo + $4 Engagement; $4K min</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Performance / engagement / OKR for people teams. Source: Lattice.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Profit.co</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~$7/user/mo; $10K annual min</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Affordable OKR with strategy add-ons.</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Perdoo</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Free tier; paid EQ</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Lightweight OKR for SMB. Source: Mooncamp.</w:t>
            </w:r>
          </w:p>
        </w:tc>
      </w:tr>
    </w:tbl>
    <w:p>
      <w:pPr>
        <w:pStyle w:val="Heading2"/>
        <w:spacing w:after="140" w:before="280"/>
      </w:pPr>
      <w:r>
        <w:rPr>
          <w:rFonts w:ascii="Arial" w:cs="Arial" w:eastAsia="Arial" w:hAnsi="Arial"/>
          <w:b/>
          <w:bCs/>
          <w:color w:val="7C2D12"/>
          <w:sz w:val="28"/>
          <w:szCs w:val="28"/>
        </w:rPr>
        <w:t xml:space="preserve">5.4 Policy / SOP Management — vs Module 7: SOPs &amp;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Vendor</w:t>
            </w:r>
          </w:p>
        </w:tc>
        <w:tc>
          <w:tcPr>
            <w:tcW w:type="dxa" w:w="2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Pricing</w:t>
            </w:r>
          </w:p>
        </w:tc>
        <w:tc>
          <w:tcPr>
            <w:tcW w:type="dxa" w:w="4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Positioning</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ConvergePoint</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quote</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SharePoint-native policy management. Source: Capterra.</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PolicyMedical (RLDatix)</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quote</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Healthcare policy / accreditation. Source: DocTract.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PowerDMS (NEOGOV)</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quote; size-based subscription</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Public safety / healthcare policy + training.</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LogicGate Risk Cloud</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quote</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No-code GRC platform including policy management.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Resolver</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quote</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Risk + investigations + policy GRC.</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Onspring</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$20K–$78K/yr; or ~$2,250/license</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No-code GRC / process automation. Source: SmartSuite.</w:t>
            </w:r>
          </w:p>
        </w:tc>
      </w:tr>
    </w:tbl>
    <w:p>
      <w:pPr>
        <w:pStyle w:val="Heading2"/>
        <w:spacing w:after="140" w:before="280"/>
      </w:pPr>
      <w:r>
        <w:rPr>
          <w:rFonts w:ascii="Arial" w:cs="Arial" w:eastAsia="Arial" w:hAnsi="Arial"/>
          <w:b/>
          <w:bCs/>
          <w:color w:val="7C2D12"/>
          <w:sz w:val="28"/>
          <w:szCs w:val="28"/>
        </w:rPr>
        <w:t xml:space="preserve">5.5 Project / Initiative Management — vs Module 3: Initiatives &amp;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Vendor</w:t>
            </w:r>
          </w:p>
        </w:tc>
        <w:tc>
          <w:tcPr>
            <w:tcW w:type="dxa" w:w="2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Pricing</w:t>
            </w:r>
          </w:p>
        </w:tc>
        <w:tc>
          <w:tcPr>
            <w:tcW w:type="dxa" w:w="4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Positioning</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Asana</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Advanced $24.99/user/mo annual</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Work management with goals / portfolios. Source: G2.</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Monday.com</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Pro $19/user/mo; Standard $12</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Highly visual work OS.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Smartsheet</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Business $25/user/mo</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Spreadsheet-native PM at enterprise scale.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Wrike</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Business $25/user/mo; Pinnacle EQ</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Mid-market PM with strong reporting.</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ClickUp</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Business $12/user/mo; Unlimited $7</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All-in-one productivity at low entry price.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Microsoft Project</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Plan 3 $30/user/mo; Plan 5 $55</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Traditional PMO / portfolio tool. Source: Microsoft.</w:t>
            </w:r>
          </w:p>
        </w:tc>
      </w:tr>
    </w:tbl>
    <w:p>
      <w:pPr>
        <w:pStyle w:val="Heading2"/>
        <w:spacing w:after="140" w:before="280"/>
      </w:pPr>
      <w:r>
        <w:rPr>
          <w:rFonts w:ascii="Arial" w:cs="Arial" w:eastAsia="Arial" w:hAnsi="Arial"/>
          <w:b/>
          <w:bCs/>
          <w:color w:val="7C2D12"/>
          <w:sz w:val="28"/>
          <w:szCs w:val="28"/>
        </w:rPr>
        <w:t xml:space="preserve">5.6 Nonprofit CRM — vs Module 4: Business Development &amp;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Vendor</w:t>
            </w:r>
          </w:p>
        </w:tc>
        <w:tc>
          <w:tcPr>
            <w:tcW w:type="dxa" w:w="2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Pricing</w:t>
            </w:r>
          </w:p>
        </w:tc>
        <w:tc>
          <w:tcPr>
            <w:tcW w:type="dxa" w:w="4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Positioning</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Salesforce Nonprofit Cloud</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10 free Enterprise (Power of Us); $60/user/mo beyond</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Industry-standard NGO CRM; heavy implementation. Source: Salesforce.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HubSpot</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Sales Hub Pro $100/seat/mo + $1.5K onboarding; 40% nonprofit discount</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Marketing + sales CRM. Source: HubSpot, SpendBase.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Affinity</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~$2,000/user/yr Essential; ~$2,700 Advanced; ~$62K median</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Relationship intelligence; VC/PE-grade for BD teams. Source: Vendr.</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Bloomerang</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$125/mo for 1K records; tiered to $499+/mo at 25–40K records</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retention CRM for SMB nonprofits. Source: Bloomerang.</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Neon CRM</w:t>
            </w:r>
          </w:p>
        </w:tc>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Essentials $99/mo; Impact $209/mo; Empower $409/mo</w:t>
            </w:r>
          </w:p>
        </w:tc>
        <w:tc>
          <w:tcPr>
            <w:tcW w:type="dxa" w:w="4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All-in-one nonprofit CRM + giving. Source: Neon One.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Kindful</w:t>
            </w:r>
          </w:p>
        </w:tc>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$119–$699/mo (now under Bloomerang)</w:t>
            </w:r>
          </w:p>
        </w:tc>
        <w:tc>
          <w:tcPr>
            <w:tcW w:type="dxa" w:w="4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Legacy donor CRM; merged into Bloomerang. Source: SoftwareSuggest.</w:t>
            </w:r>
          </w:p>
        </w:tc>
      </w:tr>
    </w:tbl>
    <w:p>
      <w:pPr>
        <w:pStyle w:val="Heading2"/>
        <w:spacing w:after="140" w:before="280"/>
      </w:pPr>
      <w:r>
        <w:rPr>
          <w:rFonts w:ascii="Arial" w:cs="Arial" w:eastAsia="Arial" w:hAnsi="Arial"/>
          <w:b/>
          <w:bCs/>
          <w:color w:val="7C2D12"/>
          <w:sz w:val="28"/>
          <w:szCs w:val="28"/>
        </w:rPr>
        <w:t xml:space="preserve">5.7 Grants — for the grantee side</w:t>
      </w:r>
    </w:p>
    <w:p>
      <w:pPr>
        <w:spacing w:after="80" w:before="60" w:line="300"/>
        <w:jc w:val="left"/>
      </w:pPr>
      <w:r>
        <w:rPr>
          <w:rFonts w:ascii="Arial" w:cs="Arial" w:eastAsia="Arial" w:hAnsi="Arial"/>
          <w:color w:val="1A1410"/>
          <w:sz w:val="22"/>
          <w:szCs w:val="22"/>
        </w:rPr>
        <w:t xml:space="preserve">Covered in V3.6 strategy Section 12.1 and the dedicated Kuja Grant Market Analysis (June 2026). Brief summary here for completeness: Foundant GLM (~$4,250/yr) — note Foundant Technologies acquired SmartSimple in 2025 and now sells them side-by-side; SmartSimple Cloud GMS360 (from ~$6,000/yr enterprise-custom); GivingData (from $9,950/yr); Instrumentl ($299–$999/month). Submittable, Fluxx, Salesforce Nonprofit Cloud for Grantmaking ($175-$225/user/month), and Blackbaud Grantmaking round out the seven-vendor competitive landscape. Most foundation-grade systems require enterprise sales conversations. The Kuja Elevate Grants module is backed by Kuja Grant — NGOs on the Elevate Platform do not pay separately.</w:t>
      </w:r>
    </w:p>
    <w:p>
      <w:pPr>
        <w:pStyle w:val="Heading1"/>
        <w:pageBreakBefore/>
        <w:spacing w:after="200" w:before="320"/>
      </w:pPr>
      <w:r>
        <w:rPr>
          <w:rFonts w:ascii="Arial" w:cs="Arial" w:eastAsia="Arial" w:hAnsi="Arial"/>
          <w:b/>
          <w:bCs/>
          <w:color w:val="C2410C"/>
          <w:sz w:val="36"/>
          <w:szCs w:val="36"/>
        </w:rPr>
        <w:t xml:space="preserve">6. The Stitched-Stack TCO Comparison</w:t>
      </w:r>
    </w:p>
    <w:p>
      <w:pPr>
        <w:spacing w:after="80" w:before="60" w:line="300"/>
        <w:jc w:val="left"/>
      </w:pPr>
      <w:r>
        <w:rPr>
          <w:rFonts w:ascii="Arial" w:cs="Arial" w:eastAsia="Arial" w:hAnsi="Arial"/>
          <w:color w:val="1A1410"/>
          <w:sz w:val="22"/>
          <w:szCs w:val="22"/>
        </w:rPr>
        <w:t xml:space="preserve">This is the single most important number in this market analysis. It is the headline against which Kuja Elevate is sold to direct-NGO buyers.</w:t>
      </w:r>
    </w:p>
    <w:p>
      <w:pPr>
        <w:pStyle w:val="Heading2"/>
        <w:spacing w:after="140" w:before="280"/>
      </w:pPr>
      <w:r>
        <w:rPr>
          <w:rFonts w:ascii="Arial" w:cs="Arial" w:eastAsia="Arial" w:hAnsi="Arial"/>
          <w:b/>
          <w:bCs/>
          <w:color w:val="7C2D12"/>
          <w:sz w:val="28"/>
          <w:szCs w:val="28"/>
        </w:rPr>
        <w:t xml:space="preserve">6.1 Benchmark — mid-size NGO running one tool per category</w:t>
      </w:r>
    </w:p>
    <w:p>
      <w:pPr>
        <w:spacing w:after="80" w:before="60" w:line="300"/>
        <w:jc w:val="left"/>
      </w:pPr>
      <w:r>
        <w:rPr>
          <w:rFonts w:ascii="Arial" w:cs="Arial" w:eastAsia="Arial" w:hAnsi="Arial"/>
          <w:color w:val="1A1410"/>
          <w:sz w:val="22"/>
          <w:szCs w:val="22"/>
        </w:rPr>
        <w:t xml:space="preserve">Profile: a $10M–$25M annual revenue NGO with ~100 staff and ~15 board members. Mid-tier deployments of each tool — neither the cheapest nor the most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800"/>
        <w:gridCol w:w="1760"/>
      </w:tblGrid>
      <w:tr>
        <w:tc>
          <w:tcPr>
            <w:tcW w:type="dxa" w:w="2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Module</w:t>
            </w:r>
          </w:p>
        </w:tc>
        <w:tc>
          <w:tcPr>
            <w:tcW w:type="dxa" w:w="3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Vendor (mid-market pick)</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sub.</w:t>
            </w:r>
          </w:p>
        </w:tc>
        <w:tc>
          <w:tcPr>
            <w:tcW w:type="dxa" w:w="1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 1 impl.</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CLM</w:t>
            </w:r>
          </w:p>
        </w:tc>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LinkSquares</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$31,000</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$15,000</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 portal</w:t>
            </w:r>
          </w:p>
        </w:tc>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BoardEffect</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$10,000</w:t>
            </w:r>
          </w:p>
        </w:tc>
        <w:tc>
          <w:tcPr>
            <w:tcW w:type="dxa" w:w="1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$5,000</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OKR / strategy</w:t>
            </w:r>
          </w:p>
        </w:tc>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ClearPoint Strategy Professional ($800/mo)</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$9,600</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Policy / SOP</w:t>
            </w:r>
          </w:p>
        </w:tc>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Onspring (entry)</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$20,000</w:t>
            </w:r>
          </w:p>
        </w:tc>
        <w:tc>
          <w:tcPr>
            <w:tcW w:type="dxa" w:w="1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Project management</w:t>
            </w:r>
          </w:p>
        </w:tc>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Asana Advanced (100 seats × $24.99/mo)</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$29,988</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$10,000</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Nonprofit CRM</w:t>
            </w:r>
          </w:p>
        </w:tc>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Salesforce NPC (10 free + 40 × $60/mo)</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$28,800</w:t>
            </w:r>
          </w:p>
        </w:tc>
        <w:tc>
          <w:tcPr>
            <w:tcW w:type="dxa" w:w="1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$25,000</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SUBTOTAL</w:t>
            </w:r>
          </w:p>
        </w:tc>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$129,388</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$55,000</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YEAR 1 TOTAL</w:t>
            </w:r>
          </w:p>
        </w:tc>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~$184,000</w:t>
            </w:r>
          </w:p>
        </w:tc>
        <w:tc>
          <w:tcPr>
            <w:tcW w:type="dxa" w:w="1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STEADY-STATE Y2+</w:t>
            </w:r>
          </w:p>
        </w:tc>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~$129,000/yr</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bl>
    <w:p>
      <w:pPr>
        <w:spacing w:after="80" w:before="60" w:line="300"/>
        <w:jc w:val="left"/>
      </w:pPr>
      <w:r>
        <w:rPr>
          <w:rFonts w:ascii="Arial" w:cs="Arial" w:eastAsia="Arial" w:hAnsi="Arial"/>
          <w:i/>
          <w:iCs/>
          <w:color w:val="6B6660"/>
          <w:sz w:val="18"/>
          <w:szCs w:val="18"/>
        </w:rPr>
        <w:t xml:space="preserve">Sources by line: LinkSquares median via Vendr Marketplace; BoardEffect via imBoard.ai board-management pricing guide; ClearPoint via SaaSWorthy product pricing; Onspring via SmartSuite Onspring pricing post; Asana via G2 listing; Salesforce NPC pricing via vendor pricing page; NPC implementation cost via Zeffy and Salesforce community references.</w:t>
      </w:r>
    </w:p>
    <w:p>
      <w:pPr>
        <w:pStyle w:val="Heading2"/>
        <w:spacing w:after="140" w:before="280"/>
      </w:pPr>
      <w:r>
        <w:rPr>
          <w:rFonts w:ascii="Arial" w:cs="Arial" w:eastAsia="Arial" w:hAnsi="Arial"/>
          <w:b/>
          <w:bCs/>
          <w:color w:val="7C2D12"/>
          <w:sz w:val="28"/>
          <w:szCs w:val="28"/>
        </w:rPr>
        <w:t xml:space="preserve">6.2 Hidden costs not captured in headline pricing</w:t>
      </w:r>
    </w:p>
    <w:p>
      <w:pPr>
        <w:spacing w:after="80" w:before="60" w:line="300"/>
        <w:jc w:val="left"/>
      </w:pPr>
      <w:r>
        <w:rPr>
          <w:rFonts w:ascii="Arial" w:cs="Arial" w:eastAsia="Arial" w:hAnsi="Arial"/>
          <w:color w:val="1A1410"/>
          <w:sz w:val="22"/>
          <w:szCs w:val="22"/>
        </w:rPr>
        <w:t xml:space="preserve">The $184K Year 1 / $129K steady-state numbers are floor-level. In practice, mid-size NGOs incur additional costs:</w:t>
      </w:r>
    </w:p>
    <w:p>
      <w:pPr>
        <w:pStyle w:val="ListParagraph"/>
        <w:numPr>
          <w:ilvl w:val="0"/>
          <w:numId w:val="2"/>
        </w:numPr>
        <w:spacing w:after="60" w:before="30" w:line="280"/>
      </w:pPr>
      <w:r>
        <w:rPr>
          <w:rFonts w:ascii="Arial" w:cs="Arial" w:eastAsia="Arial" w:hAnsi="Arial"/>
          <w:b/>
          <w:bCs/>
          <w:color w:val="1A1410"/>
          <w:sz w:val="22"/>
          <w:szCs w:val="22"/>
        </w:rPr>
        <w:t xml:space="preserve">5–8% annual price escalators </w:t>
      </w:r>
      <w:r>
        <w:rPr>
          <w:rFonts w:ascii="Arial" w:cs="Arial" w:eastAsia="Arial" w:hAnsi="Arial"/>
          <w:color w:val="1A1410"/>
          <w:sz w:val="22"/>
          <w:szCs w:val="22"/>
        </w:rPr>
        <w:t xml:space="preserve">on CLM and CRM contracts — standard contractual term. By Year 3 the steady-state has grown ~15–25%.</w:t>
      </w:r>
    </w:p>
    <w:p>
      <w:pPr>
        <w:pStyle w:val="ListParagraph"/>
        <w:numPr>
          <w:ilvl w:val="0"/>
          <w:numId w:val="2"/>
        </w:numPr>
        <w:spacing w:after="60" w:before="30" w:line="280"/>
      </w:pPr>
      <w:r>
        <w:rPr>
          <w:rFonts w:ascii="Arial" w:cs="Arial" w:eastAsia="Arial" w:hAnsi="Arial"/>
          <w:b/>
          <w:bCs/>
          <w:color w:val="1A1410"/>
          <w:sz w:val="22"/>
          <w:szCs w:val="22"/>
        </w:rPr>
        <w:t xml:space="preserve">Integration middleware </w:t>
      </w:r>
      <w:r>
        <w:rPr>
          <w:rFonts w:ascii="Arial" w:cs="Arial" w:eastAsia="Arial" w:hAnsi="Arial"/>
          <w:color w:val="1A1410"/>
          <w:sz w:val="22"/>
          <w:szCs w:val="22"/>
        </w:rPr>
        <w:t xml:space="preserve">(Zapier, Workato, custom code) at $10K–$25K/year — required when six tools need to share customer records.</w:t>
      </w:r>
    </w:p>
    <w:p>
      <w:pPr>
        <w:pStyle w:val="ListParagraph"/>
        <w:numPr>
          <w:ilvl w:val="0"/>
          <w:numId w:val="2"/>
        </w:numPr>
        <w:spacing w:after="60" w:before="30" w:line="280"/>
      </w:pPr>
      <w:r>
        <w:rPr>
          <w:rFonts w:ascii="Arial" w:cs="Arial" w:eastAsia="Arial" w:hAnsi="Arial"/>
          <w:b/>
          <w:bCs/>
          <w:color w:val="1A1410"/>
          <w:sz w:val="22"/>
          <w:szCs w:val="22"/>
        </w:rPr>
        <w:t xml:space="preserve">Internal admin FTE </w:t>
      </w:r>
      <w:r>
        <w:rPr>
          <w:rFonts w:ascii="Arial" w:cs="Arial" w:eastAsia="Arial" w:hAnsi="Arial"/>
          <w:color w:val="1A1410"/>
          <w:sz w:val="22"/>
          <w:szCs w:val="22"/>
        </w:rPr>
        <w:t xml:space="preserve">to maintain six contracts, six admin consoles, six security postures: 0.25–0.5 FTE = $25K–$60K/year.</w:t>
      </w:r>
    </w:p>
    <w:p>
      <w:pPr>
        <w:pStyle w:val="ListParagraph"/>
        <w:numPr>
          <w:ilvl w:val="0"/>
          <w:numId w:val="2"/>
        </w:numPr>
        <w:spacing w:after="60" w:before="30" w:line="280"/>
      </w:pPr>
      <w:r>
        <w:rPr>
          <w:rFonts w:ascii="Arial" w:cs="Arial" w:eastAsia="Arial" w:hAnsi="Arial"/>
          <w:b/>
          <w:bCs/>
          <w:color w:val="1A1410"/>
          <w:sz w:val="22"/>
          <w:szCs w:val="22"/>
        </w:rPr>
        <w:t xml:space="preserve">DocuSign envelope overages </w:t>
      </w:r>
      <w:r>
        <w:rPr>
          <w:rFonts w:ascii="Arial" w:cs="Arial" w:eastAsia="Arial" w:hAnsi="Arial"/>
          <w:color w:val="1A1410"/>
          <w:sz w:val="22"/>
          <w:szCs w:val="22"/>
        </w:rPr>
        <w:t xml:space="preserve">at $1–$2 per envelope for any volume above the included pool.</w:t>
      </w:r>
    </w:p>
    <w:p>
      <w:pPr>
        <w:pStyle w:val="ListParagraph"/>
        <w:numPr>
          <w:ilvl w:val="0"/>
          <w:numId w:val="2"/>
        </w:numPr>
        <w:spacing w:after="60" w:before="30" w:line="280"/>
      </w:pPr>
      <w:r>
        <w:rPr>
          <w:rFonts w:ascii="Arial" w:cs="Arial" w:eastAsia="Arial" w:hAnsi="Arial"/>
          <w:b/>
          <w:bCs/>
          <w:color w:val="1A1410"/>
          <w:sz w:val="22"/>
          <w:szCs w:val="22"/>
        </w:rPr>
        <w:t xml:space="preserve">User seat creep </w:t>
      </w:r>
      <w:r>
        <w:rPr>
          <w:rFonts w:ascii="Arial" w:cs="Arial" w:eastAsia="Arial" w:hAnsi="Arial"/>
          <w:color w:val="1A1410"/>
          <w:sz w:val="22"/>
          <w:szCs w:val="22"/>
        </w:rPr>
        <w:t xml:space="preserve">— new hires, new departments, vendor expansion drive Asana / CRM / OKR seats up year over year.</w:t>
      </w:r>
    </w:p>
    <w:p>
      <w:pPr>
        <w:spacing w:after="80" w:before="60" w:line="300"/>
        <w:jc w:val="left"/>
      </w:pPr>
      <w:r>
        <w:rPr>
          <w:rFonts w:ascii="Arial" w:cs="Arial" w:eastAsia="Arial" w:hAnsi="Arial"/>
          <w:color w:val="1A1410"/>
          <w:sz w:val="22"/>
          <w:szCs w:val="22"/>
        </w:rPr>
        <w:t xml:space="preserve">Realistic Year 1 TCO for many mid-size NGOs is closer to $220K–$250K. Steady-state Year 2+ closer to $150K–$180K/year.</w:t>
      </w:r>
    </w:p>
    <w:p>
      <w:pPr>
        <w:pStyle w:val="Heading2"/>
        <w:spacing w:after="140" w:before="280"/>
      </w:pPr>
      <w:r>
        <w:rPr>
          <w:rFonts w:ascii="Arial" w:cs="Arial" w:eastAsia="Arial" w:hAnsi="Arial"/>
          <w:b/>
          <w:bCs/>
          <w:color w:val="7C2D12"/>
          <w:sz w:val="28"/>
          <w:szCs w:val="28"/>
        </w:rPr>
        <w:t xml:space="preserve">6.3 Sensitivity bands</w:t>
      </w:r>
    </w:p>
    <w:p>
      <w:pPr>
        <w:spacing w:after="80" w:before="60" w:line="300"/>
        <w:jc w:val="left"/>
      </w:pPr>
      <w:r>
        <w:rPr>
          <w:rFonts w:ascii="Arial" w:cs="Arial" w:eastAsia="Arial" w:hAnsi="Arial"/>
          <w:color w:val="1A1410"/>
          <w:sz w:val="22"/>
          <w:szCs w:val="22"/>
        </w:rPr>
        <w:t xml:space="preserve">TCO varies materially with sophistication of vendor picks: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Stack profile</w:t>
            </w:r>
          </w:p>
        </w:tc>
        <w:tc>
          <w:tcPr>
            <w:tcW w:type="dxa" w:w="2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 1 TCO</w:t>
            </w:r>
          </w:p>
        </w:tc>
        <w:tc>
          <w:tcPr>
            <w:tcW w:type="dxa" w:w="3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Frugal stack</w:t>
            </w:r>
          </w:p>
        </w:tc>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$45K–$60K/yr</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ClickUp + Boardable + Neon CRM + ContractWorks + Profit.co + Bloomerang. Loses enterprise auditability, AI, donor-compliance encoding, and most board portal sophistication.</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Standard mid-market (table above)</w:t>
            </w:r>
          </w:p>
        </w:tc>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~$184K Year 1; ~$129K Y2+</w:t>
            </w:r>
          </w:p>
        </w:tc>
        <w:tc>
          <w:tcPr>
            <w:tcW w:type="dxa" w:w="3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The benchmark NGOs typically land on after a few years of growth.</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Premium stack</w:t>
            </w:r>
          </w:p>
        </w:tc>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$350K–$600K+ Year 1</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Ironclad + Diligent + Workboard + LogicGate + Smartsheet Enterprise + Salesforce Unlimited. What a $50M+ NGO is paying.</w:t>
            </w:r>
          </w:p>
        </w:tc>
      </w:tr>
    </w:tbl>
    <w:p>
      <w:pPr>
        <w:pStyle w:val="Heading2"/>
        <w:spacing w:after="140" w:before="280"/>
      </w:pPr>
      <w:r>
        <w:rPr>
          <w:rFonts w:ascii="Arial" w:cs="Arial" w:eastAsia="Arial" w:hAnsi="Arial"/>
          <w:b/>
          <w:bCs/>
          <w:color w:val="7C2D12"/>
          <w:sz w:val="28"/>
          <w:szCs w:val="28"/>
        </w:rPr>
        <w:t xml:space="preserve">6.4 The Kuja Elevate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Kuja Elevate Standard tier: $30K–$60K per NGO per year. Bundle including Advisory: $100K–$200K Year 1.</w:t>
            </w:r>
          </w:p>
          <w:p>
            <w:pPr>
              <w:spacing w:before="80"/>
            </w:pPr>
            <w:r>
              <w:rPr>
                <w:rFonts w:ascii="Arial" w:cs="Arial" w:eastAsia="Arial" w:hAnsi="Arial"/>
                <w:color w:val="1A1410"/>
                <w:sz w:val="22"/>
                <w:szCs w:val="22"/>
              </w:rPr>
              <w:t xml:space="preserve">Versus the $184K Year 1 stitched stack: </w:t>
            </w:r>
            <w:r>
              <w:rPr>
                <w:rFonts w:ascii="Arial" w:cs="Arial" w:eastAsia="Arial" w:hAnsi="Arial"/>
                <w:b/>
                <w:bCs/>
                <w:color w:val="1A1410"/>
                <w:sz w:val="22"/>
                <w:szCs w:val="22"/>
              </w:rPr>
              <w:t xml:space="preserve">one-third to one-quarter the TCO. </w:t>
            </w:r>
            <w:r>
              <w:rPr>
                <w:rFonts w:ascii="Arial" w:cs="Arial" w:eastAsia="Arial" w:hAnsi="Arial"/>
                <w:color w:val="1A1410"/>
                <w:sz w:val="22"/>
                <w:szCs w:val="22"/>
              </w:rPr>
              <w:t xml:space="preserve">Versus the frugal stack: </w:t>
            </w:r>
            <w:r>
              <w:rPr>
                <w:rFonts w:ascii="Arial" w:cs="Arial" w:eastAsia="Arial" w:hAnsi="Arial"/>
                <w:b/>
                <w:bCs/>
                <w:color w:val="1A1410"/>
                <w:sz w:val="22"/>
                <w:szCs w:val="22"/>
              </w:rPr>
              <w:t xml:space="preserve">comparable cost — but with full AI integration, full audit chain, six-language parity, and Adeso's production reference.</w:t>
            </w:r>
          </w:p>
          <w:p>
            <w:pPr>
              <w:spacing w:before="80"/>
            </w:pPr>
            <w:r>
              <w:rPr>
                <w:rFonts w:ascii="Arial" w:cs="Arial" w:eastAsia="Arial" w:hAnsi="Arial"/>
                <w:color w:val="1A1410"/>
                <w:sz w:val="22"/>
                <w:szCs w:val="22"/>
              </w:rPr>
              <w:t xml:space="preserve">The Bundle ($100K–$200K Year 1 including Full Transformation Advisory) competes against the standard stitched stack PLUS the consulting engagement an NGO would pay separately to implement and adopt the stack ($50K–$100K via Big-4 or INGO-led services). Net Bundle savings vs do-it-yourself stack + advisory: </w:t>
            </w:r>
            <w:r>
              <w:rPr>
                <w:rFonts w:ascii="Arial" w:cs="Arial" w:eastAsia="Arial" w:hAnsi="Arial"/>
                <w:b/>
                <w:bCs/>
                <w:color w:val="1A1410"/>
                <w:sz w:val="22"/>
                <w:szCs w:val="22"/>
              </w:rPr>
              <w:t xml:space="preserve">$50K–$120K Year 1.</w:t>
            </w:r>
          </w:p>
        </w:tc>
      </w:tr>
    </w:tbl>
    <w:p>
      <w:pPr>
        <w:pStyle w:val="Heading1"/>
        <w:pageBreakBefore/>
        <w:spacing w:after="200" w:before="320"/>
      </w:pPr>
      <w:r>
        <w:rPr>
          <w:rFonts w:ascii="Arial" w:cs="Arial" w:eastAsia="Arial" w:hAnsi="Arial"/>
          <w:b/>
          <w:bCs/>
          <w:color w:val="C2410C"/>
          <w:sz w:val="36"/>
          <w:szCs w:val="36"/>
        </w:rPr>
        <w:t xml:space="preserve">7. Competitive Advantage and Moat</w:t>
      </w:r>
    </w:p>
    <w:p>
      <w:pPr>
        <w:spacing w:after="80" w:before="60" w:line="300"/>
        <w:jc w:val="left"/>
      </w:pPr>
      <w:r>
        <w:rPr>
          <w:rFonts w:ascii="Arial" w:cs="Arial" w:eastAsia="Arial" w:hAnsi="Arial"/>
          <w:color w:val="1A1410"/>
          <w:sz w:val="22"/>
          <w:szCs w:val="22"/>
        </w:rPr>
        <w:t xml:space="preserve">Five structural advantages that compound. None of the stitched-stack incumbents can match all five without a full architectural rebuild.</w:t>
      </w:r>
    </w:p>
    <w:p>
      <w:pPr>
        <w:pStyle w:val="Heading2"/>
        <w:spacing w:after="140" w:before="280"/>
      </w:pPr>
      <w:r>
        <w:rPr>
          <w:rFonts w:ascii="Arial" w:cs="Arial" w:eastAsia="Arial" w:hAnsi="Arial"/>
          <w:b/>
          <w:bCs/>
          <w:color w:val="7C2D12"/>
          <w:sz w:val="28"/>
          <w:szCs w:val="28"/>
        </w:rPr>
        <w:t xml:space="preserve">7.1 One platform, one customer record</w:t>
      </w:r>
    </w:p>
    <w:p>
      <w:pPr>
        <w:spacing w:after="80" w:before="60" w:line="300"/>
        <w:jc w:val="left"/>
      </w:pPr>
      <w:r>
        <w:rPr>
          <w:rFonts w:ascii="Arial" w:cs="Arial" w:eastAsia="Arial" w:hAnsi="Arial"/>
          <w:color w:val="1A1410"/>
          <w:sz w:val="22"/>
          <w:szCs w:val="22"/>
        </w:rPr>
        <w:t xml:space="preserve">A contract signed in the Contracts module automatically updates the obligation tracker in Compliance. The Compliance flag surfaces in the Department view. The Department rolls into the Executive dashboard. The whole flow is a single transaction in a single data model. The stitched stack does none of this without paid integration middleware and ongoing maintenance.</w:t>
      </w:r>
    </w:p>
    <w:p>
      <w:pPr>
        <w:pStyle w:val="Heading2"/>
        <w:spacing w:after="140" w:before="280"/>
      </w:pPr>
      <w:r>
        <w:rPr>
          <w:rFonts w:ascii="Arial" w:cs="Arial" w:eastAsia="Arial" w:hAnsi="Arial"/>
          <w:b/>
          <w:bCs/>
          <w:color w:val="7C2D12"/>
          <w:sz w:val="28"/>
          <w:szCs w:val="28"/>
        </w:rPr>
        <w:t xml:space="preserve">7.2 AI-native architecture</w:t>
      </w:r>
    </w:p>
    <w:p>
      <w:pPr>
        <w:spacing w:after="80" w:before="60" w:line="300"/>
        <w:jc w:val="left"/>
      </w:pPr>
      <w:r>
        <w:rPr>
          <w:rFonts w:ascii="Arial" w:cs="Arial" w:eastAsia="Arial" w:hAnsi="Arial"/>
          <w:color w:val="1A1410"/>
          <w:sz w:val="22"/>
          <w:szCs w:val="22"/>
        </w:rPr>
        <w:t xml:space="preserve">AI runs inside every module — extracting clauses from contracts, summarizing board packs, drafting policies from a question set, answering staff questions across the corpus, evaluating compliance reports per criterion. Verified competitive context: 92% of nonprofits use some AI tools but only 7% report major organizational impact (Virtuous + Fundraising.AI 2026). 80% of nonprofits familiar with AI but 76% have no policy and only 4% have AI training budget (Candid AI Equity Project 2025). Mainstream vendors — Submittable, Salesforce Einstein for Nonprofit Cloud, Bonterra — are bolting AI onto data models built before the AI era. Kuja Elevate was built AI-native from day one.</w:t>
      </w:r>
    </w:p>
    <w:p>
      <w:pPr>
        <w:pStyle w:val="Heading2"/>
        <w:spacing w:after="140" w:before="280"/>
      </w:pPr>
      <w:r>
        <w:rPr>
          <w:rFonts w:ascii="Arial" w:cs="Arial" w:eastAsia="Arial" w:hAnsi="Arial"/>
          <w:b/>
          <w:bCs/>
          <w:color w:val="7C2D12"/>
          <w:sz w:val="28"/>
          <w:szCs w:val="28"/>
        </w:rPr>
        <w:t xml:space="preserve">7.3 Built BY the Global South, FOR the Global South</w:t>
      </w:r>
    </w:p>
    <w:p>
      <w:pPr>
        <w:pStyle w:val="ListParagraph"/>
        <w:numPr>
          <w:ilvl w:val="0"/>
          <w:numId w:val="2"/>
        </w:numPr>
        <w:spacing w:after="60" w:before="30" w:line="280"/>
      </w:pPr>
      <w:r>
        <w:rPr>
          <w:rFonts w:ascii="Arial" w:cs="Arial" w:eastAsia="Arial" w:hAnsi="Arial"/>
          <w:color w:val="1A1410"/>
          <w:sz w:val="22"/>
          <w:szCs w:val="22"/>
        </w:rPr>
        <w:t xml:space="preserve">Six languages at platform parity: EN, FR, AR, SW, SO, ES.</w:t>
      </w:r>
    </w:p>
    <w:p>
      <w:pPr>
        <w:pStyle w:val="ListParagraph"/>
        <w:numPr>
          <w:ilvl w:val="0"/>
          <w:numId w:val="2"/>
        </w:numPr>
        <w:spacing w:after="60" w:before="30" w:line="280"/>
      </w:pPr>
      <w:r>
        <w:rPr>
          <w:rFonts w:ascii="Arial" w:cs="Arial" w:eastAsia="Arial" w:hAnsi="Arial"/>
          <w:color w:val="1A1410"/>
          <w:sz w:val="22"/>
          <w:szCs w:val="22"/>
        </w:rPr>
        <w:t xml:space="preserve">Seven country registries pre-mapped: Kenya, Nigeria, South Africa, Uganda, Tanzania, Somalia, Ethiopia.</w:t>
      </w:r>
    </w:p>
    <w:p>
      <w:pPr>
        <w:pStyle w:val="ListParagraph"/>
        <w:numPr>
          <w:ilvl w:val="0"/>
          <w:numId w:val="2"/>
        </w:numPr>
        <w:spacing w:after="60" w:before="30" w:line="280"/>
      </w:pPr>
      <w:r>
        <w:rPr>
          <w:rFonts w:ascii="Arial" w:cs="Arial" w:eastAsia="Arial" w:hAnsi="Arial"/>
          <w:color w:val="1A1410"/>
          <w:sz w:val="22"/>
          <w:szCs w:val="22"/>
        </w:rPr>
        <w:t xml:space="preserve">Donor-compliance regimes encoded as first-class entities: USAID legacy frameworks, EU INTPA, UN HACT, Global Fund, FCDO ADS.</w:t>
      </w:r>
    </w:p>
    <w:p>
      <w:pPr>
        <w:pStyle w:val="ListParagraph"/>
        <w:numPr>
          <w:ilvl w:val="0"/>
          <w:numId w:val="2"/>
        </w:numPr>
        <w:spacing w:after="60" w:before="30" w:line="280"/>
      </w:pPr>
      <w:r>
        <w:rPr>
          <w:rFonts w:ascii="Arial" w:cs="Arial" w:eastAsia="Arial" w:hAnsi="Arial"/>
          <w:color w:val="1A1410"/>
          <w:sz w:val="22"/>
          <w:szCs w:val="22"/>
        </w:rPr>
        <w:t xml:space="preserve">Mobile-first because that is how the market operates — Africa's mid-tier internet penetration is 27–32% (Premier Science, 2024) and mobile is the primary device.</w:t>
      </w:r>
    </w:p>
    <w:p>
      <w:pPr>
        <w:pStyle w:val="ListParagraph"/>
        <w:numPr>
          <w:ilvl w:val="0"/>
          <w:numId w:val="2"/>
        </w:numPr>
        <w:spacing w:after="60" w:before="30" w:line="280"/>
      </w:pPr>
      <w:r>
        <w:rPr>
          <w:rFonts w:ascii="Arial" w:cs="Arial" w:eastAsia="Arial" w:hAnsi="Arial"/>
          <w:color w:val="1A1410"/>
          <w:sz w:val="22"/>
          <w:szCs w:val="22"/>
        </w:rPr>
        <w:t xml:space="preserve">USD-denominated pricing tiers that anchor at $30K (Standard) rather than $300K — designed for the $5M–$25M revenue band.</w:t>
      </w:r>
    </w:p>
    <w:p>
      <w:pPr>
        <w:pStyle w:val="Heading2"/>
        <w:spacing w:after="140" w:before="280"/>
      </w:pPr>
      <w:r>
        <w:rPr>
          <w:rFonts w:ascii="Arial" w:cs="Arial" w:eastAsia="Arial" w:hAnsi="Arial"/>
          <w:b/>
          <w:bCs/>
          <w:color w:val="7C2D12"/>
          <w:sz w:val="28"/>
          <w:szCs w:val="28"/>
        </w:rPr>
        <w:t xml:space="preserve">7.4 Real product proof — Adeso runs on it</w:t>
      </w:r>
    </w:p>
    <w:p>
      <w:pPr>
        <w:spacing w:after="80" w:before="60" w:line="300"/>
        <w:jc w:val="left"/>
      </w:pPr>
      <w:r>
        <w:rPr>
          <w:rFonts w:ascii="Arial" w:cs="Arial" w:eastAsia="Arial" w:hAnsi="Arial"/>
          <w:color w:val="1A1410"/>
          <w:sz w:val="22"/>
          <w:szCs w:val="22"/>
        </w:rPr>
        <w:t xml:space="preserve">The user guide describes operations that Adeso actually runs. KPIs reported by Adeso departments. Contracts signed by Adeso. Board packs generated for Adeso's board. SOPs versioned and acknowledged by Adeso staff. The product is not a roadmap — it is the company's own operating system. Every customer demo can include "open the actual Adeso instance" as a credibility moment.</w:t>
      </w:r>
    </w:p>
    <w:p>
      <w:pPr>
        <w:pStyle w:val="Heading2"/>
        <w:spacing w:after="140" w:before="280"/>
      </w:pPr>
      <w:r>
        <w:rPr>
          <w:rFonts w:ascii="Arial" w:cs="Arial" w:eastAsia="Arial" w:hAnsi="Arial"/>
          <w:b/>
          <w:bCs/>
          <w:color w:val="7C2D12"/>
          <w:sz w:val="28"/>
          <w:szCs w:val="28"/>
        </w:rPr>
        <w:t xml:space="preserve">7.5 Integrated buying motion — Platform + Advisory together</w:t>
      </w:r>
    </w:p>
    <w:p>
      <w:pPr>
        <w:spacing w:after="80" w:before="60" w:line="300"/>
        <w:jc w:val="left"/>
      </w:pPr>
      <w:r>
        <w:rPr>
          <w:rFonts w:ascii="Arial" w:cs="Arial" w:eastAsia="Arial" w:hAnsi="Arial"/>
          <w:color w:val="1A1410"/>
          <w:sz w:val="22"/>
          <w:szCs w:val="22"/>
        </w:rPr>
        <w:t xml:space="preserve">Selling a SaaS platform and a services engagement together as a coordinated motion is rare in the NGO segment. The stitched-stack vendors sell software; the Big-4 advisory firms sell consulting; nobody sells the deployment-and-adoption-and-platform as one unit. Kuja Elevate is the only commercial offering that does. This compresses the buying conversation from "evaluate six software products separately, then hire a consultant" to "buy Kuja Elevate Bundle, talk to one vendor."</w:t>
      </w:r>
    </w:p>
    <w:p>
      <w:pPr>
        <w:pStyle w:val="Heading1"/>
        <w:pageBreakBefore/>
        <w:spacing w:after="200" w:before="320"/>
      </w:pPr>
      <w:r>
        <w:rPr>
          <w:rFonts w:ascii="Arial" w:cs="Arial" w:eastAsia="Arial" w:hAnsi="Arial"/>
          <w:b/>
          <w:bCs/>
          <w:color w:val="C2410C"/>
          <w:sz w:val="36"/>
          <w:szCs w:val="36"/>
        </w:rPr>
        <w:t xml:space="preserve">8. Customer Profiles — Six Personas</w:t>
      </w:r>
    </w:p>
    <w:p>
      <w:pPr>
        <w:spacing w:after="80" w:before="60" w:line="300"/>
        <w:jc w:val="left"/>
      </w:pPr>
      <w:r>
        <w:rPr>
          <w:rFonts w:ascii="Arial" w:cs="Arial" w:eastAsia="Arial" w:hAnsi="Arial"/>
          <w:color w:val="1A1410"/>
          <w:sz w:val="22"/>
          <w:szCs w:val="22"/>
        </w:rPr>
        <w:t xml:space="preserve">The buying conversation at a mid-size NGO involves multiple roles. Six personas matter most, with the COO/Director of Operations as the typical champion and the ED/CEO as the formal signer. (Bridgespan 2025 COO survey of 165 nonprofit COOs across US, Asia, and Africa.)</w:t>
      </w:r>
    </w:p>
    <w:p>
      <w:pPr>
        <w:pStyle w:val="Heading2"/>
        <w:spacing w:after="140" w:before="280"/>
      </w:pPr>
      <w:r>
        <w:rPr>
          <w:rFonts w:ascii="Arial" w:cs="Arial" w:eastAsia="Arial" w:hAnsi="Arial"/>
          <w:b/>
          <w:bCs/>
          <w:color w:val="7C2D12"/>
          <w:sz w:val="28"/>
          <w:szCs w:val="28"/>
        </w:rPr>
        <w:t xml:space="preserve">8.1 The Executive Director / CEO — the signer</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Spends too much senior leadership time on operations vs program. Cannot get a clean board pack without 40 hours of staff prep. Compliance fire drills. Can't tell which donors are happy.</w:t>
      </w:r>
    </w:p>
    <w:p>
      <w:pPr>
        <w:spacing w:after="80" w:before="60" w:line="300"/>
        <w:jc w:val="left"/>
      </w:pPr>
      <w:r>
        <w:rPr>
          <w:rFonts w:ascii="Arial" w:cs="Arial" w:eastAsia="Arial" w:hAnsi="Arial"/>
          <w:b/>
          <w:bCs/>
          <w:color w:val="1A1410"/>
          <w:sz w:val="22"/>
          <w:szCs w:val="22"/>
        </w:rPr>
        <w:t xml:space="preserve">What they buy today: </w:t>
      </w:r>
      <w:r>
        <w:rPr>
          <w:rFonts w:ascii="Arial" w:cs="Arial" w:eastAsia="Arial" w:hAnsi="Arial"/>
          <w:color w:val="1A1410"/>
          <w:sz w:val="22"/>
          <w:szCs w:val="22"/>
        </w:rPr>
        <w:t xml:space="preserve">Whatever the COO brings them. They sign; they do not evaluate. They block on price if it crosses board sign-off thresholds (typically $100K+ contracts).</w:t>
      </w:r>
    </w:p>
    <w:p>
      <w:pPr>
        <w:spacing w:after="80" w:before="60" w:line="300"/>
        <w:jc w:val="left"/>
      </w:pPr>
      <w:r>
        <w:rPr>
          <w:rFonts w:ascii="Arial" w:cs="Arial" w:eastAsia="Arial" w:hAnsi="Arial"/>
          <w:b/>
          <w:bCs/>
          <w:color w:val="1A1410"/>
          <w:sz w:val="22"/>
          <w:szCs w:val="22"/>
        </w:rPr>
        <w:t xml:space="preserve">What they buy from Elevate: </w:t>
      </w:r>
      <w:r>
        <w:rPr>
          <w:rFonts w:ascii="Arial" w:cs="Arial" w:eastAsia="Arial" w:hAnsi="Arial"/>
          <w:color w:val="1A1410"/>
          <w:sz w:val="22"/>
          <w:szCs w:val="22"/>
        </w:rPr>
        <w:t xml:space="preserve">Executive dashboard with weekly auto-generated status. Board pack generator. Compliance calendar that surfaces the four things that matter, not 40. Trust Passport publishing as the credential they can show to donors.</w:t>
      </w:r>
    </w:p>
    <w:p>
      <w:pPr>
        <w:spacing w:after="80" w:before="60" w:line="300"/>
        <w:jc w:val="left"/>
      </w:pPr>
      <w:r>
        <w:rPr>
          <w:rFonts w:ascii="Arial" w:cs="Arial" w:eastAsia="Arial" w:hAnsi="Arial"/>
          <w:b/>
          <w:bCs/>
          <w:color w:val="1A1410"/>
          <w:sz w:val="22"/>
          <w:szCs w:val="22"/>
        </w:rPr>
        <w:t xml:space="preserve">Pitch in one sentence: </w:t>
      </w:r>
      <w:r>
        <w:rPr>
          <w:rFonts w:ascii="Arial" w:cs="Arial" w:eastAsia="Arial" w:hAnsi="Arial"/>
          <w:color w:val="1A1410"/>
          <w:sz w:val="22"/>
          <w:szCs w:val="22"/>
        </w:rPr>
        <w:t xml:space="preserve">"Get your senior leadership team's time back; replace six SaaS tools with one platform that runs your operations and gives you the board pack you actually trust."</w:t>
      </w:r>
    </w:p>
    <w:p>
      <w:pPr>
        <w:pStyle w:val="Heading2"/>
        <w:spacing w:after="140" w:before="280"/>
      </w:pPr>
      <w:r>
        <w:rPr>
          <w:rFonts w:ascii="Arial" w:cs="Arial" w:eastAsia="Arial" w:hAnsi="Arial"/>
          <w:b/>
          <w:bCs/>
          <w:color w:val="7C2D12"/>
          <w:sz w:val="28"/>
          <w:szCs w:val="28"/>
        </w:rPr>
        <w:t xml:space="preserve">8.2 The COO / Director of Operations — the champion</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Owns the stitched stack and lives in its failures. Spends time managing technology vendors instead of running operations. Can't answer "what's the status across the org?" in less than half a day.</w:t>
      </w:r>
    </w:p>
    <w:p>
      <w:pPr>
        <w:spacing w:after="80" w:before="60" w:line="300"/>
        <w:jc w:val="left"/>
      </w:pPr>
      <w:r>
        <w:rPr>
          <w:rFonts w:ascii="Arial" w:cs="Arial" w:eastAsia="Arial" w:hAnsi="Arial"/>
          <w:b/>
          <w:bCs/>
          <w:color w:val="1A1410"/>
          <w:sz w:val="22"/>
          <w:szCs w:val="22"/>
        </w:rPr>
        <w:t xml:space="preserve">What they buy today: </w:t>
      </w:r>
      <w:r>
        <w:rPr>
          <w:rFonts w:ascii="Arial" w:cs="Arial" w:eastAsia="Arial" w:hAnsi="Arial"/>
          <w:color w:val="1A1410"/>
          <w:sz w:val="22"/>
          <w:szCs w:val="22"/>
        </w:rPr>
        <w:t xml:space="preserve">Mid-market PM tools (Asana, Smartsheet), policy systems (Onspring, SharePoint), board portals (BoardEffect). They evaluate; they recommend.</w:t>
      </w:r>
    </w:p>
    <w:p>
      <w:pPr>
        <w:spacing w:after="80" w:before="60" w:line="300"/>
        <w:jc w:val="left"/>
      </w:pPr>
      <w:r>
        <w:rPr>
          <w:rFonts w:ascii="Arial" w:cs="Arial" w:eastAsia="Arial" w:hAnsi="Arial"/>
          <w:b/>
          <w:bCs/>
          <w:color w:val="1A1410"/>
          <w:sz w:val="22"/>
          <w:szCs w:val="22"/>
        </w:rPr>
        <w:t xml:space="preserve">What they buy from Elevate: </w:t>
      </w:r>
      <w:r>
        <w:rPr>
          <w:rFonts w:ascii="Arial" w:cs="Arial" w:eastAsia="Arial" w:hAnsi="Arial"/>
          <w:color w:val="1A1410"/>
          <w:sz w:val="22"/>
          <w:szCs w:val="22"/>
        </w:rPr>
        <w:t xml:space="preserve">Single source of truth. Cross-module visibility. AI co-pilot. The day-one win is the home dashboard — every department's status in one view. The 90-day win is one less vendor renewal to manage.</w:t>
      </w:r>
    </w:p>
    <w:p>
      <w:pPr>
        <w:spacing w:after="80" w:before="60" w:line="300"/>
        <w:jc w:val="left"/>
      </w:pPr>
      <w:r>
        <w:rPr>
          <w:rFonts w:ascii="Arial" w:cs="Arial" w:eastAsia="Arial" w:hAnsi="Arial"/>
          <w:b/>
          <w:bCs/>
          <w:color w:val="1A1410"/>
          <w:sz w:val="22"/>
          <w:szCs w:val="22"/>
        </w:rPr>
        <w:t xml:space="preserve">Pitch in one sentence: </w:t>
      </w:r>
      <w:r>
        <w:rPr>
          <w:rFonts w:ascii="Arial" w:cs="Arial" w:eastAsia="Arial" w:hAnsi="Arial"/>
          <w:color w:val="1A1410"/>
          <w:sz w:val="22"/>
          <w:szCs w:val="22"/>
        </w:rPr>
        <w:t xml:space="preserve">"Stop spending more time managing technology than using it. Six vendors become one. AI does the data work you currently do in spreadsheets."</w:t>
      </w:r>
    </w:p>
    <w:p>
      <w:pPr>
        <w:pStyle w:val="Heading2"/>
        <w:spacing w:after="140" w:before="280"/>
      </w:pPr>
      <w:r>
        <w:rPr>
          <w:rFonts w:ascii="Arial" w:cs="Arial" w:eastAsia="Arial" w:hAnsi="Arial"/>
          <w:b/>
          <w:bCs/>
          <w:color w:val="7C2D12"/>
          <w:sz w:val="28"/>
          <w:szCs w:val="28"/>
        </w:rPr>
        <w:t xml:space="preserve">8.3 The CFO / Finance Director — the blocker</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Owns audit prep. Manages multi-donor restricted-fund reporting. Lives in the gap between Sage / QuickBooks and whatever the rest of the org uses. Audit prep takes 4–6 weeks every year.</w:t>
      </w:r>
    </w:p>
    <w:p>
      <w:pPr>
        <w:spacing w:after="80" w:before="60" w:line="300"/>
        <w:jc w:val="left"/>
      </w:pPr>
      <w:r>
        <w:rPr>
          <w:rFonts w:ascii="Arial" w:cs="Arial" w:eastAsia="Arial" w:hAnsi="Arial"/>
          <w:b/>
          <w:bCs/>
          <w:color w:val="1A1410"/>
          <w:sz w:val="22"/>
          <w:szCs w:val="22"/>
        </w:rPr>
        <w:t xml:space="preserve">What they buy today: </w:t>
      </w:r>
      <w:r>
        <w:rPr>
          <w:rFonts w:ascii="Arial" w:cs="Arial" w:eastAsia="Arial" w:hAnsi="Arial"/>
          <w:color w:val="1A1410"/>
          <w:sz w:val="22"/>
          <w:szCs w:val="22"/>
        </w:rPr>
        <w:t xml:space="preserve">Financial management software (85% of nonprofits per Sage 2024). Budgeting tools (28%, up from 18%). Does NOT typically buy CRM, board portal, or KPI tools — those are someone else's budget.</w:t>
      </w:r>
    </w:p>
    <w:p>
      <w:pPr>
        <w:spacing w:after="80" w:before="60" w:line="300"/>
        <w:jc w:val="left"/>
      </w:pPr>
      <w:r>
        <w:rPr>
          <w:rFonts w:ascii="Arial" w:cs="Arial" w:eastAsia="Arial" w:hAnsi="Arial"/>
          <w:b/>
          <w:bCs/>
          <w:color w:val="1A1410"/>
          <w:sz w:val="22"/>
          <w:szCs w:val="22"/>
        </w:rPr>
        <w:t xml:space="preserve">What they block on: </w:t>
      </w:r>
      <w:r>
        <w:rPr>
          <w:rFonts w:ascii="Arial" w:cs="Arial" w:eastAsia="Arial" w:hAnsi="Arial"/>
          <w:color w:val="1A1410"/>
          <w:sz w:val="22"/>
          <w:szCs w:val="22"/>
        </w:rPr>
        <w:t xml:space="preserve">Total cost of ownership vs current stack. Migration risk. Donor regime fit. Will the audit pass under the new system? Switching cost.</w:t>
      </w:r>
    </w:p>
    <w:p>
      <w:pPr>
        <w:spacing w:after="80" w:before="60" w:line="300"/>
        <w:jc w:val="left"/>
      </w:pPr>
      <w:r>
        <w:rPr>
          <w:rFonts w:ascii="Arial" w:cs="Arial" w:eastAsia="Arial" w:hAnsi="Arial"/>
          <w:b/>
          <w:bCs/>
          <w:color w:val="1A1410"/>
          <w:sz w:val="22"/>
          <w:szCs w:val="22"/>
        </w:rPr>
        <w:t xml:space="preserve">Pitch: </w:t>
      </w:r>
      <w:r>
        <w:rPr>
          <w:rFonts w:ascii="Arial" w:cs="Arial" w:eastAsia="Arial" w:hAnsi="Arial"/>
          <w:color w:val="1A1410"/>
          <w:sz w:val="22"/>
          <w:szCs w:val="22"/>
        </w:rPr>
        <w:t xml:space="preserve">TCO comparison vs the stitched stack (one-third the cost). Audit-evidence portal that pulls from the live ledger. Donor-compliance regimes pre-encoded. Adeso-runs-on-it as the audit reference.</w:t>
      </w:r>
    </w:p>
    <w:p>
      <w:pPr>
        <w:pStyle w:val="Heading2"/>
        <w:spacing w:after="140" w:before="280"/>
      </w:pPr>
      <w:r>
        <w:rPr>
          <w:rFonts w:ascii="Arial" w:cs="Arial" w:eastAsia="Arial" w:hAnsi="Arial"/>
          <w:b/>
          <w:bCs/>
          <w:color w:val="7C2D12"/>
          <w:sz w:val="28"/>
          <w:szCs w:val="28"/>
        </w:rPr>
        <w:t xml:space="preserve">8.4 The Compliance Officer — the technical reviewer</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Owns multi-donor compliance under at least three different regimes (USAID legacy, EU INTPA, UN HACT typically). Spends the rest of the year preparing for the next audit / DQA / micro-assessment. Lives in version-control hell between donor reporting templates.</w:t>
      </w:r>
    </w:p>
    <w:p>
      <w:pPr>
        <w:spacing w:after="80" w:before="60" w:line="300"/>
        <w:jc w:val="left"/>
      </w:pPr>
      <w:r>
        <w:rPr>
          <w:rFonts w:ascii="Arial" w:cs="Arial" w:eastAsia="Arial" w:hAnsi="Arial"/>
          <w:b/>
          <w:bCs/>
          <w:color w:val="1A1410"/>
          <w:sz w:val="22"/>
          <w:szCs w:val="22"/>
        </w:rPr>
        <w:t xml:space="preserve">What they buy from Elevate: </w:t>
      </w:r>
      <w:r>
        <w:rPr>
          <w:rFonts w:ascii="Arial" w:cs="Arial" w:eastAsia="Arial" w:hAnsi="Arial"/>
          <w:color w:val="1A1410"/>
          <w:sz w:val="22"/>
          <w:szCs w:val="22"/>
        </w:rPr>
        <w:t xml:space="preserve">Donor-regime encoding as first-class entities. AI plain-language compliance flags. Hash-anchored audit chain. Compliance calendar with proactive reminders. SOP acknowledgement tracking that survives donor audits.</w:t>
      </w:r>
    </w:p>
    <w:p>
      <w:pPr>
        <w:pStyle w:val="Heading2"/>
        <w:spacing w:after="140" w:before="280"/>
      </w:pPr>
      <w:r>
        <w:rPr>
          <w:rFonts w:ascii="Arial" w:cs="Arial" w:eastAsia="Arial" w:hAnsi="Arial"/>
          <w:b/>
          <w:bCs/>
          <w:color w:val="7C2D12"/>
          <w:sz w:val="28"/>
          <w:szCs w:val="28"/>
        </w:rPr>
        <w:t xml:space="preserve">8.5 The BD / Partnerships Lead — the secondary buyer</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Manages opportunity pipeline in spreadsheets or under-utilized Salesforce. Loses track of partner relationships. Cannot do win/loss analysis. Cannot show the board what the pipeline looks like.</w:t>
      </w:r>
    </w:p>
    <w:p>
      <w:pPr>
        <w:spacing w:after="80" w:before="60" w:line="300"/>
        <w:jc w:val="left"/>
      </w:pPr>
      <w:r>
        <w:rPr>
          <w:rFonts w:ascii="Arial" w:cs="Arial" w:eastAsia="Arial" w:hAnsi="Arial"/>
          <w:b/>
          <w:bCs/>
          <w:color w:val="1A1410"/>
          <w:sz w:val="22"/>
          <w:szCs w:val="22"/>
        </w:rPr>
        <w:t xml:space="preserve">What they buy today: </w:t>
      </w:r>
      <w:r>
        <w:rPr>
          <w:rFonts w:ascii="Arial" w:cs="Arial" w:eastAsia="Arial" w:hAnsi="Arial"/>
          <w:color w:val="1A1410"/>
          <w:sz w:val="22"/>
          <w:szCs w:val="22"/>
        </w:rPr>
        <w:t xml:space="preserve">Salesforce Nonprofit Cloud (the field standard) or spreadsheets (the reality for most mid-size NGOs).</w:t>
      </w:r>
    </w:p>
    <w:p>
      <w:pPr>
        <w:spacing w:after="80" w:before="60" w:line="300"/>
        <w:jc w:val="left"/>
      </w:pPr>
      <w:r>
        <w:rPr>
          <w:rFonts w:ascii="Arial" w:cs="Arial" w:eastAsia="Arial" w:hAnsi="Arial"/>
          <w:b/>
          <w:bCs/>
          <w:color w:val="1A1410"/>
          <w:sz w:val="22"/>
          <w:szCs w:val="22"/>
        </w:rPr>
        <w:t xml:space="preserve">What they buy from Elevate: </w:t>
      </w:r>
      <w:r>
        <w:rPr>
          <w:rFonts w:ascii="Arial" w:cs="Arial" w:eastAsia="Arial" w:hAnsi="Arial"/>
          <w:color w:val="1A1410"/>
          <w:sz w:val="22"/>
          <w:szCs w:val="22"/>
        </w:rPr>
        <w:t xml:space="preserve">Opportunity pipeline. Partner CRM. Donor relationship data. Decision log. Win/loss analysis. AI-drafted partner communications. Integration with the rest of the org's data — when a partner becomes a contract, becomes a grant, becomes an obligation, it's all one record.</w:t>
      </w:r>
    </w:p>
    <w:p>
      <w:pPr>
        <w:pStyle w:val="Heading2"/>
        <w:spacing w:after="140" w:before="280"/>
      </w:pPr>
      <w:r>
        <w:rPr>
          <w:rFonts w:ascii="Arial" w:cs="Arial" w:eastAsia="Arial" w:hAnsi="Arial"/>
          <w:b/>
          <w:bCs/>
          <w:color w:val="7C2D12"/>
          <w:sz w:val="28"/>
          <w:szCs w:val="28"/>
        </w:rPr>
        <w:t xml:space="preserve">8.6 The Board Secretary / Chair — the governance buyer</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Manages board packs in email + Dropbox. Tracks resolutions in a Google Doc. Cannot easily search prior minutes. Board members complain about clunky access on mobile.</w:t>
      </w:r>
    </w:p>
    <w:p>
      <w:pPr>
        <w:spacing w:after="80" w:before="60" w:line="300"/>
        <w:jc w:val="left"/>
      </w:pPr>
      <w:r>
        <w:rPr>
          <w:rFonts w:ascii="Arial" w:cs="Arial" w:eastAsia="Arial" w:hAnsi="Arial"/>
          <w:b/>
          <w:bCs/>
          <w:color w:val="1A1410"/>
          <w:sz w:val="22"/>
          <w:szCs w:val="22"/>
        </w:rPr>
        <w:t xml:space="preserve">What they buy today: </w:t>
      </w:r>
      <w:r>
        <w:rPr>
          <w:rFonts w:ascii="Arial" w:cs="Arial" w:eastAsia="Arial" w:hAnsi="Arial"/>
          <w:color w:val="1A1410"/>
          <w:sz w:val="22"/>
          <w:szCs w:val="22"/>
        </w:rPr>
        <w:t xml:space="preserve">BoardEffect, OnBoard, Diligent, Boardable, or nothing. The board portal market is roughly $6B (2023) growing 20%/year, implying low penetration in mid-size NGOs.</w:t>
      </w:r>
    </w:p>
    <w:p>
      <w:pPr>
        <w:spacing w:after="80" w:before="60" w:line="300"/>
        <w:jc w:val="left"/>
      </w:pPr>
      <w:r>
        <w:rPr>
          <w:rFonts w:ascii="Arial" w:cs="Arial" w:eastAsia="Arial" w:hAnsi="Arial"/>
          <w:b/>
          <w:bCs/>
          <w:color w:val="1A1410"/>
          <w:sz w:val="22"/>
          <w:szCs w:val="22"/>
        </w:rPr>
        <w:t xml:space="preserve">What they buy from Elevate: </w:t>
      </w:r>
      <w:r>
        <w:rPr>
          <w:rFonts w:ascii="Arial" w:cs="Arial" w:eastAsia="Arial" w:hAnsi="Arial"/>
          <w:color w:val="1A1410"/>
          <w:sz w:val="22"/>
          <w:szCs w:val="22"/>
        </w:rPr>
        <w:t xml:space="preserve">Full board portal — packs, meetings, minutes, resolutions, action items. Mobile-first. Multi-language. Audit chain across every governance action. Integrated with the rest of the org so a board resolution flows directly to the relevant module.</w:t>
      </w:r>
    </w:p>
    <w:p>
      <w:pPr>
        <w:pStyle w:val="Heading1"/>
        <w:pageBreakBefore/>
        <w:spacing w:after="200" w:before="320"/>
      </w:pPr>
      <w:r>
        <w:rPr>
          <w:rFonts w:ascii="Arial" w:cs="Arial" w:eastAsia="Arial" w:hAnsi="Arial"/>
          <w:b/>
          <w:bCs/>
          <w:color w:val="C2410C"/>
          <w:sz w:val="36"/>
          <w:szCs w:val="36"/>
        </w:rPr>
        <w:t xml:space="preserve">9. Customer Segmentation — Who Actually Buys</w:t>
      </w:r>
    </w:p>
    <w:p>
      <w:pPr>
        <w:spacing w:after="80" w:before="60" w:line="300"/>
        <w:jc w:val="left"/>
      </w:pPr>
      <w:r>
        <w:rPr>
          <w:rFonts w:ascii="Arial" w:cs="Arial" w:eastAsia="Arial" w:hAnsi="Arial"/>
          <w:color w:val="1A1410"/>
          <w:sz w:val="22"/>
          <w:szCs w:val="22"/>
        </w:rPr>
        <w:t xml:space="preserve">Five customer segments, each with different motion, pricing tier, and TAM. Together they form the Elevate go-to-market pyramid.</w:t>
      </w:r>
    </w:p>
    <w:p>
      <w:pPr>
        <w:pStyle w:val="Heading2"/>
        <w:spacing w:after="140" w:before="280"/>
      </w:pPr>
      <w:r>
        <w:rPr>
          <w:rFonts w:ascii="Arial" w:cs="Arial" w:eastAsia="Arial" w:hAnsi="Arial"/>
          <w:b/>
          <w:bCs/>
          <w:color w:val="7C2D12"/>
          <w:sz w:val="28"/>
          <w:szCs w:val="28"/>
        </w:rPr>
        <w:t xml:space="preserve">9.1 Mid-size Global South NGO (direct purchase) — PRIMARY</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$5M–$25M annual revenue. Africa, MENA, Asia-Pacific, LatAm. Outgrown spreadsheets. Currently stitching together 4–8 SaaS tools at $80K–$160K combined annual cost. Has a COO or Director of Ops who lives in the stitched-stack pain.</w:t>
      </w:r>
    </w:p>
    <w:p>
      <w:pPr>
        <w:spacing w:after="80" w:before="60" w:line="300"/>
        <w:jc w:val="left"/>
      </w:pPr>
      <w:r>
        <w:rPr>
          <w:rFonts w:ascii="Arial" w:cs="Arial" w:eastAsia="Arial" w:hAnsi="Arial"/>
          <w:b/>
          <w:bCs/>
          <w:color w:val="1A1410"/>
          <w:sz w:val="22"/>
          <w:szCs w:val="22"/>
        </w:rPr>
        <w:t xml:space="preserve">Tier they buy: </w:t>
      </w:r>
      <w:r>
        <w:rPr>
          <w:rFonts w:ascii="Arial" w:cs="Arial" w:eastAsia="Arial" w:hAnsi="Arial"/>
          <w:color w:val="1A1410"/>
          <w:sz w:val="22"/>
          <w:szCs w:val="22"/>
        </w:rPr>
        <w:t xml:space="preserve">Elevate Platform Standard ($30K–$60K/yr). Often adds Full Transformation Advisory ($80K–$150K one-time) in Year 1.</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4–9 months typical, compressing to 2–3 months when triggered by audit deadline.</w:t>
      </w:r>
    </w:p>
    <w:p>
      <w:pPr>
        <w:spacing w:after="80" w:before="60" w:line="300"/>
        <w:jc w:val="left"/>
      </w:pPr>
      <w:r>
        <w:rPr>
          <w:rFonts w:ascii="Arial" w:cs="Arial" w:eastAsia="Arial" w:hAnsi="Arial"/>
          <w:b/>
          <w:bCs/>
          <w:color w:val="1A1410"/>
          <w:sz w:val="22"/>
          <w:szCs w:val="22"/>
        </w:rPr>
        <w:t xml:space="preserve">TAM estimate within SAM: </w:t>
      </w:r>
      <w:r>
        <w:rPr>
          <w:rFonts w:ascii="Arial" w:cs="Arial" w:eastAsia="Arial" w:hAnsi="Arial"/>
          <w:color w:val="1A1410"/>
          <w:sz w:val="22"/>
          <w:szCs w:val="22"/>
        </w:rPr>
        <w:t xml:space="preserve">~50% of the 15,000–35,000 SAM = 7,500–17,500 organizations.</w:t>
      </w:r>
    </w:p>
    <w:p>
      <w:pPr>
        <w:spacing w:after="80" w:before="60" w:line="300"/>
        <w:jc w:val="left"/>
      </w:pPr>
      <w:r>
        <w:rPr>
          <w:rFonts w:ascii="Arial" w:cs="Arial" w:eastAsia="Arial" w:hAnsi="Arial"/>
          <w:b/>
          <w:bCs/>
          <w:color w:val="1A1410"/>
          <w:sz w:val="22"/>
          <w:szCs w:val="22"/>
        </w:rPr>
        <w:t xml:space="preserve">Why this is the primary motion: </w:t>
      </w:r>
      <w:r>
        <w:rPr>
          <w:rFonts w:ascii="Arial" w:cs="Arial" w:eastAsia="Arial" w:hAnsi="Arial"/>
          <w:color w:val="1A1410"/>
          <w:sz w:val="22"/>
          <w:szCs w:val="22"/>
        </w:rPr>
        <w:t xml:space="preserve">Buyer has discretionary spend. ROI vs stitched stack is obvious and quantifiable. Sales cycle is fast. Margins are high (75–80% SaaS gross margin). No donor coordination required.</w:t>
      </w:r>
    </w:p>
    <w:p>
      <w:pPr>
        <w:pStyle w:val="Heading2"/>
        <w:spacing w:after="140" w:before="280"/>
      </w:pPr>
      <w:r>
        <w:rPr>
          <w:rFonts w:ascii="Arial" w:cs="Arial" w:eastAsia="Arial" w:hAnsi="Arial"/>
          <w:b/>
          <w:bCs/>
          <w:color w:val="7C2D12"/>
          <w:sz w:val="28"/>
          <w:szCs w:val="28"/>
        </w:rPr>
        <w:t xml:space="preserve">9.2 Donor-sponsored grantee (cohort pilot) — SECONDARY</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$1M–$10M annual revenue NGO that is a grantee of a foundation running a cohort strengthening program. The NGO cannot afford Elevate at direct-purchase prices. The foundation pays Year 1; grantee transitions to grantee-paid by Year 3.</w:t>
      </w:r>
    </w:p>
    <w:p>
      <w:pPr>
        <w:spacing w:after="80" w:before="60" w:line="300"/>
        <w:jc w:val="left"/>
      </w:pPr>
      <w:r>
        <w:rPr>
          <w:rFonts w:ascii="Arial" w:cs="Arial" w:eastAsia="Arial" w:hAnsi="Arial"/>
          <w:b/>
          <w:bCs/>
          <w:color w:val="1A1410"/>
          <w:sz w:val="22"/>
          <w:szCs w:val="22"/>
        </w:rPr>
        <w:t xml:space="preserve">Tier they buy: </w:t>
      </w:r>
      <w:r>
        <w:rPr>
          <w:rFonts w:ascii="Arial" w:cs="Arial" w:eastAsia="Arial" w:hAnsi="Arial"/>
          <w:color w:val="1A1410"/>
          <w:sz w:val="22"/>
          <w:szCs w:val="22"/>
        </w:rPr>
        <w:t xml:space="preserve">Elevate Cohort Bundle ($50K–$80K per grantee, donor-paid). Subsidized Platform + Onboarding Advisory + 6 months support.</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The cycle is with the FOUNDATION (4–9 months) not the grantee. Once the foundation commits, grantee onboarding is 6 weeks.</w:t>
      </w:r>
    </w:p>
    <w:p>
      <w:pPr>
        <w:spacing w:after="80" w:before="60" w:line="300"/>
        <w:jc w:val="left"/>
      </w:pPr>
      <w:r>
        <w:rPr>
          <w:rFonts w:ascii="Arial" w:cs="Arial" w:eastAsia="Arial" w:hAnsi="Arial"/>
          <w:b/>
          <w:bCs/>
          <w:color w:val="1A1410"/>
          <w:sz w:val="22"/>
          <w:szCs w:val="22"/>
        </w:rPr>
        <w:t xml:space="preserve">TAM estimate within SAM: </w:t>
      </w:r>
      <w:r>
        <w:rPr>
          <w:rFonts w:ascii="Arial" w:cs="Arial" w:eastAsia="Arial" w:hAnsi="Arial"/>
          <w:color w:val="1A1410"/>
          <w:sz w:val="22"/>
          <w:szCs w:val="22"/>
        </w:rPr>
        <w:t xml:space="preserve">~30% of SAM = 4,500–10,500 grantees (via 30–80 foundation customers running cohort programs).</w:t>
      </w:r>
    </w:p>
    <w:p>
      <w:pPr>
        <w:pStyle w:val="Heading2"/>
        <w:spacing w:after="140" w:before="280"/>
      </w:pPr>
      <w:r>
        <w:rPr>
          <w:rFonts w:ascii="Arial" w:cs="Arial" w:eastAsia="Arial" w:hAnsi="Arial"/>
          <w:b/>
          <w:bCs/>
          <w:color w:val="7C2D12"/>
          <w:sz w:val="28"/>
          <w:szCs w:val="28"/>
        </w:rPr>
        <w:t xml:space="preserve">9.3 Network secretariat — SECONDARY</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A network secretariat operating a peer-governed pooled fund (NEAR, Start Network, regional consortia) that buys Elevate for its own operations — KPIs, OB governance, secretariat finance ops.</w:t>
      </w:r>
    </w:p>
    <w:p>
      <w:pPr>
        <w:spacing w:after="80" w:before="60" w:line="300"/>
        <w:jc w:val="left"/>
      </w:pPr>
      <w:r>
        <w:rPr>
          <w:rFonts w:ascii="Arial" w:cs="Arial" w:eastAsia="Arial" w:hAnsi="Arial"/>
          <w:b/>
          <w:bCs/>
          <w:color w:val="1A1410"/>
          <w:sz w:val="22"/>
          <w:szCs w:val="22"/>
        </w:rPr>
        <w:t xml:space="preserve">Tier they buy: </w:t>
      </w:r>
      <w:r>
        <w:rPr>
          <w:rFonts w:ascii="Arial" w:cs="Arial" w:eastAsia="Arial" w:hAnsi="Arial"/>
          <w:color w:val="1A1410"/>
          <w:sz w:val="22"/>
          <w:szCs w:val="22"/>
        </w:rPr>
        <w:t xml:space="preserve">Enterprise Platform ($60K–$120K/yr) + Custom Advisory ($150K+).</w:t>
      </w:r>
    </w:p>
    <w:p>
      <w:pPr>
        <w:spacing w:after="80" w:before="60" w:line="300"/>
        <w:jc w:val="left"/>
      </w:pPr>
      <w:r>
        <w:rPr>
          <w:rFonts w:ascii="Arial" w:cs="Arial" w:eastAsia="Arial" w:hAnsi="Arial"/>
          <w:b/>
          <w:bCs/>
          <w:color w:val="1A1410"/>
          <w:sz w:val="22"/>
          <w:szCs w:val="22"/>
        </w:rPr>
        <w:t xml:space="preserve">TAM: </w:t>
      </w:r>
      <w:r>
        <w:rPr>
          <w:rFonts w:ascii="Arial" w:cs="Arial" w:eastAsia="Arial" w:hAnsi="Arial"/>
          <w:color w:val="1A1410"/>
          <w:sz w:val="22"/>
          <w:szCs w:val="22"/>
        </w:rPr>
        <w:t xml:space="preserve">Small absolute count — 40–60 networks globally fit the shape, of which we target 8–15 by 2028.</w:t>
      </w:r>
    </w:p>
    <w:p>
      <w:pPr>
        <w:pStyle w:val="Heading2"/>
        <w:spacing w:after="140" w:before="280"/>
      </w:pPr>
      <w:r>
        <w:rPr>
          <w:rFonts w:ascii="Arial" w:cs="Arial" w:eastAsia="Arial" w:hAnsi="Arial"/>
          <w:b/>
          <w:bCs/>
          <w:color w:val="7C2D12"/>
          <w:sz w:val="28"/>
          <w:szCs w:val="28"/>
        </w:rPr>
        <w:t xml:space="preserve">9.4 INGO running grant programs — TERTIARY</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Save the Children, Oxfam, Care, Mercy Corps, IRC, World Vision, CRS. INGOs that re-grant to local partners. They buy Elevate Platform for their own operations AND sponsor it for their grantee partner network.</w:t>
      </w:r>
    </w:p>
    <w:p>
      <w:pPr>
        <w:spacing w:after="80" w:before="60" w:line="300"/>
        <w:jc w:val="left"/>
      </w:pPr>
      <w:r>
        <w:rPr>
          <w:rFonts w:ascii="Arial" w:cs="Arial" w:eastAsia="Arial" w:hAnsi="Arial"/>
          <w:b/>
          <w:bCs/>
          <w:color w:val="1A1410"/>
          <w:sz w:val="22"/>
          <w:szCs w:val="22"/>
        </w:rPr>
        <w:t xml:space="preserve">Tier they buy: </w:t>
      </w:r>
      <w:r>
        <w:rPr>
          <w:rFonts w:ascii="Arial" w:cs="Arial" w:eastAsia="Arial" w:hAnsi="Arial"/>
          <w:color w:val="1A1410"/>
          <w:sz w:val="22"/>
          <w:szCs w:val="22"/>
        </w:rPr>
        <w:t xml:space="preserve">Enterprise Platform for HQ + Cohort Bundle for partner sponsorship.</w:t>
      </w:r>
    </w:p>
    <w:p>
      <w:pPr>
        <w:spacing w:after="80" w:before="60" w:line="300"/>
        <w:jc w:val="left"/>
      </w:pPr>
      <w:r>
        <w:rPr>
          <w:rFonts w:ascii="Arial" w:cs="Arial" w:eastAsia="Arial" w:hAnsi="Arial"/>
          <w:b/>
          <w:bCs/>
          <w:color w:val="1A1410"/>
          <w:sz w:val="22"/>
          <w:szCs w:val="22"/>
        </w:rPr>
        <w:t xml:space="preserve">TAM: </w:t>
      </w:r>
      <w:r>
        <w:rPr>
          <w:rFonts w:ascii="Arial" w:cs="Arial" w:eastAsia="Arial" w:hAnsi="Arial"/>
          <w:color w:val="1A1410"/>
          <w:sz w:val="22"/>
          <w:szCs w:val="22"/>
        </w:rPr>
        <w:t xml:space="preserve">Limited count of large INGOs (~50 globally fit the shape). High contract values, long cycles (6–12 months).</w:t>
      </w:r>
    </w:p>
    <w:p>
      <w:pPr>
        <w:pStyle w:val="Heading2"/>
        <w:spacing w:after="140" w:before="280"/>
      </w:pPr>
      <w:r>
        <w:rPr>
          <w:rFonts w:ascii="Arial" w:cs="Arial" w:eastAsia="Arial" w:hAnsi="Arial"/>
          <w:b/>
          <w:bCs/>
          <w:color w:val="7C2D12"/>
          <w:sz w:val="28"/>
          <w:szCs w:val="28"/>
        </w:rPr>
        <w:t xml:space="preserve">9.5 Mid-size Global North NGO (channel-led) — LATE-STAGE</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US, UK, Canada, Australia mid-size NGO. Not the strategic focus — pursued via BPO / regional consultant partners later, not direct sales by Kuja.</w:t>
      </w:r>
    </w:p>
    <w:p>
      <w:pPr>
        <w:spacing w:after="80" w:before="60" w:line="300"/>
        <w:jc w:val="left"/>
      </w:pPr>
      <w:r>
        <w:rPr>
          <w:rFonts w:ascii="Arial" w:cs="Arial" w:eastAsia="Arial" w:hAnsi="Arial"/>
          <w:b/>
          <w:bCs/>
          <w:color w:val="1A1410"/>
          <w:sz w:val="22"/>
          <w:szCs w:val="22"/>
        </w:rPr>
        <w:t xml:space="preserve">Tier they buy: </w:t>
      </w:r>
      <w:r>
        <w:rPr>
          <w:rFonts w:ascii="Arial" w:cs="Arial" w:eastAsia="Arial" w:hAnsi="Arial"/>
          <w:color w:val="1A1410"/>
          <w:sz w:val="22"/>
          <w:szCs w:val="22"/>
        </w:rPr>
        <w:t xml:space="preserve">Standard or Enterprise Platform.</w:t>
      </w:r>
    </w:p>
    <w:p>
      <w:pPr>
        <w:spacing w:after="80" w:before="60" w:line="300"/>
        <w:jc w:val="left"/>
      </w:pPr>
      <w:r>
        <w:rPr>
          <w:rFonts w:ascii="Arial" w:cs="Arial" w:eastAsia="Arial" w:hAnsi="Arial"/>
          <w:b/>
          <w:bCs/>
          <w:color w:val="1A1410"/>
          <w:sz w:val="22"/>
          <w:szCs w:val="22"/>
        </w:rPr>
        <w:t xml:space="preserve">TAM: </w:t>
      </w:r>
      <w:r>
        <w:rPr>
          <w:rFonts w:ascii="Arial" w:cs="Arial" w:eastAsia="Arial" w:hAnsi="Arial"/>
          <w:color w:val="1A1410"/>
          <w:sz w:val="22"/>
          <w:szCs w:val="22"/>
        </w:rPr>
        <w:t xml:space="preserve">Large in absolute terms but not the served market in 2026–2028.</w:t>
      </w:r>
    </w:p>
    <w:p>
      <w:pPr>
        <w:pStyle w:val="Heading1"/>
        <w:pageBreakBefore/>
        <w:spacing w:after="200" w:before="320"/>
      </w:pPr>
      <w:r>
        <w:rPr>
          <w:rFonts w:ascii="Arial" w:cs="Arial" w:eastAsia="Arial" w:hAnsi="Arial"/>
          <w:b/>
          <w:bCs/>
          <w:color w:val="C2410C"/>
          <w:sz w:val="36"/>
          <w:szCs w:val="36"/>
        </w:rPr>
        <w:t xml:space="preserve">10. Pricing Strategy — Validated Against Benchmarks</w:t>
      </w:r>
    </w:p>
    <w:p>
      <w:pPr>
        <w:pStyle w:val="Heading2"/>
        <w:spacing w:after="140" w:before="280"/>
      </w:pPr>
      <w:r>
        <w:rPr>
          <w:rFonts w:ascii="Arial" w:cs="Arial" w:eastAsia="Arial" w:hAnsi="Arial"/>
          <w:b/>
          <w:bCs/>
          <w:color w:val="7C2D12"/>
          <w:sz w:val="28"/>
          <w:szCs w:val="28"/>
        </w:rPr>
        <w:t xml:space="preserve">10.1 Elevate Platform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License</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Customer Profile</w:t>
            </w:r>
          </w:p>
        </w:tc>
        <w:tc>
          <w:tcPr>
            <w:tcW w:type="dxa" w:w="2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Benchmark vs incumbents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Subsidized</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$12K–$25K / NGO / yr</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Donor-sponsored grantees, $1M–$10M NGOs</w:t>
            </w:r>
          </w:p>
        </w:tc>
        <w:tc>
          <w:tcPr>
            <w:tcW w:type="dxa" w:w="2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Below the floor for any individual incumbent (Salesforce NPC alone is $28.8K)</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Standard</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$30K–$60K / NGO / yr</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Direct-purchase $5M–$25M NGOs</w:t>
            </w:r>
          </w:p>
        </w:tc>
        <w:tc>
          <w:tcPr>
            <w:tcW w:type="dxa" w:w="2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$129K stitched stack → Elevate is one-third to one-quarter the cost</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$60K–$120K / NGO / yr</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$25M+ NGOs, networks, INGO HQ</w:t>
            </w:r>
          </w:p>
        </w:tc>
        <w:tc>
          <w:tcPr>
            <w:tcW w:type="dxa" w:w="2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Premium stitched stack runs $350K–$600K+ — Elevate is one-fifth to one-third</w:t>
            </w:r>
          </w:p>
        </w:tc>
      </w:tr>
    </w:tbl>
    <w:p>
      <w:pPr>
        <w:pStyle w:val="Heading2"/>
        <w:spacing w:after="140" w:before="280"/>
      </w:pPr>
      <w:r>
        <w:rPr>
          <w:rFonts w:ascii="Arial" w:cs="Arial" w:eastAsia="Arial" w:hAnsi="Arial"/>
          <w:b/>
          <w:bCs/>
          <w:color w:val="7C2D12"/>
          <w:sz w:val="28"/>
          <w:szCs w:val="28"/>
        </w:rPr>
        <w:t xml:space="preserve">10.2 Elevate Advisory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Price</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Customer Profile</w:t>
            </w:r>
          </w:p>
        </w:tc>
        <w:tc>
          <w:tcPr>
            <w:tcW w:type="dxa" w:w="2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Benchmark</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Onboarding</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$40K–$60K, 3 months</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Donor-sponsored cohort grantees</w:t>
            </w:r>
          </w:p>
        </w:tc>
        <w:tc>
          <w:tcPr>
            <w:tcW w:type="dxa" w:w="2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Big-4 East Africa daily rates $1,500–$3,000 imply ~$150K–$300K engagement — Elevate is one-fourth the cost</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Transformation</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$80K–$150K, 6–9 months</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Mid-size NGO direct purchase</w:t>
            </w:r>
          </w:p>
        </w:tc>
        <w:tc>
          <w:tcPr>
            <w:tcW w:type="dxa" w:w="2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Comparable Big-4 engagement: $200K–$400K. Humentum: not public, comparable. Elevate is one-third to one-half.</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Custom Enterprise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$150K+</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Large NGO or network</w:t>
            </w:r>
          </w:p>
        </w:tc>
        <w:tc>
          <w:tcPr>
            <w:tcW w:type="dxa" w:w="2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Custom scope by definition; competitive only with INGO-led capacity strengthening which is donor-funded not buyable.</w:t>
            </w:r>
          </w:p>
        </w:tc>
      </w:tr>
    </w:tbl>
    <w:p>
      <w:pPr>
        <w:pStyle w:val="Heading2"/>
        <w:spacing w:after="140" w:before="280"/>
      </w:pPr>
      <w:r>
        <w:rPr>
          <w:rFonts w:ascii="Arial" w:cs="Arial" w:eastAsia="Arial" w:hAnsi="Arial"/>
          <w:b/>
          <w:bCs/>
          <w:color w:val="7C2D12"/>
          <w:sz w:val="28"/>
          <w:szCs w:val="28"/>
        </w:rPr>
        <w:t xml:space="preserve">10.3 Bundle pricing (Platform + Advisory together)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Bundle</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Price</w:t>
            </w:r>
          </w:p>
        </w:tc>
        <w:tc>
          <w:tcPr>
            <w:tcW w:type="dxa" w:w="5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is included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Cohort (donor-sponsored)</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$50K–$80K per grantee</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Subsidized Platform + Onboarding Advisory + 6 months support</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Mid-size NGO</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$100K–$200K Year 1</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Standard Platform + Full Transformation Advisory</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$200K+ Year 1</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Platform + Custom Advisory</w:t>
            </w:r>
          </w:p>
        </w:tc>
      </w:tr>
    </w:tbl>
    <w:p>
      <w:pPr>
        <w:pStyle w:val="Heading2"/>
        <w:spacing w:after="140" w:before="280"/>
      </w:pPr>
      <w:r>
        <w:rPr>
          <w:rFonts w:ascii="Arial" w:cs="Arial" w:eastAsia="Arial" w:hAnsi="Arial"/>
          <w:b/>
          <w:bCs/>
          <w:color w:val="7C2D12"/>
          <w:sz w:val="28"/>
          <w:szCs w:val="28"/>
        </w:rPr>
        <w:t xml:space="preserve">10.4 Pricing 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Kuja Elevate Standard tier at $30K–$60K/year sits between the frugal stitched stack ($45K–$60K, loses AI and audit) and the standard stitched stack ($129K subscription + $55K implementation Y1, no AI). </w:t>
            </w:r>
            <w:r>
              <w:rPr>
                <w:rFonts w:ascii="Arial" w:cs="Arial" w:eastAsia="Arial" w:hAnsi="Arial"/>
                <w:color w:val="1A1410"/>
                <w:sz w:val="22"/>
                <w:szCs w:val="22"/>
              </w:rPr>
              <w:t xml:space="preserve">The pricing is high enough to credibly fund Adeso's engineering, Advisory delivery, customer success, and growth — low enough to be an obvious yes vs the stitched alternative.</w:t>
            </w:r>
          </w:p>
          <w:p>
            <w:pPr>
              <w:spacing w:before="80"/>
            </w:pPr>
            <w:r>
              <w:rPr>
                <w:rFonts w:ascii="Arial" w:cs="Arial" w:eastAsia="Arial" w:hAnsi="Arial"/>
                <w:color w:val="1A1410"/>
                <w:sz w:val="22"/>
                <w:szCs w:val="22"/>
              </w:rPr>
              <w:t xml:space="preserve">For donor-sponsored cohort grantees, the Subsidized tier ($12K–$25K) sits below the floor of any individual incumbent and is fundable by foundations operating capacity-strengthening programs. The pricing is calibrated to the foundation's cohort budget, not to the grantee's discretionary spend.</w:t>
            </w:r>
          </w:p>
        </w:tc>
      </w:tr>
    </w:tbl>
    <w:p>
      <w:pPr>
        <w:pStyle w:val="Heading1"/>
        <w:pageBreakBefore/>
        <w:spacing w:after="200" w:before="320"/>
      </w:pPr>
      <w:r>
        <w:rPr>
          <w:rFonts w:ascii="Arial" w:cs="Arial" w:eastAsia="Arial" w:hAnsi="Arial"/>
          <w:b/>
          <w:bCs/>
          <w:color w:val="C2410C"/>
          <w:sz w:val="36"/>
          <w:szCs w:val="36"/>
        </w:rPr>
        <w:t xml:space="preserve">11. Elevate Advisory — Competitive Landscape</w:t>
      </w:r>
    </w:p>
    <w:p>
      <w:pPr>
        <w:spacing w:after="80" w:before="60" w:line="300"/>
        <w:jc w:val="left"/>
      </w:pPr>
      <w:r>
        <w:rPr>
          <w:rFonts w:ascii="Arial" w:cs="Arial" w:eastAsia="Arial" w:hAnsi="Arial"/>
          <w:color w:val="1A1410"/>
          <w:sz w:val="22"/>
          <w:szCs w:val="22"/>
        </w:rPr>
        <w:t xml:space="preserve">The Advisory engagement competes against four categories. None offer the platform-plus-services combined motion Kuja delivers.</w:t>
      </w:r>
    </w:p>
    <w:p>
      <w:pPr>
        <w:pStyle w:val="Heading2"/>
        <w:spacing w:after="140" w:before="280"/>
      </w:pPr>
      <w:r>
        <w:rPr>
          <w:rFonts w:ascii="Arial" w:cs="Arial" w:eastAsia="Arial" w:hAnsi="Arial"/>
          <w:b/>
          <w:bCs/>
          <w:color w:val="7C2D12"/>
          <w:sz w:val="28"/>
          <w:szCs w:val="28"/>
        </w:rPr>
        <w:t xml:space="preserve">11.1 Big-4 East Africa advisory</w:t>
      </w:r>
    </w:p>
    <w:p>
      <w:pPr>
        <w:spacing w:after="80" w:before="60" w:line="300"/>
        <w:jc w:val="left"/>
      </w:pPr>
      <w:r>
        <w:rPr>
          <w:rFonts w:ascii="Arial" w:cs="Arial" w:eastAsia="Arial" w:hAnsi="Arial"/>
          <w:b/>
          <w:bCs/>
          <w:color w:val="1A1410"/>
          <w:sz w:val="22"/>
          <w:szCs w:val="22"/>
        </w:rPr>
        <w:t xml:space="preserve">Vendors: </w:t>
      </w:r>
      <w:r>
        <w:rPr>
          <w:rFonts w:ascii="Arial" w:cs="Arial" w:eastAsia="Arial" w:hAnsi="Arial"/>
          <w:color w:val="1A1410"/>
          <w:sz w:val="22"/>
          <w:szCs w:val="22"/>
        </w:rPr>
        <w:t xml:space="preserve">KPMG, Deloitte, PwC, EY in East Africa offices.</w:t>
      </w:r>
    </w:p>
    <w:p>
      <w:pPr>
        <w:spacing w:after="80" w:before="60" w:line="300"/>
        <w:jc w:val="left"/>
      </w:pPr>
      <w:r>
        <w:rPr>
          <w:rFonts w:ascii="Arial" w:cs="Arial" w:eastAsia="Arial" w:hAnsi="Arial"/>
          <w:b/>
          <w:bCs/>
          <w:color w:val="1A1410"/>
          <w:sz w:val="22"/>
          <w:szCs w:val="22"/>
        </w:rPr>
        <w:t xml:space="preserve">Pricing (directional): </w:t>
      </w:r>
      <w:r>
        <w:rPr>
          <w:rFonts w:ascii="Arial" w:cs="Arial" w:eastAsia="Arial" w:hAnsi="Arial"/>
          <w:color w:val="1A1410"/>
          <w:sz w:val="22"/>
          <w:szCs w:val="22"/>
        </w:rPr>
        <w:t xml:space="preserve">$1,500–$3,000/day daily rates with engagements typically $150K–$300K. Source: Consultancy.africa references on Big-4 consulting rates; independent INGO-sector consultants charge $350–$650/day, Big-4 with overhead typically 3–5× independents.</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Brand recognition. Donor-side audit credibility. Process maturity.</w:t>
      </w:r>
    </w:p>
    <w:p>
      <w:pPr>
        <w:spacing w:after="80" w:before="60" w:line="300"/>
        <w:jc w:val="left"/>
      </w:pPr>
      <w:r>
        <w:rPr>
          <w:rFonts w:ascii="Arial" w:cs="Arial" w:eastAsia="Arial" w:hAnsi="Arial"/>
          <w:b/>
          <w:bCs/>
          <w:color w:val="1A1410"/>
          <w:sz w:val="22"/>
          <w:szCs w:val="22"/>
        </w:rPr>
        <w:t xml:space="preserve">Gaps: </w:t>
      </w:r>
      <w:r>
        <w:rPr>
          <w:rFonts w:ascii="Arial" w:cs="Arial" w:eastAsia="Arial" w:hAnsi="Arial"/>
          <w:color w:val="1A1410"/>
          <w:sz w:val="22"/>
          <w:szCs w:val="22"/>
        </w:rPr>
        <w:t xml:space="preserve">English-only. Theoretical, not operational. Walks away when the engagement ends — no platform left behind that the NGO operates on. Highest cost in the comparable engagement set.</w:t>
      </w:r>
    </w:p>
    <w:p>
      <w:pPr>
        <w:pStyle w:val="Heading2"/>
        <w:spacing w:after="140" w:before="280"/>
      </w:pPr>
      <w:r>
        <w:rPr>
          <w:rFonts w:ascii="Arial" w:cs="Arial" w:eastAsia="Arial" w:hAnsi="Arial"/>
          <w:b/>
          <w:bCs/>
          <w:color w:val="7C2D12"/>
          <w:sz w:val="28"/>
          <w:szCs w:val="28"/>
        </w:rPr>
        <w:t xml:space="preserve">11.2 Humentum</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Leading NGO operational consultancy, 100+ consultants in 30+ countries, 300+ online courses. Source: Humentum NGO consulting page.</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Not public — enterprise quote required.</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Deepest sector specialism in finance / HR / project management for INGOs. Strong donor-compliance training curriculum.</w:t>
      </w:r>
    </w:p>
    <w:p>
      <w:pPr>
        <w:spacing w:after="80" w:before="60" w:line="300"/>
        <w:jc w:val="left"/>
      </w:pPr>
      <w:r>
        <w:rPr>
          <w:rFonts w:ascii="Arial" w:cs="Arial" w:eastAsia="Arial" w:hAnsi="Arial"/>
          <w:b/>
          <w:bCs/>
          <w:color w:val="1A1410"/>
          <w:sz w:val="22"/>
          <w:szCs w:val="22"/>
        </w:rPr>
        <w:t xml:space="preserve">Gaps: </w:t>
      </w:r>
      <w:r>
        <w:rPr>
          <w:rFonts w:ascii="Arial" w:cs="Arial" w:eastAsia="Arial" w:hAnsi="Arial"/>
          <w:color w:val="1A1410"/>
          <w:sz w:val="22"/>
          <w:szCs w:val="22"/>
        </w:rPr>
        <w:t xml:space="preserve">Services-led — not productized. No platform left behind. Engagement-priced, not transparent.</w:t>
      </w:r>
    </w:p>
    <w:p>
      <w:pPr>
        <w:pStyle w:val="Heading2"/>
        <w:spacing w:after="140" w:before="280"/>
      </w:pPr>
      <w:r>
        <w:rPr>
          <w:rFonts w:ascii="Arial" w:cs="Arial" w:eastAsia="Arial" w:hAnsi="Arial"/>
          <w:b/>
          <w:bCs/>
          <w:color w:val="7C2D12"/>
          <w:sz w:val="28"/>
          <w:szCs w:val="28"/>
        </w:rPr>
        <w:t xml:space="preserve">11.3 FHI 360 + Oxford Policy Management</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Large implementer-consultancies. FHI 360's capacity-building model (FHI 360 CAP) and OPM's ELEVATE Nutrition show capacity strengthening is bundled INSIDE donor-funded programs, not sold as commercial services to NGOs.</w:t>
      </w:r>
    </w:p>
    <w:p>
      <w:pPr>
        <w:spacing w:after="80" w:before="60" w:line="300"/>
        <w:jc w:val="left"/>
      </w:pPr>
      <w:r>
        <w:rPr>
          <w:rFonts w:ascii="Arial" w:cs="Arial" w:eastAsia="Arial" w:hAnsi="Arial"/>
          <w:b/>
          <w:bCs/>
          <w:color w:val="1A1410"/>
          <w:sz w:val="22"/>
          <w:szCs w:val="22"/>
        </w:rPr>
        <w:t xml:space="preserve">Gap: </w:t>
      </w:r>
      <w:r>
        <w:rPr>
          <w:rFonts w:ascii="Arial" w:cs="Arial" w:eastAsia="Arial" w:hAnsi="Arial"/>
          <w:color w:val="1A1410"/>
          <w:sz w:val="22"/>
          <w:szCs w:val="22"/>
        </w:rPr>
        <w:t xml:space="preserve">Not a buyable product from a foundation or NGO with budget — only accessible to NGOs that win specific donor program contracts.</w:t>
      </w:r>
    </w:p>
    <w:p>
      <w:pPr>
        <w:pStyle w:val="Heading2"/>
        <w:spacing w:after="140" w:before="280"/>
      </w:pPr>
      <w:r>
        <w:rPr>
          <w:rFonts w:ascii="Arial" w:cs="Arial" w:eastAsia="Arial" w:hAnsi="Arial"/>
          <w:b/>
          <w:bCs/>
          <w:color w:val="7C2D12"/>
          <w:sz w:val="28"/>
          <w:szCs w:val="28"/>
        </w:rPr>
        <w:t xml:space="preserve">11.4 INGO-led capacity strengthening</w:t>
      </w:r>
    </w:p>
    <w:p>
      <w:pPr>
        <w:spacing w:after="80" w:before="60" w:line="300"/>
        <w:jc w:val="left"/>
      </w:pPr>
      <w:r>
        <w:rPr>
          <w:rFonts w:ascii="Arial" w:cs="Arial" w:eastAsia="Arial" w:hAnsi="Arial"/>
          <w:b/>
          <w:bCs/>
          <w:color w:val="1A1410"/>
          <w:sz w:val="22"/>
          <w:szCs w:val="22"/>
        </w:rPr>
        <w:t xml:space="preserve">Vendors: </w:t>
      </w:r>
      <w:r>
        <w:rPr>
          <w:rFonts w:ascii="Arial" w:cs="Arial" w:eastAsia="Arial" w:hAnsi="Arial"/>
          <w:color w:val="1A1410"/>
          <w:sz w:val="22"/>
          <w:szCs w:val="22"/>
        </w:rPr>
        <w:t xml:space="preserve">Catholic Relief Services, Mercy Corps, Pact, Search for Common Ground.</w:t>
      </w:r>
    </w:p>
    <w:p>
      <w:pPr>
        <w:spacing w:after="80" w:before="60" w:line="300"/>
        <w:jc w:val="left"/>
      </w:pPr>
      <w:r>
        <w:rPr>
          <w:rFonts w:ascii="Arial" w:cs="Arial" w:eastAsia="Arial" w:hAnsi="Arial"/>
          <w:b/>
          <w:bCs/>
          <w:color w:val="1A1410"/>
          <w:sz w:val="22"/>
          <w:szCs w:val="22"/>
        </w:rPr>
        <w:t xml:space="preserve">Model: </w:t>
      </w:r>
      <w:r>
        <w:rPr>
          <w:rFonts w:ascii="Arial" w:cs="Arial" w:eastAsia="Arial" w:hAnsi="Arial"/>
          <w:color w:val="1A1410"/>
          <w:sz w:val="22"/>
          <w:szCs w:val="22"/>
        </w:rPr>
        <w:t xml:space="preserve">Capacity strengthening exists but is funded through donor grants (USAID, EU consortia like the Basic Needs Consortium), not sold commercially to local NGOs. Source: Pact and CRS sector reports.</w:t>
      </w:r>
    </w:p>
    <w:p>
      <w:pPr>
        <w:spacing w:after="80" w:before="60" w:line="300"/>
        <w:jc w:val="left"/>
      </w:pPr>
      <w:r>
        <w:rPr>
          <w:rFonts w:ascii="Arial" w:cs="Arial" w:eastAsia="Arial" w:hAnsi="Arial"/>
          <w:b/>
          <w:bCs/>
          <w:color w:val="1A1410"/>
          <w:sz w:val="22"/>
          <w:szCs w:val="22"/>
        </w:rPr>
        <w:t xml:space="preserve">Gap: </w:t>
      </w:r>
      <w:r>
        <w:rPr>
          <w:rFonts w:ascii="Arial" w:cs="Arial" w:eastAsia="Arial" w:hAnsi="Arial"/>
          <w:color w:val="1A1410"/>
          <w:sz w:val="22"/>
          <w:szCs w:val="22"/>
        </w:rPr>
        <w:t xml:space="preserve">Same as FHI 360 / OPM — not a product an NGO can buy.</w:t>
      </w:r>
    </w:p>
    <w:p>
      <w:pPr>
        <w:pStyle w:val="Heading2"/>
        <w:spacing w:after="140" w:before="280"/>
      </w:pPr>
      <w:r>
        <w:rPr>
          <w:rFonts w:ascii="Arial" w:cs="Arial" w:eastAsia="Arial" w:hAnsi="Arial"/>
          <w:b/>
          <w:bCs/>
          <w:color w:val="7C2D12"/>
          <w:sz w:val="28"/>
          <w:szCs w:val="28"/>
        </w:rPr>
        <w:t xml:space="preserve">11.5 Productized SaaS operational transformation for NGOs</w:t>
      </w:r>
    </w:p>
    <w:p>
      <w:pPr>
        <w:spacing w:after="80" w:before="60" w:line="300"/>
        <w:jc w:val="left"/>
      </w:pPr>
      <w:r>
        <w:rPr>
          <w:rFonts w:ascii="Arial" w:cs="Arial" w:eastAsia="Arial" w:hAnsi="Arial"/>
          <w:b/>
          <w:bCs/>
          <w:color w:val="1A1410"/>
          <w:sz w:val="22"/>
          <w:szCs w:val="22"/>
        </w:rPr>
        <w:t xml:space="preserve">Vendors: </w:t>
      </w:r>
      <w:r>
        <w:rPr>
          <w:rFonts w:ascii="Arial" w:cs="Arial" w:eastAsia="Arial" w:hAnsi="Arial"/>
          <w:color w:val="1A1410"/>
          <w:sz w:val="22"/>
          <w:szCs w:val="22"/>
        </w:rPr>
        <w:t xml:space="preserve">No commercial competitor exists at the platform-with-services depth Kuja offers.</w:t>
      </w:r>
    </w:p>
    <w:p>
      <w:pPr>
        <w:spacing w:after="80" w:before="60" w:line="300"/>
        <w:jc w:val="left"/>
      </w:pPr>
      <w:r>
        <w:rPr>
          <w:rFonts w:ascii="Arial" w:cs="Arial" w:eastAsia="Arial" w:hAnsi="Arial"/>
          <w:b/>
          <w:bCs/>
          <w:color w:val="1A1410"/>
          <w:sz w:val="22"/>
          <w:szCs w:val="22"/>
        </w:rPr>
        <w:t xml:space="preserve">Strategic implication: </w:t>
      </w:r>
      <w:r>
        <w:rPr>
          <w:rFonts w:ascii="Arial" w:cs="Arial" w:eastAsia="Arial" w:hAnsi="Arial"/>
          <w:color w:val="1A1410"/>
          <w:sz w:val="22"/>
          <w:szCs w:val="22"/>
        </w:rPr>
        <w:t xml:space="preserve">Kuja Elevate Advisory is defining the category. The competitive frame for buyers is not "vs another Elevate-like vendor" — it is "vs hire Big-4, vs run an internal transformation, vs do nothing."</w:t>
      </w:r>
    </w:p>
    <w:p>
      <w:pPr>
        <w:pStyle w:val="Heading1"/>
        <w:pageBreakBefore/>
        <w:spacing w:after="200" w:before="320"/>
      </w:pPr>
      <w:r>
        <w:rPr>
          <w:rFonts w:ascii="Arial" w:cs="Arial" w:eastAsia="Arial" w:hAnsi="Arial"/>
          <w:b/>
          <w:bCs/>
          <w:color w:val="C2410C"/>
          <w:sz w:val="36"/>
          <w:szCs w:val="36"/>
        </w:rPr>
        <w:t xml:space="preserve">12. Go-to-Market Strategy</w:t>
      </w:r>
    </w:p>
    <w:p>
      <w:pPr>
        <w:spacing w:after="80" w:before="60" w:line="300"/>
        <w:jc w:val="left"/>
      </w:pPr>
      <w:r>
        <w:rPr>
          <w:rFonts w:ascii="Arial" w:cs="Arial" w:eastAsia="Arial" w:hAnsi="Arial"/>
          <w:color w:val="1A1410"/>
          <w:sz w:val="22"/>
          <w:szCs w:val="22"/>
        </w:rPr>
        <w:t xml:space="preserve">Three motions in priority order. The strategy in V3.6 mentions direct-NGO sales as primary; this analysis confirms it with verified buyer-behavior data.</w:t>
      </w:r>
    </w:p>
    <w:p>
      <w:pPr>
        <w:pStyle w:val="Heading2"/>
        <w:spacing w:after="140" w:before="280"/>
      </w:pPr>
      <w:r>
        <w:rPr>
          <w:rFonts w:ascii="Arial" w:cs="Arial" w:eastAsia="Arial" w:hAnsi="Arial"/>
          <w:b/>
          <w:bCs/>
          <w:color w:val="7C2D12"/>
          <w:sz w:val="28"/>
          <w:szCs w:val="28"/>
        </w:rPr>
        <w:t xml:space="preserve">12.1 Primary motion — direct sales to mid-size NGOs</w:t>
      </w:r>
    </w:p>
    <w:p>
      <w:pPr>
        <w:spacing w:after="80" w:before="60" w:line="300"/>
        <w:jc w:val="left"/>
      </w:pPr>
      <w:r>
        <w:rPr>
          <w:rFonts w:ascii="Arial" w:cs="Arial" w:eastAsia="Arial" w:hAnsi="Arial"/>
          <w:b/>
          <w:bCs/>
          <w:color w:val="1A1410"/>
          <w:sz w:val="22"/>
          <w:szCs w:val="22"/>
        </w:rPr>
        <w:t xml:space="preserve">Why this is primary: </w:t>
      </w:r>
      <w:r>
        <w:rPr>
          <w:rFonts w:ascii="Arial" w:cs="Arial" w:eastAsia="Arial" w:hAnsi="Arial"/>
          <w:color w:val="1A1410"/>
          <w:sz w:val="22"/>
          <w:szCs w:val="22"/>
        </w:rPr>
        <w:t xml:space="preserve">TAM is largest. Cycle is fastest (4–9 months). Margin is highest (Platform SaaS, no donor coordination). ROI vs the stitched stack is quantifiable and obvious. Verified buyer profile: COO/Director of Operations as champion, ED/CEO as signer, CFO as blocker (Bridgespan 2025).</w:t>
      </w:r>
    </w:p>
    <w:p>
      <w:pPr>
        <w:spacing w:after="80" w:before="60" w:line="300"/>
        <w:jc w:val="left"/>
      </w:pPr>
      <w:r>
        <w:rPr>
          <w:rFonts w:ascii="Arial" w:cs="Arial" w:eastAsia="Arial" w:hAnsi="Arial"/>
          <w:b/>
          <w:bCs/>
          <w:color w:val="1A1410"/>
          <w:sz w:val="22"/>
          <w:szCs w:val="22"/>
        </w:rPr>
        <w:t xml:space="preserve">Top buying triggers (verified): </w:t>
      </w:r>
      <w:r>
        <w:rPr>
          <w:rFonts w:ascii="Arial" w:cs="Arial" w:eastAsia="Arial" w:hAnsi="Arial"/>
          <w:color w:val="1A1410"/>
          <w:sz w:val="22"/>
          <w:szCs w:val="22"/>
        </w:rPr>
        <w:t xml:space="preserve">Failed or qualified audit (top — Sage and Blackbaud both flag this as the single largest replacement trigger). Donor compliance crisis. Leadership change (~30–40% of stack replacements). Growth past ~$10M revenue. Loss of the key staff member who "knew where everything was."</w:t>
      </w:r>
    </w:p>
    <w:p>
      <w:pPr>
        <w:spacing w:after="80" w:before="60" w:line="300"/>
        <w:jc w:val="left"/>
      </w:pPr>
      <w:r>
        <w:rPr>
          <w:rFonts w:ascii="Arial" w:cs="Arial" w:eastAsia="Arial" w:hAnsi="Arial"/>
          <w:b/>
          <w:bCs/>
          <w:color w:val="1A1410"/>
          <w:sz w:val="22"/>
          <w:szCs w:val="22"/>
        </w:rPr>
        <w:t xml:space="preserve">Conversion levers: </w:t>
      </w:r>
      <w:r>
        <w:rPr>
          <w:rFonts w:ascii="Arial" w:cs="Arial" w:eastAsia="Arial" w:hAnsi="Arial"/>
          <w:color w:val="1A1410"/>
          <w:sz w:val="22"/>
          <w:szCs w:val="22"/>
        </w:rPr>
        <w:t xml:space="preserve">Named reference customers in the same donor regime. 3–6 month funded pilots. Audit-readiness guarantees. Adeso-runs-on-it credibility moment. AI demo on the prospect's own document.</w:t>
      </w:r>
    </w:p>
    <w:p>
      <w:pPr>
        <w:pStyle w:val="Heading2"/>
        <w:spacing w:after="140" w:before="280"/>
      </w:pPr>
      <w:r>
        <w:rPr>
          <w:rFonts w:ascii="Arial" w:cs="Arial" w:eastAsia="Arial" w:hAnsi="Arial"/>
          <w:b/>
          <w:bCs/>
          <w:color w:val="7C2D12"/>
          <w:sz w:val="28"/>
          <w:szCs w:val="28"/>
        </w:rPr>
        <w:t xml:space="preserve">12.2 Secondary motion — donor-sponsored cohort pilots</w:t>
      </w:r>
    </w:p>
    <w:p>
      <w:pPr>
        <w:spacing w:after="80" w:before="60" w:line="300"/>
        <w:jc w:val="left"/>
      </w:pPr>
      <w:r>
        <w:rPr>
          <w:rFonts w:ascii="Arial" w:cs="Arial" w:eastAsia="Arial" w:hAnsi="Arial"/>
          <w:b/>
          <w:bCs/>
          <w:color w:val="1A1410"/>
          <w:sz w:val="22"/>
          <w:szCs w:val="22"/>
        </w:rPr>
        <w:t xml:space="preserve">Why this is secondary, not primary: </w:t>
      </w:r>
      <w:r>
        <w:rPr>
          <w:rFonts w:ascii="Arial" w:cs="Arial" w:eastAsia="Arial" w:hAnsi="Arial"/>
          <w:color w:val="1A1410"/>
          <w:sz w:val="22"/>
          <w:szCs w:val="22"/>
        </w:rPr>
        <w:t xml:space="preserve">Donor coordination is slow. Cohort sponsorship requires a foundation to commit to operational tooling rather than program funding — only 20% of funders fund tech directly (NTEN, down from 23%). But the segment is real and growing: Ford BUILD's $1.85B and MacKenzie Scott's unrestricted giving are pushing capacity-strengthening capital into the segment that Kuja Elevate is built for.</w:t>
      </w:r>
    </w:p>
    <w:p>
      <w:pPr>
        <w:spacing w:after="80" w:before="60" w:line="300"/>
        <w:jc w:val="left"/>
      </w:pPr>
      <w:r>
        <w:rPr>
          <w:rFonts w:ascii="Arial" w:cs="Arial" w:eastAsia="Arial" w:hAnsi="Arial"/>
          <w:b/>
          <w:bCs/>
          <w:color w:val="1A1410"/>
          <w:sz w:val="22"/>
          <w:szCs w:val="22"/>
        </w:rPr>
        <w:t xml:space="preserve">Why we run it anyway: </w:t>
      </w:r>
      <w:r>
        <w:rPr>
          <w:rFonts w:ascii="Arial" w:cs="Arial" w:eastAsia="Arial" w:hAnsi="Arial"/>
          <w:color w:val="1A1410"/>
          <w:sz w:val="22"/>
          <w:szCs w:val="22"/>
        </w:rPr>
        <w:t xml:space="preserve">Reference customers. Trust Profile / Capacity Passport publishing creates a credential the grantee can show to other donors. Cohort grantees that succeed become direct-paying customers in Year 3.</w:t>
      </w:r>
    </w:p>
    <w:p>
      <w:pPr>
        <w:pStyle w:val="Heading2"/>
        <w:spacing w:after="140" w:before="280"/>
      </w:pPr>
      <w:r>
        <w:rPr>
          <w:rFonts w:ascii="Arial" w:cs="Arial" w:eastAsia="Arial" w:hAnsi="Arial"/>
          <w:b/>
          <w:bCs/>
          <w:color w:val="7C2D12"/>
          <w:sz w:val="28"/>
          <w:szCs w:val="28"/>
        </w:rPr>
        <w:t xml:space="preserve">12.3 Tertiary motion — networks + INGOs</w:t>
      </w:r>
    </w:p>
    <w:p>
      <w:pPr>
        <w:spacing w:after="80" w:before="60" w:line="300"/>
        <w:jc w:val="left"/>
      </w:pPr>
      <w:r>
        <w:rPr>
          <w:rFonts w:ascii="Arial" w:cs="Arial" w:eastAsia="Arial" w:hAnsi="Arial"/>
          <w:color w:val="1A1410"/>
          <w:sz w:val="22"/>
          <w:szCs w:val="22"/>
        </w:rPr>
        <w:t xml:space="preserve">Network secretariats are the V3.6 strategy Networks motion B. INGOs buy Enterprise Platform for HQ ops and sponsor Bundles for partner networks. Both are high-value but limited-count. Run opportunistically rather than as core motion. The dedicated Closed Network flavor of Kuja Grant is the platform that backs this motion — see the Kuja Grant Market Analysis for the depth.</w:t>
      </w:r>
    </w:p>
    <w:p>
      <w:pPr>
        <w:pStyle w:val="Heading2"/>
        <w:spacing w:after="140" w:before="280"/>
      </w:pPr>
      <w:r>
        <w:rPr>
          <w:rFonts w:ascii="Arial" w:cs="Arial" w:eastAsia="Arial" w:hAnsi="Arial"/>
          <w:b/>
          <w:bCs/>
          <w:color w:val="7C2D12"/>
          <w:sz w:val="28"/>
          <w:szCs w:val="28"/>
        </w:rPr>
        <w:t xml:space="preserve">12.4 Channel motion — BPO / regional implementation partners</w:t>
      </w:r>
    </w:p>
    <w:p>
      <w:pPr>
        <w:spacing w:after="80" w:before="60" w:line="300"/>
        <w:jc w:val="left"/>
      </w:pPr>
      <w:r>
        <w:rPr>
          <w:rFonts w:ascii="Arial" w:cs="Arial" w:eastAsia="Arial" w:hAnsi="Arial"/>
          <w:color w:val="1A1410"/>
          <w:sz w:val="22"/>
          <w:szCs w:val="22"/>
        </w:rPr>
        <w:t xml:space="preserve">Regional consultancies in East Africa, West Africa, South Asia, LatAm that already deliver finance / HR / compliance services to NGOs. They resell Elevate Platform licenses with revenue share on implementations. Particularly important for francophone West Africa, lusophone Mozambique / Angola, and LatAm where Kuja direct presence is thin.</w:t>
      </w:r>
    </w:p>
    <w:p>
      <w:pPr>
        <w:pStyle w:val="Heading1"/>
        <w:pageBreakBefore/>
        <w:spacing w:after="200" w:before="320"/>
      </w:pPr>
      <w:r>
        <w:rPr>
          <w:rFonts w:ascii="Arial" w:cs="Arial" w:eastAsia="Arial" w:hAnsi="Arial"/>
          <w:b/>
          <w:bCs/>
          <w:color w:val="C2410C"/>
          <w:sz w:val="36"/>
          <w:szCs w:val="36"/>
        </w:rPr>
        <w:t xml:space="preserve">13. Risks and What Could Go Wrong</w:t>
      </w:r>
    </w:p>
    <w:p>
      <w:pPr>
        <w:pStyle w:val="Heading2"/>
        <w:spacing w:after="140" w:before="280"/>
      </w:pPr>
      <w:r>
        <w:rPr>
          <w:rFonts w:ascii="Arial" w:cs="Arial" w:eastAsia="Arial" w:hAnsi="Arial"/>
          <w:b/>
          <w:bCs/>
          <w:color w:val="7C2D12"/>
          <w:sz w:val="28"/>
          <w:szCs w:val="28"/>
        </w:rPr>
        <w:t xml:space="preserve">13.1 Buyer skepticism about integrated platforms</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"Jack of all trades, master of none" — the dominant objection to integrated platforms. Buyers who have already invested in Salesforce or Sage will resist replacing.</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Module-by-module comparison showing each Elevate module is competitive with the corresponding incumbent. Adeso-runs-on-it as proof of depth in each module. Staged adoption — start with one module that solves an acute pain (typically Contracts or Board), expand once trust is established.</w:t>
      </w:r>
    </w:p>
    <w:p>
      <w:pPr>
        <w:pStyle w:val="Heading2"/>
        <w:spacing w:after="140" w:before="280"/>
      </w:pPr>
      <w:r>
        <w:rPr>
          <w:rFonts w:ascii="Arial" w:cs="Arial" w:eastAsia="Arial" w:hAnsi="Arial"/>
          <w:b/>
          <w:bCs/>
          <w:color w:val="7C2D12"/>
          <w:sz w:val="28"/>
          <w:szCs w:val="28"/>
        </w:rPr>
        <w:t xml:space="preserve">13.2 Migration risk</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Switching from six existing tools is operationally daunting. Bridgespan documents real cases of nonprofits with $1M Salesforce investments where "no one knows how to use it anymore" — paradoxically helpful for the Elevate pitch but also a cautionary tale about migration.</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Advisory engagement is designed exactly to manage migration risk — Diagnose maps current state, Improve plans the cutover, Automate executes it. Data migration tooling included in Advisory scope.</w:t>
      </w:r>
    </w:p>
    <w:p>
      <w:pPr>
        <w:pStyle w:val="Heading2"/>
        <w:spacing w:after="140" w:before="280"/>
      </w:pPr>
      <w:r>
        <w:rPr>
          <w:rFonts w:ascii="Arial" w:cs="Arial" w:eastAsia="Arial" w:hAnsi="Arial"/>
          <w:b/>
          <w:bCs/>
          <w:color w:val="7C2D12"/>
          <w:sz w:val="28"/>
          <w:szCs w:val="28"/>
        </w:rPr>
        <w:t xml:space="preserve">13.3 "What if Kuja goes out of business?"</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Common objection — buyers fear vendor concentration risk on a critical operations platform.</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Data export tooling. Source-code escrow for enterprise customers. Network architecture is data-portable (per V3.6 strategy Networks motion design). Open standards where possible (Odoo 17 base for ERP integration).</w:t>
      </w:r>
    </w:p>
    <w:p>
      <w:pPr>
        <w:pStyle w:val="Heading2"/>
        <w:spacing w:after="140" w:before="280"/>
      </w:pPr>
      <w:r>
        <w:rPr>
          <w:rFonts w:ascii="Arial" w:cs="Arial" w:eastAsia="Arial" w:hAnsi="Arial"/>
          <w:b/>
          <w:bCs/>
          <w:color w:val="7C2D12"/>
          <w:sz w:val="28"/>
          <w:szCs w:val="28"/>
        </w:rPr>
        <w:t xml:space="preserve">13.4 Foundation slowness on tech sponsorship</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Only 20% of funders fund tech directly (NTEN), down from 23%. If the secondary cohort-sponsorship motion underperforms, total revenue stalls.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Direct-NGO motion is primary precisely because of this dependency risk. Direct sales does not require donor sponsorship. Even if cohort motion contributes zero in 2026–2027, direct sales gets Conservative revenue plan to $3M+ by 2028.</w:t>
      </w:r>
    </w:p>
    <w:p>
      <w:pPr>
        <w:pStyle w:val="Heading2"/>
        <w:spacing w:after="140" w:before="280"/>
      </w:pPr>
      <w:r>
        <w:rPr>
          <w:rFonts w:ascii="Arial" w:cs="Arial" w:eastAsia="Arial" w:hAnsi="Arial"/>
          <w:b/>
          <w:bCs/>
          <w:color w:val="7C2D12"/>
          <w:sz w:val="28"/>
          <w:szCs w:val="28"/>
        </w:rPr>
        <w:t xml:space="preserve">13.5 AI hallucination / failure</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AI errors in compliance flagging, board pack generation, or contract extraction could damage trust. 67% of NGO buyers concerned about AI accuracy (TechSoup 2025). 23% of foundations won't accept AI-generated content (NPTechForGood 2026).</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Every AI output grounded with citations. Every workflow has manual fallback. Per-endpoint failure-rate telemetry on /admin/ai-telemetry. Adeso operates under the same AI; we see drift before customers do.</w:t>
      </w:r>
    </w:p>
    <w:p>
      <w:pPr>
        <w:pStyle w:val="Heading2"/>
        <w:spacing w:after="140" w:before="280"/>
      </w:pPr>
      <w:r>
        <w:rPr>
          <w:rFonts w:ascii="Arial" w:cs="Arial" w:eastAsia="Arial" w:hAnsi="Arial"/>
          <w:b/>
          <w:bCs/>
          <w:color w:val="7C2D12"/>
          <w:sz w:val="28"/>
          <w:szCs w:val="28"/>
        </w:rPr>
        <w:t xml:space="preserve">13.6 Channel-partner capacity</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Regional BPO partner capacity is a hard constraint on geographic expansion. Senior NGO operations consultants are scarce in East Africa.</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Adeso's existing relationships. Remote-Africa hiring. Structured 12–18 month associate-to-consultant training programme. BPO partnership for delivery in markets where direct hiring is uneconomical.</w:t>
      </w:r>
    </w:p>
    <w:p>
      <w:pPr>
        <w:pStyle w:val="Heading1"/>
        <w:pageBreakBefore/>
        <w:spacing w:after="200" w:before="320"/>
      </w:pPr>
      <w:r>
        <w:rPr>
          <w:rFonts w:ascii="Arial" w:cs="Arial" w:eastAsia="Arial" w:hAnsi="Arial"/>
          <w:b/>
          <w:bCs/>
          <w:color w:val="C2410C"/>
          <w:sz w:val="36"/>
          <w:szCs w:val="36"/>
        </w:rPr>
        <w:t xml:space="preserve">14. Sources and Bibliography</w:t>
      </w:r>
    </w:p>
    <w:p>
      <w:pPr>
        <w:spacing w:after="80" w:before="60" w:line="300"/>
        <w:jc w:val="left"/>
      </w:pPr>
      <w:r>
        <w:rPr>
          <w:rFonts w:ascii="Arial" w:cs="Arial" w:eastAsia="Arial" w:hAnsi="Arial"/>
          <w:color w:val="1A1410"/>
          <w:sz w:val="22"/>
          <w:szCs w:val="22"/>
        </w:rPr>
        <w:t xml:space="preserve">Every numerical claim in this analysis is traceable to a published source. Where a figure could not be verified from a primary source, the document either drops the claim or flags it as "directional" or "estimate."</w:t>
      </w:r>
    </w:p>
    <w:p>
      <w:pPr>
        <w:pStyle w:val="Heading2"/>
        <w:spacing w:after="140" w:before="280"/>
      </w:pPr>
      <w:r>
        <w:rPr>
          <w:rFonts w:ascii="Arial" w:cs="Arial" w:eastAsia="Arial" w:hAnsi="Arial"/>
          <w:b/>
          <w:bCs/>
          <w:color w:val="7C2D12"/>
          <w:sz w:val="28"/>
          <w:szCs w:val="28"/>
        </w:rPr>
        <w:t xml:space="preserve">Market sizing and NGO universe</w:t>
      </w:r>
    </w:p>
    <w:p>
      <w:pPr>
        <w:pStyle w:val="ListParagraph"/>
        <w:numPr>
          <w:ilvl w:val="0"/>
          <w:numId w:val="2"/>
        </w:numPr>
        <w:spacing w:after="60" w:before="30" w:line="280"/>
      </w:pPr>
      <w:r>
        <w:rPr>
          <w:rFonts w:ascii="Arial" w:cs="Arial" w:eastAsia="Arial" w:hAnsi="Arial"/>
          <w:i/>
          <w:iCs/>
          <w:color w:val="6B6660"/>
          <w:sz w:val="18"/>
          <w:szCs w:val="18"/>
        </w:rPr>
        <w:t xml:space="preserve">Candid. Data Insights: Very Small Nonprofits Make Up the Majority of US Nonprofits. https://candid.org/</w:t>
      </w:r>
    </w:p>
    <w:p>
      <w:pPr>
        <w:pStyle w:val="ListParagraph"/>
        <w:numPr>
          <w:ilvl w:val="0"/>
          <w:numId w:val="2"/>
        </w:numPr>
        <w:spacing w:after="60" w:before="30" w:line="280"/>
      </w:pPr>
      <w:r>
        <w:rPr>
          <w:rFonts w:ascii="Arial" w:cs="Arial" w:eastAsia="Arial" w:hAnsi="Arial"/>
          <w:i/>
          <w:iCs/>
          <w:color w:val="6B6660"/>
          <w:sz w:val="18"/>
          <w:szCs w:val="18"/>
        </w:rPr>
        <w:t xml:space="preserve">Independent Sector. Health of the US Nonprofit Sector. https://independentsector.org/resource/health-of-the-u-s-nonprofit-sector/</w:t>
      </w:r>
    </w:p>
    <w:p>
      <w:pPr>
        <w:pStyle w:val="ListParagraph"/>
        <w:numPr>
          <w:ilvl w:val="0"/>
          <w:numId w:val="2"/>
        </w:numPr>
        <w:spacing w:after="60" w:before="30" w:line="280"/>
      </w:pPr>
      <w:r>
        <w:rPr>
          <w:rFonts w:ascii="Arial" w:cs="Arial" w:eastAsia="Arial" w:hAnsi="Arial"/>
          <w:i/>
          <w:iCs/>
          <w:color w:val="6B6660"/>
          <w:sz w:val="18"/>
          <w:szCs w:val="18"/>
        </w:rPr>
        <w:t xml:space="preserve">Urban Institute NCCS. Sector in Brief Dashboard. https://nccs.urban.org/nccs/resources/sector-in-brief-dashboard/</w:t>
      </w:r>
    </w:p>
    <w:p>
      <w:pPr>
        <w:pStyle w:val="ListParagraph"/>
        <w:numPr>
          <w:ilvl w:val="0"/>
          <w:numId w:val="2"/>
        </w:numPr>
        <w:spacing w:after="60" w:before="30" w:line="280"/>
      </w:pPr>
      <w:r>
        <w:rPr>
          <w:rFonts w:ascii="Arial" w:cs="Arial" w:eastAsia="Arial" w:hAnsi="Arial"/>
          <w:i/>
          <w:iCs/>
          <w:color w:val="6B6660"/>
          <w:sz w:val="18"/>
          <w:szCs w:val="18"/>
        </w:rPr>
        <w:t xml:space="preserve">IPEA. Mapa das Organizações da Sociedade Civil (Brazil), 2024. https://www.ipea.gov.br/portal/categorias/45-todas-as-noticias/noticias/15591-brasil-possui-mais-de-897-mil-organizacoes-da-sociedade-civil-ativas</w:t>
      </w:r>
    </w:p>
    <w:p>
      <w:pPr>
        <w:pStyle w:val="ListParagraph"/>
        <w:numPr>
          <w:ilvl w:val="0"/>
          <w:numId w:val="2"/>
        </w:numPr>
        <w:spacing w:after="60" w:before="30" w:line="280"/>
      </w:pPr>
      <w:r>
        <w:rPr>
          <w:rFonts w:ascii="Arial" w:cs="Arial" w:eastAsia="Arial" w:hAnsi="Arial"/>
          <w:i/>
          <w:iCs/>
          <w:color w:val="6B6660"/>
          <w:sz w:val="18"/>
          <w:szCs w:val="18"/>
        </w:rPr>
        <w:t xml:space="preserve">NGO Darpan (India), 2023, via TheCSRUniverse. https://thecsruniverse.com/articles/ngos-in-india-2023-state-and-category-wise-ngos-list-based-on-ngo-darpan-data</w:t>
      </w:r>
    </w:p>
    <w:p>
      <w:pPr>
        <w:pStyle w:val="ListParagraph"/>
        <w:numPr>
          <w:ilvl w:val="0"/>
          <w:numId w:val="2"/>
        </w:numPr>
        <w:spacing w:after="60" w:before="30" w:line="280"/>
      </w:pPr>
      <w:r>
        <w:rPr>
          <w:rFonts w:ascii="Arial" w:cs="Arial" w:eastAsia="Arial" w:hAnsi="Arial"/>
          <w:i/>
          <w:iCs/>
          <w:color w:val="6B6660"/>
          <w:sz w:val="18"/>
          <w:szCs w:val="18"/>
        </w:rPr>
        <w:t xml:space="preserve">Business Research Company. NGOs and Charitable Organizations Global Market Report. https://www.thebusinessresearchcompany.com/report/ngos-and-charitable-organizations-global-market-report</w:t>
      </w:r>
    </w:p>
    <w:p>
      <w:pPr>
        <w:pStyle w:val="ListParagraph"/>
        <w:numPr>
          <w:ilvl w:val="0"/>
          <w:numId w:val="2"/>
        </w:numPr>
        <w:spacing w:after="60" w:before="30" w:line="280"/>
      </w:pPr>
      <w:r>
        <w:rPr>
          <w:rFonts w:ascii="Arial" w:cs="Arial" w:eastAsia="Arial" w:hAnsi="Arial"/>
          <w:i/>
          <w:iCs/>
          <w:color w:val="6B6660"/>
          <w:sz w:val="18"/>
          <w:szCs w:val="18"/>
        </w:rPr>
        <w:t xml:space="preserve">WANGO Directory. https://www.wango.org/ngodirectory/</w:t>
      </w:r>
    </w:p>
    <w:p>
      <w:pPr>
        <w:pStyle w:val="Heading2"/>
        <w:spacing w:after="140" w:before="280"/>
      </w:pPr>
      <w:r>
        <w:rPr>
          <w:rFonts w:ascii="Arial" w:cs="Arial" w:eastAsia="Arial" w:hAnsi="Arial"/>
          <w:b/>
          <w:bCs/>
          <w:color w:val="7C2D12"/>
          <w:sz w:val="28"/>
          <w:szCs w:val="28"/>
        </w:rPr>
        <w:t xml:space="preserve">Nonprofit tech spend and adoption</w:t>
      </w:r>
    </w:p>
    <w:p>
      <w:pPr>
        <w:pStyle w:val="ListParagraph"/>
        <w:numPr>
          <w:ilvl w:val="0"/>
          <w:numId w:val="2"/>
        </w:numPr>
        <w:spacing w:after="60" w:before="30" w:line="280"/>
      </w:pPr>
      <w:r>
        <w:rPr>
          <w:rFonts w:ascii="Arial" w:cs="Arial" w:eastAsia="Arial" w:hAnsi="Arial"/>
          <w:i/>
          <w:iCs/>
          <w:color w:val="6B6660"/>
          <w:sz w:val="18"/>
          <w:szCs w:val="18"/>
        </w:rPr>
        <w:t xml:space="preserve">NTEN + Heller Consulting. 2024 Nonprofit Digital Investments Report. https://www.nten.org/posts/publication/2024-nonprofit-digital-investments-report</w:t>
      </w:r>
    </w:p>
    <w:p>
      <w:pPr>
        <w:pStyle w:val="ListParagraph"/>
        <w:numPr>
          <w:ilvl w:val="0"/>
          <w:numId w:val="2"/>
        </w:numPr>
        <w:spacing w:after="60" w:before="30" w:line="280"/>
      </w:pPr>
      <w:r>
        <w:rPr>
          <w:rFonts w:ascii="Arial" w:cs="Arial" w:eastAsia="Arial" w:hAnsi="Arial"/>
          <w:i/>
          <w:iCs/>
          <w:color w:val="6B6660"/>
          <w:sz w:val="18"/>
          <w:szCs w:val="18"/>
        </w:rPr>
        <w:t xml:space="preserve">NTEN. Tech Accelerate analysis. https://www.nten.org/blog/tech-accelerate-analysis</w:t>
      </w:r>
    </w:p>
    <w:p>
      <w:pPr>
        <w:pStyle w:val="ListParagraph"/>
        <w:numPr>
          <w:ilvl w:val="0"/>
          <w:numId w:val="2"/>
        </w:numPr>
        <w:spacing w:after="60" w:before="30" w:line="280"/>
      </w:pPr>
      <w:r>
        <w:rPr>
          <w:rFonts w:ascii="Arial" w:cs="Arial" w:eastAsia="Arial" w:hAnsi="Arial"/>
          <w:i/>
          <w:iCs/>
          <w:color w:val="6B6660"/>
          <w:sz w:val="18"/>
          <w:szCs w:val="18"/>
        </w:rPr>
        <w:t xml:space="preserve">NTEN. How donors are approaching nonprofit technology funding. https://www.nten.org/blog/nonprofit-technology-funding</w:t>
      </w:r>
    </w:p>
    <w:p>
      <w:pPr>
        <w:pStyle w:val="ListParagraph"/>
        <w:numPr>
          <w:ilvl w:val="0"/>
          <w:numId w:val="2"/>
        </w:numPr>
        <w:spacing w:after="60" w:before="30" w:line="280"/>
      </w:pPr>
      <w:r>
        <w:rPr>
          <w:rFonts w:ascii="Arial" w:cs="Arial" w:eastAsia="Arial" w:hAnsi="Arial"/>
          <w:i/>
          <w:iCs/>
          <w:color w:val="6B6660"/>
          <w:sz w:val="18"/>
          <w:szCs w:val="18"/>
        </w:rPr>
        <w:t xml:space="preserve">Sage. Key Findings — 2024 Nonprofit Technology Trends Survey. https://www.sage.com/en-us/blog/key-findings-2024-nonprofit-tech-trends/</w:t>
      </w:r>
    </w:p>
    <w:p>
      <w:pPr>
        <w:pStyle w:val="ListParagraph"/>
        <w:numPr>
          <w:ilvl w:val="0"/>
          <w:numId w:val="2"/>
        </w:numPr>
        <w:spacing w:after="60" w:before="30" w:line="280"/>
      </w:pPr>
      <w:r>
        <w:rPr>
          <w:rFonts w:ascii="Arial" w:cs="Arial" w:eastAsia="Arial" w:hAnsi="Arial"/>
          <w:i/>
          <w:iCs/>
          <w:color w:val="6B6660"/>
          <w:sz w:val="18"/>
          <w:szCs w:val="18"/>
        </w:rPr>
        <w:t xml:space="preserve">Bloomerang via Nonprofit Tech for Good. 2026 AI Marketing &amp; Fundraising Statistics for Nonprofits. https://www.nptechforgood.com/101-best-practices/ai-marketing-fundraising-statistics-for-nonprofits/</w:t>
      </w:r>
    </w:p>
    <w:p>
      <w:pPr>
        <w:pStyle w:val="ListParagraph"/>
        <w:numPr>
          <w:ilvl w:val="0"/>
          <w:numId w:val="2"/>
        </w:numPr>
        <w:spacing w:after="60" w:before="30" w:line="280"/>
      </w:pPr>
      <w:r>
        <w:rPr>
          <w:rFonts w:ascii="Arial" w:cs="Arial" w:eastAsia="Arial" w:hAnsi="Arial"/>
          <w:i/>
          <w:iCs/>
          <w:color w:val="6B6660"/>
          <w:sz w:val="18"/>
          <w:szCs w:val="18"/>
        </w:rPr>
        <w:t xml:space="preserve">Global Growth Insights. Nonprofit Software Market Report. https://www.globalgrowthinsights.com/market-reports/nonprofit-software-market-101429</w:t>
      </w:r>
    </w:p>
    <w:p>
      <w:pPr>
        <w:pStyle w:val="ListParagraph"/>
        <w:numPr>
          <w:ilvl w:val="0"/>
          <w:numId w:val="2"/>
        </w:numPr>
        <w:spacing w:after="60" w:before="30" w:line="280"/>
      </w:pPr>
      <w:r>
        <w:rPr>
          <w:rFonts w:ascii="Arial" w:cs="Arial" w:eastAsia="Arial" w:hAnsi="Arial"/>
          <w:i/>
          <w:iCs/>
          <w:color w:val="6B6660"/>
          <w:sz w:val="18"/>
          <w:szCs w:val="18"/>
        </w:rPr>
        <w:t xml:space="preserve">TechFunding News. 2025 Leading Board Software for Charities and Nonprofit Boards.</w:t>
      </w:r>
    </w:p>
    <w:p>
      <w:pPr>
        <w:pStyle w:val="ListParagraph"/>
        <w:numPr>
          <w:ilvl w:val="0"/>
          <w:numId w:val="2"/>
        </w:numPr>
        <w:spacing w:after="60" w:before="30" w:line="280"/>
      </w:pPr>
      <w:r>
        <w:rPr>
          <w:rFonts w:ascii="Arial" w:cs="Arial" w:eastAsia="Arial" w:hAnsi="Arial"/>
          <w:i/>
          <w:iCs/>
          <w:color w:val="6B6660"/>
          <w:sz w:val="18"/>
          <w:szCs w:val="18"/>
        </w:rPr>
        <w:t xml:space="preserve">NonProfit PRO. Nonprofit Technology Tracker 2026. https://www.nonprofitpro.com/article/nonprofit-technology-tracker-2026/</w:t>
      </w:r>
    </w:p>
    <w:p>
      <w:pPr>
        <w:pStyle w:val="Heading2"/>
        <w:spacing w:after="140" w:before="280"/>
      </w:pPr>
      <w:r>
        <w:rPr>
          <w:rFonts w:ascii="Arial" w:cs="Arial" w:eastAsia="Arial" w:hAnsi="Arial"/>
          <w:b/>
          <w:bCs/>
          <w:color w:val="7C2D12"/>
          <w:sz w:val="28"/>
          <w:szCs w:val="28"/>
        </w:rPr>
        <w:t xml:space="preserve">AI in nonprofits</w:t>
      </w:r>
    </w:p>
    <w:p>
      <w:pPr>
        <w:pStyle w:val="ListParagraph"/>
        <w:numPr>
          <w:ilvl w:val="0"/>
          <w:numId w:val="2"/>
        </w:numPr>
        <w:spacing w:after="60" w:before="30" w:line="280"/>
      </w:pPr>
      <w:r>
        <w:rPr>
          <w:rFonts w:ascii="Arial" w:cs="Arial" w:eastAsia="Arial" w:hAnsi="Arial"/>
          <w:i/>
          <w:iCs/>
          <w:color w:val="6B6660"/>
          <w:sz w:val="18"/>
          <w:szCs w:val="18"/>
        </w:rPr>
        <w:t xml:space="preserve">Virtuous + Fundraising.AI. 2026 Nonprofit AI Adoption Report. Via NonProfit PRO summary. https://www.nonprofitpro.com/article/nonprofit-ai-adoption-hits-92-but-only-7-see-major-impact/</w:t>
      </w:r>
    </w:p>
    <w:p>
      <w:pPr>
        <w:pStyle w:val="ListParagraph"/>
        <w:numPr>
          <w:ilvl w:val="0"/>
          <w:numId w:val="2"/>
        </w:numPr>
        <w:spacing w:after="60" w:before="30" w:line="280"/>
      </w:pPr>
      <w:r>
        <w:rPr>
          <w:rFonts w:ascii="Arial" w:cs="Arial" w:eastAsia="Arial" w:hAnsi="Arial"/>
          <w:i/>
          <w:iCs/>
          <w:color w:val="6B6660"/>
          <w:sz w:val="18"/>
          <w:szCs w:val="18"/>
        </w:rPr>
        <w:t xml:space="preserve">Candid AI Equity Project, 2025. https://candid.org/blogs/what-data-says-about-nonprofits-building-ai-solutions/</w:t>
      </w:r>
    </w:p>
    <w:p>
      <w:pPr>
        <w:pStyle w:val="ListParagraph"/>
        <w:numPr>
          <w:ilvl w:val="0"/>
          <w:numId w:val="2"/>
        </w:numPr>
        <w:spacing w:after="60" w:before="30" w:line="280"/>
      </w:pPr>
      <w:r>
        <w:rPr>
          <w:rFonts w:ascii="Arial" w:cs="Arial" w:eastAsia="Arial" w:hAnsi="Arial"/>
          <w:i/>
          <w:iCs/>
          <w:color w:val="6B6660"/>
          <w:sz w:val="18"/>
          <w:szCs w:val="18"/>
        </w:rPr>
        <w:t xml:space="preserve">TechSoup + Tapp Network. State of AI in Nonprofits 2025. https://blog.techsoup.org/posts/what-ai-means-for-nonprofits-in-2025-insights-from-the-ai-benchmark-report</w:t>
      </w:r>
    </w:p>
    <w:p>
      <w:pPr>
        <w:pStyle w:val="ListParagraph"/>
        <w:numPr>
          <w:ilvl w:val="0"/>
          <w:numId w:val="2"/>
        </w:numPr>
        <w:spacing w:after="60" w:before="30" w:line="280"/>
      </w:pPr>
      <w:r>
        <w:rPr>
          <w:rFonts w:ascii="Arial" w:cs="Arial" w:eastAsia="Arial" w:hAnsi="Arial"/>
          <w:i/>
          <w:iCs/>
          <w:color w:val="6B6660"/>
          <w:sz w:val="18"/>
          <w:szCs w:val="18"/>
        </w:rPr>
        <w:t xml:space="preserve">GivingTuesday. AI Readiness Survey 2024.</w:t>
      </w:r>
    </w:p>
    <w:p>
      <w:pPr>
        <w:pStyle w:val="ListParagraph"/>
        <w:numPr>
          <w:ilvl w:val="0"/>
          <w:numId w:val="2"/>
        </w:numPr>
        <w:spacing w:after="60" w:before="30" w:line="280"/>
      </w:pPr>
      <w:r>
        <w:rPr>
          <w:rFonts w:ascii="Arial" w:cs="Arial" w:eastAsia="Arial" w:hAnsi="Arial"/>
          <w:i/>
          <w:iCs/>
          <w:color w:val="6B6660"/>
          <w:sz w:val="18"/>
          <w:szCs w:val="18"/>
        </w:rPr>
        <w:t xml:space="preserve">Attain Partners. Nonprofit Technology Trends — Responsible AI, Data Privacy. https://attainpartners.com/blog/nonprofit-technology-trends-nten-ntc-ai-data-privacy/</w:t>
      </w:r>
    </w:p>
    <w:p>
      <w:pPr>
        <w:pStyle w:val="Heading2"/>
        <w:spacing w:after="140" w:before="280"/>
      </w:pPr>
      <w:r>
        <w:rPr>
          <w:rFonts w:ascii="Arial" w:cs="Arial" w:eastAsia="Arial" w:hAnsi="Arial"/>
          <w:b/>
          <w:bCs/>
          <w:color w:val="7C2D12"/>
          <w:sz w:val="28"/>
          <w:szCs w:val="28"/>
        </w:rPr>
        <w:t xml:space="preserve">Buyer behavior and operational pain</w:t>
      </w:r>
    </w:p>
    <w:p>
      <w:pPr>
        <w:pStyle w:val="ListParagraph"/>
        <w:numPr>
          <w:ilvl w:val="0"/>
          <w:numId w:val="2"/>
        </w:numPr>
        <w:spacing w:after="60" w:before="30" w:line="280"/>
      </w:pPr>
      <w:r>
        <w:rPr>
          <w:rFonts w:ascii="Arial" w:cs="Arial" w:eastAsia="Arial" w:hAnsi="Arial"/>
          <w:i/>
          <w:iCs/>
          <w:color w:val="6B6660"/>
          <w:sz w:val="18"/>
          <w:szCs w:val="18"/>
        </w:rPr>
        <w:t xml:space="preserve">Bridgespan. How COOs Keep Their Nonprofits Running Smoothly (2025 COO survey, 165 respondents). https://www.bridgespan.org/insights/nonprofit-leadership/how-coos-keep-their-nonprofits-running-smoothly</w:t>
      </w:r>
    </w:p>
    <w:p>
      <w:pPr>
        <w:pStyle w:val="ListParagraph"/>
        <w:numPr>
          <w:ilvl w:val="0"/>
          <w:numId w:val="2"/>
        </w:numPr>
        <w:spacing w:after="60" w:before="30" w:line="280"/>
      </w:pPr>
      <w:r>
        <w:rPr>
          <w:rFonts w:ascii="Arial" w:cs="Arial" w:eastAsia="Arial" w:hAnsi="Arial"/>
          <w:i/>
          <w:iCs/>
          <w:color w:val="6B6660"/>
          <w:sz w:val="18"/>
          <w:szCs w:val="18"/>
        </w:rPr>
        <w:t xml:space="preserve">Bridgespan. Closing the Nonprofit Funding Gap in the Age of AI. https://www.bridgespan.org/insights/closing-the-nonprofit-funding-gap-in-the-age-of-ai</w:t>
      </w:r>
    </w:p>
    <w:p>
      <w:pPr>
        <w:pStyle w:val="ListParagraph"/>
        <w:numPr>
          <w:ilvl w:val="0"/>
          <w:numId w:val="2"/>
        </w:numPr>
        <w:spacing w:after="60" w:before="30" w:line="280"/>
      </w:pPr>
      <w:r>
        <w:rPr>
          <w:rFonts w:ascii="Arial" w:cs="Arial" w:eastAsia="Arial" w:hAnsi="Arial"/>
          <w:i/>
          <w:iCs/>
          <w:color w:val="6B6660"/>
          <w:sz w:val="18"/>
          <w:szCs w:val="18"/>
        </w:rPr>
        <w:t xml:space="preserve">Sage. Nonprofit Audit Checklist. https://www.sage.com/en-us/blog/nonprofit-audit-checklist/</w:t>
      </w:r>
    </w:p>
    <w:p>
      <w:pPr>
        <w:pStyle w:val="ListParagraph"/>
        <w:numPr>
          <w:ilvl w:val="0"/>
          <w:numId w:val="2"/>
        </w:numPr>
        <w:spacing w:after="60" w:before="30" w:line="280"/>
      </w:pPr>
      <w:r>
        <w:rPr>
          <w:rFonts w:ascii="Arial" w:cs="Arial" w:eastAsia="Arial" w:hAnsi="Arial"/>
          <w:i/>
          <w:iCs/>
          <w:color w:val="6B6660"/>
          <w:sz w:val="18"/>
          <w:szCs w:val="18"/>
        </w:rPr>
        <w:t xml:space="preserve">Blackbaud. 16 Common Nonprofit Audit Mistakes. https://blog.blackbaud.com/nonprofit-audit-mistakes/</w:t>
      </w:r>
    </w:p>
    <w:p>
      <w:pPr>
        <w:pStyle w:val="ListParagraph"/>
        <w:numPr>
          <w:ilvl w:val="0"/>
          <w:numId w:val="2"/>
        </w:numPr>
        <w:spacing w:after="60" w:before="30" w:line="280"/>
      </w:pPr>
      <w:r>
        <w:rPr>
          <w:rFonts w:ascii="Arial" w:cs="Arial" w:eastAsia="Arial" w:hAnsi="Arial"/>
          <w:i/>
          <w:iCs/>
          <w:color w:val="6B6660"/>
          <w:sz w:val="18"/>
          <w:szCs w:val="18"/>
        </w:rPr>
        <w:t xml:space="preserve">Humentum. USG Compliance curriculum. https://humentum.org/ngo-training/usaid-compliance/</w:t>
      </w:r>
    </w:p>
    <w:p>
      <w:pPr>
        <w:pStyle w:val="ListParagraph"/>
        <w:numPr>
          <w:ilvl w:val="0"/>
          <w:numId w:val="2"/>
        </w:numPr>
        <w:spacing w:after="60" w:before="30" w:line="280"/>
      </w:pPr>
      <w:r>
        <w:rPr>
          <w:rFonts w:ascii="Arial" w:cs="Arial" w:eastAsia="Arial" w:hAnsi="Arial"/>
          <w:i/>
          <w:iCs/>
          <w:color w:val="6B6660"/>
          <w:sz w:val="18"/>
          <w:szCs w:val="18"/>
        </w:rPr>
        <w:t xml:space="preserve">Humanitarian Outcomes. Humanitarian Financing Efficiency (2017). https://humanitarianoutcomes.org/sites/default/files/publications/humanitarian_financing_efficiency_.pdf</w:t>
      </w:r>
    </w:p>
    <w:p>
      <w:pPr>
        <w:pStyle w:val="ListParagraph"/>
        <w:numPr>
          <w:ilvl w:val="0"/>
          <w:numId w:val="2"/>
        </w:numPr>
        <w:spacing w:after="60" w:before="30" w:line="280"/>
      </w:pPr>
      <w:r>
        <w:rPr>
          <w:rFonts w:ascii="Arial" w:cs="Arial" w:eastAsia="Arial" w:hAnsi="Arial"/>
          <w:i/>
          <w:iCs/>
          <w:color w:val="6B6660"/>
          <w:sz w:val="18"/>
          <w:szCs w:val="18"/>
        </w:rPr>
        <w:t xml:space="preserve">Humanitarian Futures. INGO Leadership Survey. https://www.humanitarianfutures.org/wp-content/uploads/2023/07/ingos-report-web-final.pdf</w:t>
      </w:r>
    </w:p>
    <w:p>
      <w:pPr>
        <w:pStyle w:val="ListParagraph"/>
        <w:numPr>
          <w:ilvl w:val="0"/>
          <w:numId w:val="2"/>
        </w:numPr>
        <w:spacing w:after="60" w:before="30" w:line="280"/>
      </w:pPr>
      <w:r>
        <w:rPr>
          <w:rFonts w:ascii="Arial" w:cs="Arial" w:eastAsia="Arial" w:hAnsi="Arial"/>
          <w:i/>
          <w:iCs/>
          <w:color w:val="6B6660"/>
          <w:sz w:val="18"/>
          <w:szCs w:val="18"/>
        </w:rPr>
        <w:t xml:space="preserve">UN JIU/REP/2017/7. Donor Reporting Requirements review.</w:t>
      </w:r>
    </w:p>
    <w:p>
      <w:pPr>
        <w:pStyle w:val="ListParagraph"/>
        <w:numPr>
          <w:ilvl w:val="0"/>
          <w:numId w:val="2"/>
        </w:numPr>
        <w:spacing w:after="60" w:before="30" w:line="280"/>
      </w:pPr>
      <w:r>
        <w:rPr>
          <w:rFonts w:ascii="Arial" w:cs="Arial" w:eastAsia="Arial" w:hAnsi="Arial"/>
          <w:i/>
          <w:iCs/>
          <w:color w:val="6B6660"/>
          <w:sz w:val="18"/>
          <w:szCs w:val="18"/>
        </w:rPr>
        <w:t xml:space="preserve">IASC Grand Bargain. 2024 Self-Reports. https://interagencystandingcommittee.org/grand-bargain-official-website/grand-bargain-self-reports-2024</w:t>
      </w:r>
    </w:p>
    <w:p>
      <w:pPr>
        <w:pStyle w:val="Heading2"/>
        <w:spacing w:after="140" w:before="280"/>
      </w:pPr>
      <w:r>
        <w:rPr>
          <w:rFonts w:ascii="Arial" w:cs="Arial" w:eastAsia="Arial" w:hAnsi="Arial"/>
          <w:b/>
          <w:bCs/>
          <w:color w:val="7C2D12"/>
          <w:sz w:val="28"/>
          <w:szCs w:val="28"/>
        </w:rPr>
        <w:t xml:space="preserve">Funder trends</w:t>
      </w:r>
    </w:p>
    <w:p>
      <w:pPr>
        <w:pStyle w:val="ListParagraph"/>
        <w:numPr>
          <w:ilvl w:val="0"/>
          <w:numId w:val="2"/>
        </w:numPr>
        <w:spacing w:after="60" w:before="30" w:line="280"/>
      </w:pPr>
      <w:r>
        <w:rPr>
          <w:rFonts w:ascii="Arial" w:cs="Arial" w:eastAsia="Arial" w:hAnsi="Arial"/>
          <w:i/>
          <w:iCs/>
          <w:color w:val="6B6660"/>
          <w:sz w:val="18"/>
          <w:szCs w:val="18"/>
        </w:rPr>
        <w:t xml:space="preserve">Alliance Magazine. Ford Commits $1bn to Unrestricted Grants. https://www.alliancemagazine.org/blog/ford-commits-1bn-to-unrestricted-grants-for-hundreds-of-organisation-in-build-initiative/</w:t>
      </w:r>
    </w:p>
    <w:p>
      <w:pPr>
        <w:pStyle w:val="ListParagraph"/>
        <w:numPr>
          <w:ilvl w:val="0"/>
          <w:numId w:val="2"/>
        </w:numPr>
        <w:spacing w:after="60" w:before="30" w:line="280"/>
      </w:pPr>
      <w:r>
        <w:rPr>
          <w:rFonts w:ascii="Arial" w:cs="Arial" w:eastAsia="Arial" w:hAnsi="Arial"/>
          <w:i/>
          <w:iCs/>
          <w:color w:val="6B6660"/>
          <w:sz w:val="18"/>
          <w:szCs w:val="18"/>
        </w:rPr>
        <w:t xml:space="preserve">Inside Philanthropy. Ford BUILD Lessons Learned. https://www.insidephilanthropy.com/home/in-2015-ford-made-a-huge-bet-on-unrestricted-multi-year-support-what-has-it-learned</w:t>
      </w:r>
    </w:p>
    <w:p>
      <w:pPr>
        <w:pStyle w:val="ListParagraph"/>
        <w:numPr>
          <w:ilvl w:val="0"/>
          <w:numId w:val="2"/>
        </w:numPr>
        <w:spacing w:after="60" w:before="30" w:line="280"/>
      </w:pPr>
      <w:r>
        <w:rPr>
          <w:rFonts w:ascii="Arial" w:cs="Arial" w:eastAsia="Arial" w:hAnsi="Arial"/>
          <w:i/>
          <w:iCs/>
          <w:color w:val="6B6660"/>
          <w:sz w:val="18"/>
          <w:szCs w:val="18"/>
        </w:rPr>
        <w:t xml:space="preserve">NonProfit Times. MacKenzie Scott Giving Impact Research. https://thenonprofittimes.com/npt_articles/new-research-documents-impact-of-mackenzie-scotts-giving/</w:t>
      </w:r>
    </w:p>
    <w:p>
      <w:pPr>
        <w:pStyle w:val="Heading2"/>
        <w:spacing w:after="140" w:before="280"/>
      </w:pPr>
      <w:r>
        <w:rPr>
          <w:rFonts w:ascii="Arial" w:cs="Arial" w:eastAsia="Arial" w:hAnsi="Arial"/>
          <w:b/>
          <w:bCs/>
          <w:color w:val="7C2D12"/>
          <w:sz w:val="28"/>
          <w:szCs w:val="28"/>
        </w:rPr>
        <w:t xml:space="preserve">Competitor pricing — CLM, CRM, board, OKR, policy, project management</w:t>
      </w:r>
    </w:p>
    <w:p>
      <w:pPr>
        <w:pStyle w:val="ListParagraph"/>
        <w:numPr>
          <w:ilvl w:val="0"/>
          <w:numId w:val="2"/>
        </w:numPr>
        <w:spacing w:after="60" w:before="30" w:line="280"/>
      </w:pPr>
      <w:r>
        <w:rPr>
          <w:rFonts w:ascii="Arial" w:cs="Arial" w:eastAsia="Arial" w:hAnsi="Arial"/>
          <w:i/>
          <w:iCs/>
          <w:color w:val="6B6660"/>
          <w:sz w:val="18"/>
          <w:szCs w:val="18"/>
        </w:rPr>
        <w:t xml:space="preserve">Bind. DocuSign CLM 2026 Pricing Guide. https://bindlegal.com/resources/comparisons/docusign-clm-pricing-2026/</w:t>
      </w:r>
    </w:p>
    <w:p>
      <w:pPr>
        <w:pStyle w:val="ListParagraph"/>
        <w:numPr>
          <w:ilvl w:val="0"/>
          <w:numId w:val="2"/>
        </w:numPr>
        <w:spacing w:after="60" w:before="30" w:line="280"/>
      </w:pPr>
      <w:r>
        <w:rPr>
          <w:rFonts w:ascii="Arial" w:cs="Arial" w:eastAsia="Arial" w:hAnsi="Arial"/>
          <w:i/>
          <w:iCs/>
          <w:color w:val="6B6660"/>
          <w:sz w:val="18"/>
          <w:szCs w:val="18"/>
        </w:rPr>
        <w:t xml:space="preserve">Bind. Ironclad 2026 Pricing. https://bindlegal.com/resources/comparisons/ironclad-pricing-2026/</w:t>
      </w:r>
    </w:p>
    <w:p>
      <w:pPr>
        <w:pStyle w:val="ListParagraph"/>
        <w:numPr>
          <w:ilvl w:val="0"/>
          <w:numId w:val="2"/>
        </w:numPr>
        <w:spacing w:after="60" w:before="30" w:line="280"/>
      </w:pPr>
      <w:r>
        <w:rPr>
          <w:rFonts w:ascii="Arial" w:cs="Arial" w:eastAsia="Arial" w:hAnsi="Arial"/>
          <w:i/>
          <w:iCs/>
          <w:color w:val="6B6660"/>
          <w:sz w:val="18"/>
          <w:szCs w:val="18"/>
        </w:rPr>
        <w:t xml:space="preserve">HyperStart. ContractWorks Pricing. https://www.hyperstart.com/blog/contractworks-pricing/</w:t>
      </w:r>
    </w:p>
    <w:p>
      <w:pPr>
        <w:pStyle w:val="ListParagraph"/>
        <w:numPr>
          <w:ilvl w:val="0"/>
          <w:numId w:val="2"/>
        </w:numPr>
        <w:spacing w:after="60" w:before="30" w:line="280"/>
      </w:pPr>
      <w:r>
        <w:rPr>
          <w:rFonts w:ascii="Arial" w:cs="Arial" w:eastAsia="Arial" w:hAnsi="Arial"/>
          <w:i/>
          <w:iCs/>
          <w:color w:val="6B6660"/>
          <w:sz w:val="18"/>
          <w:szCs w:val="18"/>
        </w:rPr>
        <w:t xml:space="preserve">Concord. CLM Pricing Exposed. https://www.concord.app/blog/clm-pricing-exposed-real-costs-hidden-fees-vendor-quotes</w:t>
      </w:r>
    </w:p>
    <w:p>
      <w:pPr>
        <w:pStyle w:val="ListParagraph"/>
        <w:numPr>
          <w:ilvl w:val="0"/>
          <w:numId w:val="2"/>
        </w:numPr>
        <w:spacing w:after="60" w:before="30" w:line="280"/>
      </w:pPr>
      <w:r>
        <w:rPr>
          <w:rFonts w:ascii="Arial" w:cs="Arial" w:eastAsia="Arial" w:hAnsi="Arial"/>
          <w:i/>
          <w:iCs/>
          <w:color w:val="6B6660"/>
          <w:sz w:val="18"/>
          <w:szCs w:val="18"/>
        </w:rPr>
        <w:t xml:space="preserve">Vendr Marketplace. Agiloft, LinkSquares, PandaDoc, Affinity, Diligent pricing references. https://www.vendr.com/marketplace/</w:t>
      </w:r>
    </w:p>
    <w:p>
      <w:pPr>
        <w:pStyle w:val="ListParagraph"/>
        <w:numPr>
          <w:ilvl w:val="0"/>
          <w:numId w:val="2"/>
        </w:numPr>
        <w:spacing w:after="60" w:before="30" w:line="280"/>
      </w:pPr>
      <w:r>
        <w:rPr>
          <w:rFonts w:ascii="Arial" w:cs="Arial" w:eastAsia="Arial" w:hAnsi="Arial"/>
          <w:i/>
          <w:iCs/>
          <w:color w:val="6B6660"/>
          <w:sz w:val="18"/>
          <w:szCs w:val="18"/>
        </w:rPr>
        <w:t xml:space="preserve">imBoard. Board Management Software Pricing Comparison. https://www.imboard.ai/blog/board-management-software-pricing</w:t>
      </w:r>
    </w:p>
    <w:p>
      <w:pPr>
        <w:pStyle w:val="ListParagraph"/>
        <w:numPr>
          <w:ilvl w:val="0"/>
          <w:numId w:val="2"/>
        </w:numPr>
        <w:spacing w:after="60" w:before="30" w:line="280"/>
      </w:pPr>
      <w:r>
        <w:rPr>
          <w:rFonts w:ascii="Arial" w:cs="Arial" w:eastAsia="Arial" w:hAnsi="Arial"/>
          <w:i/>
          <w:iCs/>
          <w:color w:val="6B6660"/>
          <w:sz w:val="18"/>
          <w:szCs w:val="18"/>
        </w:rPr>
        <w:t xml:space="preserve">SaaSWorthy. ClearPoint Strategy Pricing. https://www.saasworthy.com/product/clearpoint-strategy/pricing</w:t>
      </w:r>
    </w:p>
    <w:p>
      <w:pPr>
        <w:pStyle w:val="ListParagraph"/>
        <w:numPr>
          <w:ilvl w:val="0"/>
          <w:numId w:val="2"/>
        </w:numPr>
        <w:spacing w:after="60" w:before="30" w:line="280"/>
      </w:pPr>
      <w:r>
        <w:rPr>
          <w:rFonts w:ascii="Arial" w:cs="Arial" w:eastAsia="Arial" w:hAnsi="Arial"/>
          <w:i/>
          <w:iCs/>
          <w:color w:val="6B6660"/>
          <w:sz w:val="18"/>
          <w:szCs w:val="18"/>
        </w:rPr>
        <w:t xml:space="preserve">Tability. Quantive Comparison. https://www.tability.io/compare/platform/quantive</w:t>
      </w:r>
    </w:p>
    <w:p>
      <w:pPr>
        <w:pStyle w:val="ListParagraph"/>
        <w:numPr>
          <w:ilvl w:val="0"/>
          <w:numId w:val="2"/>
        </w:numPr>
        <w:spacing w:after="60" w:before="30" w:line="280"/>
      </w:pPr>
      <w:r>
        <w:rPr>
          <w:rFonts w:ascii="Arial" w:cs="Arial" w:eastAsia="Arial" w:hAnsi="Arial"/>
          <w:i/>
          <w:iCs/>
          <w:color w:val="6B6660"/>
          <w:sz w:val="18"/>
          <w:szCs w:val="18"/>
        </w:rPr>
        <w:t xml:space="preserve">SoftwareSuggest. Workboard. https://www.softwaresuggest.com/workboard</w:t>
      </w:r>
    </w:p>
    <w:p>
      <w:pPr>
        <w:pStyle w:val="ListParagraph"/>
        <w:numPr>
          <w:ilvl w:val="0"/>
          <w:numId w:val="2"/>
        </w:numPr>
        <w:spacing w:after="60" w:before="30" w:line="280"/>
      </w:pPr>
      <w:r>
        <w:rPr>
          <w:rFonts w:ascii="Arial" w:cs="Arial" w:eastAsia="Arial" w:hAnsi="Arial"/>
          <w:i/>
          <w:iCs/>
          <w:color w:val="6B6660"/>
          <w:sz w:val="18"/>
          <w:szCs w:val="18"/>
        </w:rPr>
        <w:t xml:space="preserve">Lattice. Pricing. https://lattice.com/pricing</w:t>
      </w:r>
    </w:p>
    <w:p>
      <w:pPr>
        <w:pStyle w:val="ListParagraph"/>
        <w:numPr>
          <w:ilvl w:val="0"/>
          <w:numId w:val="2"/>
        </w:numPr>
        <w:spacing w:after="60" w:before="30" w:line="280"/>
      </w:pPr>
      <w:r>
        <w:rPr>
          <w:rFonts w:ascii="Arial" w:cs="Arial" w:eastAsia="Arial" w:hAnsi="Arial"/>
          <w:i/>
          <w:iCs/>
          <w:color w:val="6B6660"/>
          <w:sz w:val="18"/>
          <w:szCs w:val="18"/>
        </w:rPr>
        <w:t xml:space="preserve">OKRSTool. Profit.co Alternative. https://www.okrstool.com/blog/profit-co-alternative</w:t>
      </w:r>
    </w:p>
    <w:p>
      <w:pPr>
        <w:pStyle w:val="ListParagraph"/>
        <w:numPr>
          <w:ilvl w:val="0"/>
          <w:numId w:val="2"/>
        </w:numPr>
        <w:spacing w:after="60" w:before="30" w:line="280"/>
      </w:pPr>
      <w:r>
        <w:rPr>
          <w:rFonts w:ascii="Arial" w:cs="Arial" w:eastAsia="Arial" w:hAnsi="Arial"/>
          <w:i/>
          <w:iCs/>
          <w:color w:val="6B6660"/>
          <w:sz w:val="18"/>
          <w:szCs w:val="18"/>
        </w:rPr>
        <w:t xml:space="preserve">SmartSuite. Onspring Pricing. https://www.smartsuite.com/blog/onspring-pricing</w:t>
      </w:r>
    </w:p>
    <w:p>
      <w:pPr>
        <w:pStyle w:val="ListParagraph"/>
        <w:numPr>
          <w:ilvl w:val="0"/>
          <w:numId w:val="2"/>
        </w:numPr>
        <w:spacing w:after="60" w:before="30" w:line="280"/>
      </w:pPr>
      <w:r>
        <w:rPr>
          <w:rFonts w:ascii="Arial" w:cs="Arial" w:eastAsia="Arial" w:hAnsi="Arial"/>
          <w:i/>
          <w:iCs/>
          <w:color w:val="6B6660"/>
          <w:sz w:val="18"/>
          <w:szCs w:val="18"/>
        </w:rPr>
        <w:t xml:space="preserve">Asana via G2. https://www.g2.com/products/asana/pricing</w:t>
      </w:r>
    </w:p>
    <w:p>
      <w:pPr>
        <w:pStyle w:val="ListParagraph"/>
        <w:numPr>
          <w:ilvl w:val="0"/>
          <w:numId w:val="2"/>
        </w:numPr>
        <w:spacing w:after="60" w:before="30" w:line="280"/>
      </w:pPr>
      <w:r>
        <w:rPr>
          <w:rFonts w:ascii="Arial" w:cs="Arial" w:eastAsia="Arial" w:hAnsi="Arial"/>
          <w:i/>
          <w:iCs/>
          <w:color w:val="6B6660"/>
          <w:sz w:val="18"/>
          <w:szCs w:val="18"/>
        </w:rPr>
        <w:t xml:space="preserve">tech.co. Asana vs Monday Comparison. https://tech.co/project-management-software/asana-vs-monday</w:t>
      </w:r>
    </w:p>
    <w:p>
      <w:pPr>
        <w:pStyle w:val="ListParagraph"/>
        <w:numPr>
          <w:ilvl w:val="0"/>
          <w:numId w:val="2"/>
        </w:numPr>
        <w:spacing w:after="60" w:before="30" w:line="280"/>
      </w:pPr>
      <w:r>
        <w:rPr>
          <w:rFonts w:ascii="Arial" w:cs="Arial" w:eastAsia="Arial" w:hAnsi="Arial"/>
          <w:i/>
          <w:iCs/>
          <w:color w:val="6B6660"/>
          <w:sz w:val="18"/>
          <w:szCs w:val="18"/>
        </w:rPr>
        <w:t xml:space="preserve">Smartsheet Pricing. https://www.smartsheet.com/pricing</w:t>
      </w:r>
    </w:p>
    <w:p>
      <w:pPr>
        <w:pStyle w:val="ListParagraph"/>
        <w:numPr>
          <w:ilvl w:val="0"/>
          <w:numId w:val="2"/>
        </w:numPr>
        <w:spacing w:after="60" w:before="30" w:line="280"/>
      </w:pPr>
      <w:r>
        <w:rPr>
          <w:rFonts w:ascii="Arial" w:cs="Arial" w:eastAsia="Arial" w:hAnsi="Arial"/>
          <w:i/>
          <w:iCs/>
          <w:color w:val="6B6660"/>
          <w:sz w:val="18"/>
          <w:szCs w:val="18"/>
        </w:rPr>
        <w:t xml:space="preserve">SelectSoftware Reviews. Project Management Buyer's Guide. https://www.selectsoftwarereviews.com/buyer-guide/project-management-software</w:t>
      </w:r>
    </w:p>
    <w:p>
      <w:pPr>
        <w:pStyle w:val="ListParagraph"/>
        <w:numPr>
          <w:ilvl w:val="0"/>
          <w:numId w:val="2"/>
        </w:numPr>
        <w:spacing w:after="60" w:before="30" w:line="280"/>
      </w:pPr>
      <w:r>
        <w:rPr>
          <w:rFonts w:ascii="Arial" w:cs="Arial" w:eastAsia="Arial" w:hAnsi="Arial"/>
          <w:i/>
          <w:iCs/>
          <w:color w:val="6B6660"/>
          <w:sz w:val="18"/>
          <w:szCs w:val="18"/>
        </w:rPr>
        <w:t xml:space="preserve">Microsoft. Project Plans and Pricing. https://www.microsoft.com/en-us/microsoft-365/planner/microsoft-planner-plans-and-pricing</w:t>
      </w:r>
    </w:p>
    <w:p>
      <w:pPr>
        <w:pStyle w:val="ListParagraph"/>
        <w:numPr>
          <w:ilvl w:val="0"/>
          <w:numId w:val="2"/>
        </w:numPr>
        <w:spacing w:after="60" w:before="30" w:line="280"/>
      </w:pPr>
      <w:r>
        <w:rPr>
          <w:rFonts w:ascii="Arial" w:cs="Arial" w:eastAsia="Arial" w:hAnsi="Arial"/>
          <w:i/>
          <w:iCs/>
          <w:color w:val="6B6660"/>
          <w:sz w:val="18"/>
          <w:szCs w:val="18"/>
        </w:rPr>
        <w:t xml:space="preserve">Salesforce. Nonprofit Cloud Pricing. https://www.salesforce.com/nonprofit/pricing/</w:t>
      </w:r>
    </w:p>
    <w:p>
      <w:pPr>
        <w:pStyle w:val="ListParagraph"/>
        <w:numPr>
          <w:ilvl w:val="0"/>
          <w:numId w:val="2"/>
        </w:numPr>
        <w:spacing w:after="60" w:before="30" w:line="280"/>
      </w:pPr>
      <w:r>
        <w:rPr>
          <w:rFonts w:ascii="Arial" w:cs="Arial" w:eastAsia="Arial" w:hAnsi="Arial"/>
          <w:i/>
          <w:iCs/>
          <w:color w:val="6B6660"/>
          <w:sz w:val="18"/>
          <w:szCs w:val="18"/>
        </w:rPr>
        <w:t xml:space="preserve">SpendBase. HubSpot Pricing, Costs, Savings, Discounts. https://www.spendbase.co/blog/saas-management/hubspot-pricing-costs-savings-discounts-guides/</w:t>
      </w:r>
    </w:p>
    <w:p>
      <w:pPr>
        <w:pStyle w:val="ListParagraph"/>
        <w:numPr>
          <w:ilvl w:val="0"/>
          <w:numId w:val="2"/>
        </w:numPr>
        <w:spacing w:after="60" w:before="30" w:line="280"/>
      </w:pPr>
      <w:r>
        <w:rPr>
          <w:rFonts w:ascii="Arial" w:cs="Arial" w:eastAsia="Arial" w:hAnsi="Arial"/>
          <w:i/>
          <w:iCs/>
          <w:color w:val="6B6660"/>
          <w:sz w:val="18"/>
          <w:szCs w:val="18"/>
        </w:rPr>
        <w:t xml:space="preserve">Bloomerang Pricing. https://bloomerang.com/pricing</w:t>
      </w:r>
    </w:p>
    <w:p>
      <w:pPr>
        <w:pStyle w:val="ListParagraph"/>
        <w:numPr>
          <w:ilvl w:val="0"/>
          <w:numId w:val="2"/>
        </w:numPr>
        <w:spacing w:after="60" w:before="30" w:line="280"/>
      </w:pPr>
      <w:r>
        <w:rPr>
          <w:rFonts w:ascii="Arial" w:cs="Arial" w:eastAsia="Arial" w:hAnsi="Arial"/>
          <w:i/>
          <w:iCs/>
          <w:color w:val="6B6660"/>
          <w:sz w:val="18"/>
          <w:szCs w:val="18"/>
        </w:rPr>
        <w:t xml:space="preserve">Neon One. Neon CRM Pricing. https://neonone.com/solutions/neon-crm-overview/neon-crm-pricing/</w:t>
      </w:r>
    </w:p>
    <w:p>
      <w:pPr>
        <w:pStyle w:val="ListParagraph"/>
        <w:numPr>
          <w:ilvl w:val="0"/>
          <w:numId w:val="2"/>
        </w:numPr>
        <w:spacing w:after="60" w:before="30" w:line="280"/>
      </w:pPr>
      <w:r>
        <w:rPr>
          <w:rFonts w:ascii="Arial" w:cs="Arial" w:eastAsia="Arial" w:hAnsi="Arial"/>
          <w:i/>
          <w:iCs/>
          <w:color w:val="6B6660"/>
          <w:sz w:val="18"/>
          <w:szCs w:val="18"/>
        </w:rPr>
        <w:t xml:space="preserve">SoftwareSuggest. Kindful (Bloomerang). https://www.softwaresuggest.com/kindful</w:t>
      </w:r>
    </w:p>
    <w:p>
      <w:pPr>
        <w:pStyle w:val="ListParagraph"/>
        <w:numPr>
          <w:ilvl w:val="0"/>
          <w:numId w:val="2"/>
        </w:numPr>
        <w:spacing w:after="60" w:before="30" w:line="280"/>
      </w:pPr>
      <w:r>
        <w:rPr>
          <w:rFonts w:ascii="Arial" w:cs="Arial" w:eastAsia="Arial" w:hAnsi="Arial"/>
          <w:i/>
          <w:iCs/>
          <w:color w:val="6B6660"/>
          <w:sz w:val="18"/>
          <w:szCs w:val="18"/>
        </w:rPr>
        <w:t xml:space="preserve">Zeffy. Salesforce for Nonprofits — True Cost. https://www.zeffy.com/blog/salesforce-for-nonprofits</w:t>
      </w:r>
    </w:p>
    <w:p>
      <w:pPr>
        <w:pStyle w:val="ListParagraph"/>
        <w:numPr>
          <w:ilvl w:val="0"/>
          <w:numId w:val="2"/>
        </w:numPr>
        <w:spacing w:after="60" w:before="30" w:line="280"/>
      </w:pPr>
      <w:r>
        <w:rPr>
          <w:rFonts w:ascii="Arial" w:cs="Arial" w:eastAsia="Arial" w:hAnsi="Arial"/>
          <w:i/>
          <w:iCs/>
          <w:color w:val="6B6660"/>
          <w:sz w:val="18"/>
          <w:szCs w:val="18"/>
        </w:rPr>
        <w:t xml:space="preserve">SelectHub. LogicGate vs Onspring. https://www.selecthub.com/grc-software-tools/logicgate-vs-onspring/</w:t>
      </w:r>
    </w:p>
    <w:p>
      <w:pPr>
        <w:pStyle w:val="ListParagraph"/>
        <w:numPr>
          <w:ilvl w:val="0"/>
          <w:numId w:val="2"/>
        </w:numPr>
        <w:spacing w:after="60" w:before="30" w:line="280"/>
      </w:pPr>
      <w:r>
        <w:rPr>
          <w:rFonts w:ascii="Arial" w:cs="Arial" w:eastAsia="Arial" w:hAnsi="Arial"/>
          <w:i/>
          <w:iCs/>
          <w:color w:val="6B6660"/>
          <w:sz w:val="18"/>
          <w:szCs w:val="18"/>
        </w:rPr>
        <w:t xml:space="preserve">PandaDoc Pricing. https://www.pandadoc.com/pricing/</w:t>
      </w:r>
    </w:p>
    <w:p>
      <w:pPr>
        <w:pStyle w:val="ListParagraph"/>
        <w:numPr>
          <w:ilvl w:val="0"/>
          <w:numId w:val="2"/>
        </w:numPr>
        <w:spacing w:after="60" w:before="30" w:line="280"/>
      </w:pPr>
      <w:r>
        <w:rPr>
          <w:rFonts w:ascii="Arial" w:cs="Arial" w:eastAsia="Arial" w:hAnsi="Arial"/>
          <w:i/>
          <w:iCs/>
          <w:color w:val="6B6660"/>
          <w:sz w:val="18"/>
          <w:szCs w:val="18"/>
        </w:rPr>
        <w:t xml:space="preserve">Resolver Pricing. https://www.resolver.com/pricing/</w:t>
      </w:r>
    </w:p>
    <w:p>
      <w:pPr>
        <w:pStyle w:val="ListParagraph"/>
        <w:numPr>
          <w:ilvl w:val="0"/>
          <w:numId w:val="2"/>
        </w:numPr>
        <w:spacing w:after="60" w:before="30" w:line="280"/>
      </w:pPr>
      <w:r>
        <w:rPr>
          <w:rFonts w:ascii="Arial" w:cs="Arial" w:eastAsia="Arial" w:hAnsi="Arial"/>
          <w:i/>
          <w:iCs/>
          <w:color w:val="6B6660"/>
          <w:sz w:val="18"/>
          <w:szCs w:val="18"/>
        </w:rPr>
        <w:t xml:space="preserve">CheckThat. PowerDMS. https://checkthat.ai/brands/powerdms-by-neogov</w:t>
      </w:r>
    </w:p>
    <w:p>
      <w:pPr>
        <w:pStyle w:val="ListParagraph"/>
        <w:numPr>
          <w:ilvl w:val="0"/>
          <w:numId w:val="2"/>
        </w:numPr>
        <w:spacing w:after="60" w:before="30" w:line="280"/>
      </w:pPr>
      <w:r>
        <w:rPr>
          <w:rFonts w:ascii="Arial" w:cs="Arial" w:eastAsia="Arial" w:hAnsi="Arial"/>
          <w:i/>
          <w:iCs/>
          <w:color w:val="6B6660"/>
          <w:sz w:val="18"/>
          <w:szCs w:val="18"/>
        </w:rPr>
        <w:t xml:space="preserve">Aavenir. Agiloft Pricing. https://aavenir.com/agiloft-pricing/</w:t>
      </w:r>
    </w:p>
    <w:p>
      <w:pPr>
        <w:pStyle w:val="ListParagraph"/>
        <w:numPr>
          <w:ilvl w:val="0"/>
          <w:numId w:val="2"/>
        </w:numPr>
        <w:spacing w:after="60" w:before="30" w:line="280"/>
      </w:pPr>
      <w:r>
        <w:rPr>
          <w:rFonts w:ascii="Arial" w:cs="Arial" w:eastAsia="Arial" w:hAnsi="Arial"/>
          <w:i/>
          <w:iCs/>
          <w:color w:val="6B6660"/>
          <w:sz w:val="18"/>
          <w:szCs w:val="18"/>
        </w:rPr>
        <w:t xml:space="preserve">Mooncamp. Quantive Alternatives. https://mooncamp.com/blog/quantive-alternatives</w:t>
      </w:r>
    </w:p>
    <w:p>
      <w:pPr>
        <w:pStyle w:val="Heading2"/>
        <w:spacing w:after="140" w:before="280"/>
      </w:pPr>
      <w:r>
        <w:rPr>
          <w:rFonts w:ascii="Arial" w:cs="Arial" w:eastAsia="Arial" w:hAnsi="Arial"/>
          <w:b/>
          <w:bCs/>
          <w:color w:val="7C2D12"/>
          <w:sz w:val="28"/>
          <w:szCs w:val="28"/>
        </w:rPr>
        <w:t xml:space="preserve">Global South context and ICT4D</w:t>
      </w:r>
    </w:p>
    <w:p>
      <w:pPr>
        <w:pStyle w:val="ListParagraph"/>
        <w:numPr>
          <w:ilvl w:val="0"/>
          <w:numId w:val="2"/>
        </w:numPr>
        <w:spacing w:after="60" w:before="30" w:line="280"/>
      </w:pPr>
      <w:r>
        <w:rPr>
          <w:rFonts w:ascii="Arial" w:cs="Arial" w:eastAsia="Arial" w:hAnsi="Arial"/>
          <w:i/>
          <w:iCs/>
          <w:color w:val="6B6660"/>
          <w:sz w:val="18"/>
          <w:szCs w:val="18"/>
        </w:rPr>
        <w:t xml:space="preserve">Premier Science. Africa Digital Readiness (2024). https://premierscience.com/wp-content/uploads/2024/11/pjcs-24-356-.pdf</w:t>
      </w:r>
    </w:p>
    <w:p>
      <w:pPr>
        <w:pStyle w:val="ListParagraph"/>
        <w:numPr>
          <w:ilvl w:val="0"/>
          <w:numId w:val="2"/>
        </w:numPr>
        <w:spacing w:after="60" w:before="30" w:line="280"/>
      </w:pPr>
      <w:r>
        <w:rPr>
          <w:rFonts w:ascii="Arial" w:cs="Arial" w:eastAsia="Arial" w:hAnsi="Arial"/>
          <w:i/>
          <w:iCs/>
          <w:color w:val="6B6660"/>
          <w:sz w:val="18"/>
          <w:szCs w:val="18"/>
        </w:rPr>
        <w:t xml:space="preserve">ICT4D Collective. https://ict4d.org.uk/category/global/</w:t>
      </w:r>
    </w:p>
    <w:p>
      <w:pPr>
        <w:pStyle w:val="ListParagraph"/>
        <w:numPr>
          <w:ilvl w:val="0"/>
          <w:numId w:val="2"/>
        </w:numPr>
        <w:spacing w:after="60" w:before="30" w:line="280"/>
      </w:pPr>
      <w:r>
        <w:rPr>
          <w:rFonts w:ascii="Arial" w:cs="Arial" w:eastAsia="Arial" w:hAnsi="Arial"/>
          <w:i/>
          <w:iCs/>
          <w:color w:val="6B6660"/>
          <w:sz w:val="18"/>
          <w:szCs w:val="18"/>
        </w:rPr>
        <w:t xml:space="preserve">ICTworks. ICT4D Recommendations for INGOs in Eastern Africa. https://www.ictworks.org/8-ict4d-recommendations-for-ingos-working-in-eastern-africa/</w:t>
      </w:r>
    </w:p>
    <w:p>
      <w:pPr>
        <w:pStyle w:val="Heading2"/>
        <w:spacing w:after="140" w:before="280"/>
      </w:pPr>
      <w:r>
        <w:rPr>
          <w:rFonts w:ascii="Arial" w:cs="Arial" w:eastAsia="Arial" w:hAnsi="Arial"/>
          <w:b/>
          <w:bCs/>
          <w:color w:val="7C2D12"/>
          <w:sz w:val="28"/>
          <w:szCs w:val="28"/>
        </w:rPr>
        <w:t xml:space="preserve">Big-4 consulting rates</w:t>
      </w:r>
    </w:p>
    <w:p>
      <w:pPr>
        <w:pStyle w:val="ListParagraph"/>
        <w:numPr>
          <w:ilvl w:val="0"/>
          <w:numId w:val="2"/>
        </w:numPr>
        <w:spacing w:after="60" w:before="30" w:line="280"/>
      </w:pPr>
      <w:r>
        <w:rPr>
          <w:rFonts w:ascii="Arial" w:cs="Arial" w:eastAsia="Arial" w:hAnsi="Arial"/>
          <w:i/>
          <w:iCs/>
          <w:color w:val="6B6660"/>
          <w:sz w:val="18"/>
          <w:szCs w:val="18"/>
        </w:rPr>
        <w:t xml:space="preserve">Consultancy.africa. Consulting Industry Fees and Rates. https://www.consultancy.africa/consulting-industry/fees-rates</w:t>
      </w:r>
    </w:p>
    <w:p>
      <w:pPr>
        <w:pStyle w:val="ListParagraph"/>
        <w:numPr>
          <w:ilvl w:val="0"/>
          <w:numId w:val="2"/>
        </w:numPr>
        <w:spacing w:after="60" w:before="30" w:line="280"/>
      </w:pPr>
      <w:r>
        <w:rPr>
          <w:rFonts w:ascii="Arial" w:cs="Arial" w:eastAsia="Arial" w:hAnsi="Arial"/>
          <w:i/>
          <w:iCs/>
          <w:color w:val="6B6660"/>
          <w:sz w:val="18"/>
          <w:szCs w:val="18"/>
        </w:rPr>
        <w:t xml:space="preserve">Impact Consulting Hub. Independent Consultant Fee Benchmarks. https://www.impactconsultinghub.com/post/fees-fees-fees-how-much-can-i-charge-as-an-independent-consultant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6B6660"/>
        <w:sz w:val="18"/>
        <w:szCs w:val="18"/>
      </w:rPr>
      <w:t xml:space="preserve">Confidential</w:t>
    </w:r>
    <w:r>
      <w:rPr>
        <w:rFonts w:ascii="Arial" w:cs="Arial" w:eastAsia="Arial" w:hAnsi="Arial"/>
        <w:color w:val="6B6660"/>
        <w:sz w:val="18"/>
        <w:szCs w:val="18"/>
      </w:rPr>
      <w:t xml:space="preserve">	Page </w:t>
    </w:r>
    <w:r>
      <w:rPr>
        <w:rFonts w:ascii="Arial" w:cs="Arial" w:eastAsia="Arial" w:hAnsi="Arial"/>
        <w:color w:val="6B66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6B6660"/>
        <w:sz w:val="18"/>
        <w:szCs w:val="18"/>
      </w:rPr>
      <w:t xml:space="preserve">KUJA ELEVATE · Market Analysis</w:t>
    </w:r>
    <w:r>
      <w:rPr>
        <w:rFonts w:ascii="Arial" w:cs="Arial" w:eastAsia="Arial" w:hAnsi="Arial"/>
        <w:color w:val="6B6660"/>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C2410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7C2D12"/>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A14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2026-06-18T20:06:22.412Z</dcterms:created>
  <dcterms:modified xsi:type="dcterms:W3CDTF">2026-06-18T20:06:22.414Z</dcterms:modified>
</cp:coreProperties>
</file>

<file path=docProps/custom.xml><?xml version="1.0" encoding="utf-8"?>
<Properties xmlns="http://schemas.openxmlformats.org/officeDocument/2006/custom-properties" xmlns:vt="http://schemas.openxmlformats.org/officeDocument/2006/docPropsVTypes"/>
</file>