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Georgia" w:hAnsi="Georgia"/>
          <w:b/>
          <w:color w:val="C2410C"/>
          <w:sz w:val="28"/>
        </w:rPr>
        <w:t>Kuja Pricing — One-Page Summary</w:t>
      </w:r>
    </w:p>
    <w:p>
      <w:pPr>
        <w:spacing w:after="60" w:line="240" w:lineRule="auto"/>
      </w:pPr>
      <w:r>
        <w:rPr>
          <w:rFonts w:ascii="Georgia" w:hAnsi="Georgia"/>
          <w:b w:val="0"/>
          <w:i w:val="0"/>
          <w:color w:val="57534E"/>
          <w:sz w:val="15"/>
        </w:rPr>
        <w:t>For the leadership decision meeting · 9 August 2026 · a recommendation to validate in paid pilots, not a public rate card. All USD, annual, unlimited users. Detail in Kuja GTM Strategy V2.0.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val="clear" w:fill="FBEDE6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C2410C"/>
                <w:sz w:val="16"/>
              </w:rPr>
              <w:t xml:space="preserve">The model in one line:  </w:t>
            </w:r>
            <w:r>
              <w:rPr>
                <w:rFonts w:ascii="Georgia" w:hAnsi="Georgia"/>
                <w:color w:val="1A1410"/>
                <w:sz w:val="16"/>
              </w:rPr>
              <w:t>Keep NGOs free. Charge a FLAT annual fee per tier — the value a customer manages (grant volume, orgs relied on, org size) only selects the tier; it is never a live percentage. Sell to whoever holds the budget. Bundle the four so each sale seeds the next. No % of disbursements. Trust is the product.</w:t>
            </w:r>
          </w:p>
        </w:tc>
      </w:tr>
    </w:tbl>
    <w:p>
      <w:pPr>
        <w:spacing w:before="80" w:after="20" w:line="240" w:lineRule="auto"/>
      </w:pPr>
      <w:r>
        <w:rPr>
          <w:rFonts w:ascii="Georgia" w:hAnsi="Georgia"/>
          <w:b/>
          <w:color w:val="1F3864"/>
          <w:sz w:val="19"/>
        </w:rPr>
        <w:t>The four products — who pays, entry price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152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Product</w:t>
            </w:r>
          </w:p>
        </w:tc>
        <w:tc>
          <w:tcPr>
            <w:tcW w:type="dxa" w:w="2952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What it is</w:t>
            </w:r>
          </w:p>
        </w:tc>
        <w:tc>
          <w:tcPr>
            <w:tcW w:type="dxa" w:w="2448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Who pays</w:t>
            </w:r>
          </w:p>
        </w:tc>
        <w:tc>
          <w:tcPr>
            <w:tcW w:type="dxa" w:w="1512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Priced on</w:t>
            </w:r>
          </w:p>
        </w:tc>
        <w:tc>
          <w:tcPr>
            <w:tcW w:type="dxa" w:w="720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Entry</w:t>
            </w:r>
          </w:p>
        </w:tc>
      </w:tr>
      <w:tr>
        <w:tc>
          <w:tcPr>
            <w:tcW w:type="dxa" w:w="1152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Kuja Link</w:t>
            </w:r>
          </w:p>
        </w:tc>
        <w:tc>
          <w:tcPr>
            <w:tcW w:type="dxa" w:w="2952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Networking marketplace + discovery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Free (Trust Rating paid)</w:t>
            </w:r>
          </w:p>
        </w:tc>
        <w:tc>
          <w:tcPr>
            <w:tcW w:type="dxa" w:w="1512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Free tier</w:t>
            </w:r>
          </w:p>
        </w:tc>
        <w:tc>
          <w:tcPr>
            <w:tcW w:type="dxa" w:w="720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$0</w:t>
            </w:r>
          </w:p>
        </w:tc>
      </w:tr>
      <w:tr>
        <w:tc>
          <w:tcPr>
            <w:tcW w:type="dxa" w:w="1152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Kuja Trust</w:t>
            </w:r>
          </w:p>
        </w:tc>
        <w:tc>
          <w:tcPr>
            <w:tcW w:type="dxa" w:w="2952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Portable Trust Passport</w:t>
            </w:r>
          </w:p>
        </w:tc>
        <w:tc>
          <w:tcPr>
            <w:tcW w:type="dxa" w:w="2448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Funder / sponsor (NGO free)</w:t>
            </w:r>
          </w:p>
        </w:tc>
        <w:tc>
          <w:tcPr>
            <w:tcW w:type="dxa" w:w="1512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Orgs relied on</w:t>
            </w:r>
          </w:p>
        </w:tc>
        <w:tc>
          <w:tcPr>
            <w:tcW w:type="dxa" w:w="720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$3,000</w:t>
            </w:r>
          </w:p>
        </w:tc>
      </w:tr>
      <w:tr>
        <w:tc>
          <w:tcPr>
            <w:tcW w:type="dxa" w:w="1152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Kuja Fund</w:t>
            </w:r>
          </w:p>
        </w:tc>
        <w:tc>
          <w:tcPr>
            <w:tcW w:type="dxa" w:w="2952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End-to-end grant lifecycle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Funder posting the grant</w:t>
            </w:r>
          </w:p>
        </w:tc>
        <w:tc>
          <w:tcPr>
            <w:tcW w:type="dxa" w:w="1512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Grant volume</w:t>
            </w:r>
          </w:p>
        </w:tc>
        <w:tc>
          <w:tcPr>
            <w:tcW w:type="dxa" w:w="720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$4,000</w:t>
            </w:r>
          </w:p>
        </w:tc>
      </w:tr>
      <w:tr>
        <w:tc>
          <w:tcPr>
            <w:tcW w:type="dxa" w:w="1152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Kuja Build</w:t>
            </w:r>
          </w:p>
        </w:tc>
        <w:tc>
          <w:tcPr>
            <w:tcW w:type="dxa" w:w="2952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Nonprofit operating system (ERP)</w:t>
            </w:r>
          </w:p>
        </w:tc>
        <w:tc>
          <w:tcPr>
            <w:tcW w:type="dxa" w:w="2448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NGO or donor-sponsored</w:t>
            </w:r>
          </w:p>
        </w:tc>
        <w:tc>
          <w:tcPr>
            <w:tcW w:type="dxa" w:w="1512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Size + modules</w:t>
            </w:r>
          </w:p>
        </w:tc>
        <w:tc>
          <w:tcPr>
            <w:tcW w:type="dxa" w:w="720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$4,000</w:t>
            </w:r>
          </w:p>
        </w:tc>
      </w:tr>
    </w:tbl>
    <w:p>
      <w:pPr>
        <w:spacing w:before="80" w:after="20" w:line="240" w:lineRule="auto"/>
      </w:pPr>
      <w:r>
        <w:rPr>
          <w:rFonts w:ascii="Georgia" w:hAnsi="Georgia"/>
          <w:b/>
          <w:color w:val="1F3864"/>
          <w:sz w:val="19"/>
        </w:rPr>
        <w:t>Kuja Fund — flat annual fee, by grant-volume band (not a % of grants)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584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Plan</w:t>
            </w:r>
          </w:p>
        </w:tc>
        <w:tc>
          <w:tcPr>
            <w:tcW w:type="dxa" w:w="1584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Annual</w:t>
            </w:r>
          </w:p>
        </w:tc>
        <w:tc>
          <w:tcPr>
            <w:tcW w:type="dxa" w:w="4608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Fits</w:t>
            </w:r>
          </w:p>
        </w:tc>
      </w:tr>
      <w:tr>
        <w:tc>
          <w:tcPr>
            <w:tcW w:type="dxa" w:w="158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Community</w:t>
            </w:r>
          </w:p>
        </w:tc>
        <w:tc>
          <w:tcPr>
            <w:tcW w:type="dxa" w:w="158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$4,000</w:t>
            </w:r>
          </w:p>
        </w:tc>
        <w:tc>
          <w:tcPr>
            <w:tcW w:type="dxa" w:w="460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≤ $250k · 25 partners</w:t>
            </w:r>
          </w:p>
        </w:tc>
      </w:tr>
      <w:tr>
        <w:tc>
          <w:tcPr>
            <w:tcW w:type="dxa" w:w="1584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Core</w:t>
            </w:r>
          </w:p>
        </w:tc>
        <w:tc>
          <w:tcPr>
            <w:tcW w:type="dxa" w:w="1584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$8,000</w:t>
            </w:r>
          </w:p>
        </w:tc>
        <w:tc>
          <w:tcPr>
            <w:tcW w:type="dxa" w:w="4608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≤ $1M · 100 partners</w:t>
            </w:r>
          </w:p>
        </w:tc>
      </w:tr>
      <w:tr>
        <w:tc>
          <w:tcPr>
            <w:tcW w:type="dxa" w:w="158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Growth</w:t>
            </w:r>
          </w:p>
        </w:tc>
        <w:tc>
          <w:tcPr>
            <w:tcW w:type="dxa" w:w="158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$16,000</w:t>
            </w:r>
          </w:p>
        </w:tc>
        <w:tc>
          <w:tcPr>
            <w:tcW w:type="dxa" w:w="460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≤ $5M · 300 partners</w:t>
            </w:r>
          </w:p>
        </w:tc>
      </w:tr>
      <w:tr>
        <w:tc>
          <w:tcPr>
            <w:tcW w:type="dxa" w:w="1584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Portfolio</w:t>
            </w:r>
          </w:p>
        </w:tc>
        <w:tc>
          <w:tcPr>
            <w:tcW w:type="dxa" w:w="1584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$32,000</w:t>
            </w:r>
          </w:p>
        </w:tc>
        <w:tc>
          <w:tcPr>
            <w:tcW w:type="dxa" w:w="4608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≤ $15M · 1,000 partners</w:t>
            </w:r>
          </w:p>
        </w:tc>
      </w:tr>
      <w:tr>
        <w:tc>
          <w:tcPr>
            <w:tcW w:type="dxa" w:w="158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Network</w:t>
            </w:r>
          </w:p>
        </w:tc>
        <w:tc>
          <w:tcPr>
            <w:tcW w:type="dxa" w:w="158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$60,000</w:t>
            </w:r>
          </w:p>
        </w:tc>
        <w:tc>
          <w:tcPr>
            <w:tcW w:type="dxa" w:w="460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≤ $50M · multi-entity</w:t>
            </w:r>
          </w:p>
        </w:tc>
      </w:tr>
      <w:tr>
        <w:tc>
          <w:tcPr>
            <w:tcW w:type="dxa" w:w="1584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Enterprise</w:t>
            </w:r>
          </w:p>
        </w:tc>
        <w:tc>
          <w:tcPr>
            <w:tcW w:type="dxa" w:w="1584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From $100,000</w:t>
            </w:r>
          </w:p>
        </w:tc>
        <w:tc>
          <w:tcPr>
            <w:tcW w:type="dxa" w:w="4608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Above; residency / SLA</w:t>
            </w:r>
          </w:p>
        </w:tc>
      </w:tr>
    </w:tbl>
    <w:p>
      <w:pPr>
        <w:spacing w:after="40" w:line="240" w:lineRule="auto"/>
      </w:pPr>
      <w:r>
        <w:rPr>
          <w:rFonts w:ascii="Georgia" w:hAnsi="Georgia"/>
          <w:b w:val="0"/>
          <w:i w:val="0"/>
          <w:color w:val="57534E"/>
          <w:sz w:val="14"/>
        </w:rPr>
        <w:t>Priced to win in-market: at or below Foundant GLM ($6.5k/$9.9k/$13.9k) and near Plinth (£2.5k/£7.5k/£15k), undercutting on the low-to-mid bands where local funds sit — and never a % of grants.</w:t>
      </w:r>
    </w:p>
    <w:p>
      <w:pPr>
        <w:spacing w:before="80" w:after="20" w:line="240" w:lineRule="auto"/>
      </w:pPr>
      <w:r>
        <w:rPr>
          <w:rFonts w:ascii="Georgia" w:hAnsi="Georgia"/>
          <w:b/>
          <w:color w:val="1F3864"/>
          <w:sz w:val="19"/>
        </w:rPr>
        <w:t>Kuja Trust Passport — NGO free; funder pays to rely at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Plan</w:t>
            </w:r>
          </w:p>
        </w:tc>
        <w:tc>
          <w:tcPr>
            <w:tcW w:type="dxa" w:w="1872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Annual</w:t>
            </w:r>
          </w:p>
        </w:tc>
        <w:tc>
          <w:tcPr>
            <w:tcW w:type="dxa" w:w="3744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Portfolio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NGO Core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$0</w:t>
            </w:r>
          </w:p>
        </w:tc>
        <w:tc>
          <w:tcPr>
            <w:tcW w:type="dxa" w:w="374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Unlimited create + share</w:t>
            </w:r>
          </w:p>
        </w:tc>
      </w:tr>
      <w:tr>
        <w:tc>
          <w:tcPr>
            <w:tcW w:type="dxa" w:w="2160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Org Trust Rating</w:t>
            </w:r>
          </w:p>
        </w:tc>
        <w:tc>
          <w:tcPr>
            <w:tcW w:type="dxa" w:w="1872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$250–$1,500</w:t>
            </w:r>
          </w:p>
        </w:tc>
        <w:tc>
          <w:tcPr>
            <w:tcW w:type="dxa" w:w="3744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Verified standing (often sponsor-funded)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Essentials (funder)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$3,000</w:t>
            </w:r>
          </w:p>
        </w:tc>
        <w:tc>
          <w:tcPr>
            <w:tcW w:type="dxa" w:w="374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100 organizations</w:t>
            </w:r>
          </w:p>
        </w:tc>
      </w:tr>
      <w:tr>
        <w:tc>
          <w:tcPr>
            <w:tcW w:type="dxa" w:w="2160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Growth (funder)</w:t>
            </w:r>
          </w:p>
        </w:tc>
        <w:tc>
          <w:tcPr>
            <w:tcW w:type="dxa" w:w="1872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$9,000</w:t>
            </w:r>
          </w:p>
        </w:tc>
        <w:tc>
          <w:tcPr>
            <w:tcW w:type="dxa" w:w="3744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500 organizations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Portfolio / Network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$20,000 / $40,000</w:t>
            </w:r>
          </w:p>
        </w:tc>
        <w:tc>
          <w:tcPr>
            <w:tcW w:type="dxa" w:w="374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2,000 / 5,000 organizations</w:t>
            </w:r>
          </w:p>
        </w:tc>
      </w:tr>
    </w:tbl>
    <w:p>
      <w:pPr>
        <w:spacing w:before="80" w:after="20" w:line="240" w:lineRule="auto"/>
      </w:pPr>
      <w:r>
        <w:rPr>
          <w:rFonts w:ascii="Georgia" w:hAnsi="Georgia"/>
          <w:b/>
          <w:color w:val="1F3864"/>
          <w:sz w:val="19"/>
        </w:rPr>
        <w:t>Kuja Build — in modules; under 2% of budget; a deal vs Sage/NetSuite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Plan</w:t>
            </w:r>
          </w:p>
        </w:tc>
        <w:tc>
          <w:tcPr>
            <w:tcW w:type="dxa" w:w="1656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Direct (F)</w:t>
            </w:r>
          </w:p>
        </w:tc>
        <w:tc>
          <w:tcPr>
            <w:tcW w:type="dxa" w:w="1944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Donor-sponsored (G)</w:t>
            </w:r>
          </w:p>
        </w:tc>
        <w:tc>
          <w:tcPr>
            <w:tcW w:type="dxa" w:w="3024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Modules</w:t>
            </w:r>
          </w:p>
        </w:tc>
      </w:tr>
      <w:tr>
        <w:tc>
          <w:tcPr>
            <w:tcW w:type="dxa" w:w="1152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Starter</w:t>
            </w:r>
          </w:p>
        </w:tc>
        <w:tc>
          <w:tcPr>
            <w:tcW w:type="dxa" w:w="1656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$4,000–6,000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From $8,000 Y1</w:t>
            </w:r>
          </w:p>
        </w:tc>
        <w:tc>
          <w:tcPr>
            <w:tcW w:type="dxa" w:w="302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Admin, governance, grants, CRM, M&amp;E</w:t>
            </w:r>
          </w:p>
        </w:tc>
      </w:tr>
      <w:tr>
        <w:tc>
          <w:tcPr>
            <w:tcW w:type="dxa" w:w="1152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Growth</w:t>
            </w:r>
          </w:p>
        </w:tc>
        <w:tc>
          <w:tcPr>
            <w:tcW w:type="dxa" w:w="1656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$10,000–16,000</w:t>
            </w:r>
          </w:p>
        </w:tc>
        <w:tc>
          <w:tcPr>
            <w:tcW w:type="dxa" w:w="1944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From $16,000 Y1</w:t>
            </w:r>
          </w:p>
        </w:tc>
        <w:tc>
          <w:tcPr>
            <w:tcW w:type="dxa" w:w="3024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+ finance, procurement, HR</w:t>
            </w:r>
          </w:p>
        </w:tc>
      </w:tr>
      <w:tr>
        <w:tc>
          <w:tcPr>
            <w:tcW w:type="dxa" w:w="1152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Enterprise</w:t>
            </w:r>
          </w:p>
        </w:tc>
        <w:tc>
          <w:tcPr>
            <w:tcW w:type="dxa" w:w="1656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$24,000–40,000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Scoped</w:t>
            </w:r>
          </w:p>
        </w:tc>
        <w:tc>
          <w:tcPr>
            <w:tcW w:type="dxa" w:w="302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Full stack, multi-entity, payroll</w:t>
            </w:r>
          </w:p>
        </w:tc>
      </w:tr>
    </w:tbl>
    <w:p>
      <w:pPr>
        <w:spacing w:after="40" w:line="240" w:lineRule="auto"/>
      </w:pPr>
      <w:r>
        <w:rPr>
          <w:rFonts w:ascii="Georgia" w:hAnsi="Georgia"/>
          <w:b w:val="0"/>
          <w:i w:val="0"/>
          <w:color w:val="57534E"/>
          <w:sz w:val="14"/>
        </w:rPr>
        <w:t>Priced to win in-market: less than Sage Intacct alone ($15k–$50k/yr + $30k–$75k setup; NetSuite 1.5–2.5×) — for finance, HR, procurement, M&amp;E and governance combined, and under ~2% of budget.</w:t>
      </w:r>
    </w:p>
    <w:p>
      <w:pPr>
        <w:spacing w:before="80" w:after="20" w:line="240" w:lineRule="auto"/>
      </w:pPr>
      <w:r>
        <w:rPr>
          <w:rFonts w:ascii="Georgia" w:hAnsi="Georgia"/>
          <w:b/>
          <w:color w:val="1F3864"/>
          <w:sz w:val="19"/>
        </w:rPr>
        <w:t>The bundles — flat prices, discount applied once (never a running 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72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Bundle</w:t>
            </w:r>
          </w:p>
        </w:tc>
        <w:tc>
          <w:tcPr>
            <w:tcW w:type="dxa" w:w="3456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Combines</w:t>
            </w:r>
          </w:p>
        </w:tc>
        <w:tc>
          <w:tcPr>
            <w:tcW w:type="dxa" w:w="2880"/>
            <w:shd w:val="clear" w:fill="1F3864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/>
                <w:color w:val="FFFFFF"/>
                <w:sz w:val="15"/>
              </w:rPr>
              <w:t>Price (vs standalone)</w:t>
            </w:r>
          </w:p>
        </w:tc>
      </w:tr>
      <w:tr>
        <w:tc>
          <w:tcPr>
            <w:tcW w:type="dxa" w:w="1872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Community Suite</w:t>
            </w:r>
          </w:p>
        </w:tc>
        <w:tc>
          <w:tcPr>
            <w:tcW w:type="dxa" w:w="3456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Fund Community + Trust Essentials</w:t>
            </w:r>
          </w:p>
        </w:tc>
        <w:tc>
          <w:tcPr>
            <w:tcW w:type="dxa" w:w="2880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$6,500 (vs $7,000)</w:t>
            </w:r>
          </w:p>
        </w:tc>
      </w:tr>
      <w:tr>
        <w:tc>
          <w:tcPr>
            <w:tcW w:type="dxa" w:w="1872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Core Suite</w:t>
            </w:r>
          </w:p>
        </w:tc>
        <w:tc>
          <w:tcPr>
            <w:tcW w:type="dxa" w:w="3456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Fund Core + Trust Growth</w:t>
            </w:r>
          </w:p>
        </w:tc>
        <w:tc>
          <w:tcPr>
            <w:tcW w:type="dxa" w:w="2880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$15,000 (vs $17,000)</w:t>
            </w:r>
          </w:p>
        </w:tc>
      </w:tr>
      <w:tr>
        <w:tc>
          <w:tcPr>
            <w:tcW w:type="dxa" w:w="1872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Growth Suite</w:t>
            </w:r>
          </w:p>
        </w:tc>
        <w:tc>
          <w:tcPr>
            <w:tcW w:type="dxa" w:w="3456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Fund Growth + Trust Portfolio</w:t>
            </w:r>
          </w:p>
        </w:tc>
        <w:tc>
          <w:tcPr>
            <w:tcW w:type="dxa" w:w="2880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$31,000 (vs $36,000)</w:t>
            </w:r>
          </w:p>
        </w:tc>
      </w:tr>
      <w:tr>
        <w:tc>
          <w:tcPr>
            <w:tcW w:type="dxa" w:w="1872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Network Suite</w:t>
            </w:r>
          </w:p>
        </w:tc>
        <w:tc>
          <w:tcPr>
            <w:tcW w:type="dxa" w:w="3456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Fund Network + Trust Network</w:t>
            </w:r>
          </w:p>
        </w:tc>
        <w:tc>
          <w:tcPr>
            <w:tcW w:type="dxa" w:w="2880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$85,000 (vs $100,000)</w:t>
            </w:r>
          </w:p>
        </w:tc>
      </w:tr>
      <w:tr>
        <w:tc>
          <w:tcPr>
            <w:tcW w:type="dxa" w:w="1872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Operate &amp; Prove</w:t>
            </w:r>
          </w:p>
        </w:tc>
        <w:tc>
          <w:tcPr>
            <w:tcW w:type="dxa" w:w="3456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Build (any tier) + live Trust Rating</w:t>
            </w:r>
          </w:p>
        </w:tc>
        <w:tc>
          <w:tcPr>
            <w:tcW w:type="dxa" w:w="2880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Build price; Trust Rating $0 extra</w:t>
            </w:r>
          </w:p>
        </w:tc>
      </w:tr>
      <w:tr>
        <w:tc>
          <w:tcPr>
            <w:tcW w:type="dxa" w:w="1872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Full Platform</w:t>
            </w:r>
          </w:p>
        </w:tc>
        <w:tc>
          <w:tcPr>
            <w:tcW w:type="dxa" w:w="3456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Fund + Trust + Build (own org)</w:t>
            </w:r>
          </w:p>
        </w:tc>
        <w:tc>
          <w:tcPr>
            <w:tcW w:type="dxa" w:w="2880"/>
            <w:shd w:val="clear" w:fill="EEF2F8"/>
          </w:tcPr>
          <w:p>
            <w:pPr>
              <w:spacing w:after="0" w:before="0" w:line="240" w:lineRule="auto"/>
            </w:pPr>
            <w:r/>
            <w:r>
              <w:rPr>
                <w:rFonts w:ascii="Georgia" w:hAnsi="Georgia"/>
                <w:b w:val="0"/>
                <w:color w:val="1A1410"/>
                <w:sz w:val="15"/>
              </w:rPr>
              <w:t>15–20% off the three tiers</w:t>
            </w:r>
          </w:p>
        </w:tc>
      </w:tr>
    </w:tbl>
    <w:p>
      <w:pPr>
        <w:spacing w:after="40" w:line="240" w:lineRule="auto"/>
      </w:pPr>
      <w:r>
        <w:rPr>
          <w:rFonts w:ascii="Georgia" w:hAnsi="Georgia"/>
          <w:b w:val="0"/>
          <w:i w:val="0"/>
          <w:color w:val="57534E"/>
          <w:sz w:val="14"/>
        </w:rPr>
        <w:t>Build feeds Trust and Fund, so any org on Build carries a live Trust Rating free; donor-sponsored (Motion G) sits above direct.</w:t>
      </w:r>
    </w:p>
    <w:p>
      <w:pPr>
        <w:spacing w:before="80" w:after="20" w:line="240" w:lineRule="auto"/>
      </w:pPr>
      <w:r>
        <w:rPr>
          <w:rFonts w:ascii="Georgia" w:hAnsi="Georgia"/>
          <w:b/>
          <w:color w:val="1F3864"/>
          <w:sz w:val="19"/>
        </w:rPr>
        <w:t>Pricing principles (non-negotiable)</w:t>
      </w:r>
    </w:p>
    <w:p>
      <w:pPr>
        <w:pStyle w:val="ListBullet"/>
        <w:spacing w:after="20" w:line="240" w:lineRule="auto"/>
      </w:pPr>
      <w:r>
        <w:rPr>
          <w:rFonts w:ascii="Georgia" w:hAnsi="Georgia"/>
          <w:color w:val="1A1410"/>
          <w:sz w:val="16"/>
        </w:rPr>
        <w:t>NGOs are never charged — applicants and grantees apply, report and hold a core Trust Passport for free, always; the funder or sponsor who holds the budget pays. Never a % of disbursements.</w:t>
      </w:r>
    </w:p>
    <w:p>
      <w:pPr>
        <w:pStyle w:val="ListBullet"/>
        <w:spacing w:after="20" w:line="240" w:lineRule="auto"/>
      </w:pPr>
      <w:r>
        <w:rPr>
          <w:rFonts w:ascii="Georgia" w:hAnsi="Georgia"/>
          <w:color w:val="1A1410"/>
          <w:sz w:val="16"/>
        </w:rPr>
        <w:t>Price on value, not seats: grant volume, orgs relied on, or org size selects the flat tier — users are unlimited.</w:t>
      </w:r>
    </w:p>
    <w:p>
      <w:pPr>
        <w:pStyle w:val="ListBullet"/>
        <w:spacing w:after="20" w:line="240" w:lineRule="auto"/>
      </w:pPr>
      <w:r>
        <w:rPr>
          <w:rFonts w:ascii="Georgia" w:hAnsi="Georgia"/>
          <w:color w:val="1A1410"/>
          <w:sz w:val="16"/>
        </w:rPr>
        <w:t>Donor-paid price is always higher than the same org buying directly.</w:t>
      </w:r>
    </w:p>
    <w:p>
      <w:pPr>
        <w:pStyle w:val="ListBullet"/>
        <w:spacing w:after="20" w:line="240" w:lineRule="auto"/>
      </w:pPr>
      <w:r>
        <w:rPr>
          <w:rFonts w:ascii="Georgia" w:hAnsi="Georgia"/>
          <w:color w:val="1A1410"/>
          <w:sz w:val="16"/>
        </w:rPr>
        <w:t>No org pays &gt;~2% of budget for software; Build reads as a deal vs buying multiple systems.</w:t>
      </w:r>
    </w:p>
    <w:p>
      <w:pPr>
        <w:pStyle w:val="ListBullet"/>
        <w:spacing w:after="20" w:line="240" w:lineRule="auto"/>
      </w:pPr>
      <w:r>
        <w:rPr>
          <w:rFonts w:ascii="Georgia" w:hAnsi="Georgia"/>
          <w:color w:val="1A1410"/>
          <w:sz w:val="16"/>
        </w:rPr>
        <w:t>Discounts governed: bundle 7–15%, term 7–12%, localization 25% (≤$5M, donor-underwritten), 30% cap.</w:t>
      </w:r>
    </w:p>
    <w:p>
      <w:pPr>
        <w:pStyle w:val="ListBullet"/>
        <w:spacing w:after="20" w:line="240" w:lineRule="auto"/>
      </w:pPr>
      <w:r>
        <w:rPr>
          <w:rFonts w:ascii="Georgia" w:hAnsi="Georgia"/>
          <w:color w:val="1A1410"/>
          <w:sz w:val="16"/>
        </w:rPr>
        <w:t>Paid pilots only — no free live-production deployments; fully credited to Year 1 on timely conversion.</w:t>
      </w:r>
    </w:p>
    <w:p>
      <w:pPr>
        <w:spacing w:before="80" w:after="20" w:line="240" w:lineRule="auto"/>
      </w:pPr>
      <w:r>
        <w:rPr>
          <w:rFonts w:ascii="Georgia" w:hAnsi="Georgia"/>
          <w:b/>
          <w:color w:val="1F3864"/>
          <w:sz w:val="19"/>
        </w:rPr>
        <w:t>Decisions for leadership</w:t>
      </w:r>
    </w:p>
    <w:p>
      <w:pPr>
        <w:pStyle w:val="ListNumber"/>
        <w:spacing w:after="20" w:line="240" w:lineRule="auto"/>
      </w:pPr>
      <w:r>
        <w:rPr>
          <w:rFonts w:ascii="Georgia" w:hAnsi="Georgia"/>
          <w:color w:val="1A1410"/>
          <w:sz w:val="16"/>
        </w:rPr>
        <w:t>Approve NGO core access as permanently free, and the tiers above as pilot recommendations (not public).</w:t>
      </w:r>
    </w:p>
    <w:p>
      <w:pPr>
        <w:pStyle w:val="ListNumber"/>
        <w:spacing w:after="20" w:line="240" w:lineRule="auto"/>
      </w:pPr>
      <w:r>
        <w:rPr>
          <w:rFonts w:ascii="Georgia" w:hAnsi="Georgia"/>
          <w:color w:val="1A1410"/>
          <w:sz w:val="16"/>
        </w:rPr>
        <w:t>Confirm 2026 = pilot every motion / 2027 = convert; 2026 revenue = Motion G only (2–3 donors × ~5 grantees).</w:t>
      </w:r>
    </w:p>
    <w:p>
      <w:pPr>
        <w:pStyle w:val="ListNumber"/>
        <w:spacing w:after="20" w:line="240" w:lineRule="auto"/>
      </w:pPr>
      <w:r>
        <w:rPr>
          <w:rFonts w:ascii="Georgia" w:hAnsi="Georgia"/>
          <w:color w:val="1A1410"/>
          <w:sz w:val="16"/>
        </w:rPr>
        <w:t>Reconcile Kuja Build pricing against James’s NEAR RFP costing before any external Build quote.</w:t>
      </w:r>
    </w:p>
    <w:p>
      <w:pPr>
        <w:pStyle w:val="ListNumber"/>
        <w:spacing w:after="20" w:line="240" w:lineRule="auto"/>
      </w:pPr>
      <w:r>
        <w:rPr>
          <w:rFonts w:ascii="Georgia" w:hAnsi="Georgia"/>
          <w:color w:val="1A1410"/>
          <w:sz w:val="16"/>
        </w:rPr>
        <w:t>Hold public rate-card publication until 8–12 buyer interviews and 3 paid pilots across 2 segments close.</w:t>
      </w:r>
    </w:p>
    <w:p>
      <w:pPr>
        <w:spacing w:after="40" w:before="40" w:line="240" w:lineRule="auto"/>
      </w:pPr>
      <w:r>
        <w:rPr>
          <w:rFonts w:ascii="Georgia" w:hAnsi="Georgia"/>
          <w:b w:val="0"/>
          <w:i w:val="0"/>
          <w:color w:val="57534E"/>
          <w:sz w:val="14"/>
        </w:rPr>
        <w:t>All figures are recommendations to validate in paid pilots — not a public rate card, and not proof of willingness to pay. Competitor prices observed from public sources on 9 August 2026.</w:t>
      </w:r>
    </w:p>
    <w:sectPr w:rsidR="00FC693F" w:rsidRPr="0006063C" w:rsidSect="00034616">
      <w:pgSz w:w="12240" w:h="15840"/>
      <w:pgMar w:top="605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Georgia" w:hAnsi="Georgia"/>
      <w:color w:val="1A141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