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8"/>
        </w:rPr>
        <w:t>Proximate Fund — Access-Control (RBAC) Remediation Report</w:t>
      </w:r>
    </w:p>
    <w:p>
      <w:pPr>
        <w:spacing w:after="40"/>
      </w:pPr>
      <w:r>
        <w:rPr>
          <w:b/>
          <w:color w:val="C2410C"/>
          <w:sz w:val="22"/>
        </w:rPr>
        <w:t>Response to the security feedback of 9 July 2026</w:t>
      </w:r>
    </w:p>
    <w:p>
      <w:r>
        <w:rPr>
          <w:color w:val="555555"/>
          <w:sz w:val="18"/>
        </w:rPr>
        <w:t>Date: 9 July 2026   |   Production build: 580d66ec2f7c   |   Host: https://web-production-6f8a.up.railway.app   |   Status: LIVE &amp; VERIFIED</w:t>
      </w:r>
    </w:p>
    <w:p>
      <w:pPr>
        <w:spacing w:before="280" w:after="80"/>
      </w:pPr>
      <w:r>
        <w:rPr>
          <w:b/>
          <w:color w:val="1F3864"/>
          <w:sz w:val="28"/>
        </w:rPr>
        <w:t>1. Executive summary</w:t>
      </w:r>
    </w:p>
    <w:p>
      <w:pPr>
        <w:spacing w:after="120"/>
      </w:pPr>
      <w:r>
        <w:rPr>
          <w:i w:val="0"/>
          <w:sz w:val="21"/>
        </w:rPr>
        <w:t>Your team reported a cluster of 12 access-control (RBAC) findings on the Proximate tenant: users seeing or reaching data and controls that belong only to the Oversight Body (OB), the OB itself wrongly blocked on one endpoint, sensitive fields (including secret report tokens) reaching the wrong personas, and the AI side-panel behaving with the wrong role. Every one of the 12 has been fixed, shipped to production, and independently re-verified on the live site.</w:t>
      </w:r>
    </w:p>
    <w:p>
      <w:pPr>
        <w:spacing w:after="120"/>
      </w:pPr>
      <w:r>
        <w:rPr>
          <w:i w:val="0"/>
          <w:sz w:val="21"/>
        </w:rPr>
        <w:t>The remediation was built deny-by-default: the OB is the only persona that reaches OB governance data or controls; every other persona (donor, endorser, platform administrator, unauthenticated visitor) is refused at the server, and sensitive fields are stripped from any response a non-OB persona is allowed to see. We also rotated the 20 report tokens that could have been observed before the fix, and — so this class of issue cannot recur — added an automated authorization test to the pre-deploy gate that now runs on every change.</w:t>
      </w:r>
    </w:p>
    <w:p>
      <w:pPr>
        <w:spacing w:before="280" w:after="80"/>
      </w:pPr>
      <w:r>
        <w:rPr>
          <w:b/>
          <w:color w:val="1F3864"/>
          <w:sz w:val="28"/>
        </w:rPr>
        <w:t>2. What you reported</w:t>
      </w:r>
    </w:p>
    <w:p>
      <w:pPr>
        <w:spacing w:after="80"/>
      </w:pPr>
      <w:r>
        <w:rPr>
          <w:i w:val="0"/>
          <w:sz w:val="21"/>
        </w:rPr>
        <w:t>The 12 findings, grouped by theme:</w:t>
      </w:r>
    </w:p>
    <w:tbl>
      <w:tblPr>
        <w:tblW w:type="auto" w:w="0"/>
        <w:tblLayout w:type="autofit"/>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880"/>
        <w:gridCol w:w="2880"/>
        <w:gridCol w:w="2880"/>
      </w:tblGrid>
      <w:tr>
        <w:tc>
          <w:tcPr>
            <w:tcW w:type="dxa" w:w="576"/>
            <w:shd w:val="clear" w:color="auto" w:fill="1F3864"/>
          </w:tcPr>
          <w:p>
            <w:r/>
            <w:r>
              <w:rPr>
                <w:b/>
                <w:color w:val="FFFFFF"/>
                <w:sz w:val="19"/>
              </w:rPr>
              <w:t>#</w:t>
            </w:r>
          </w:p>
        </w:tc>
        <w:tc>
          <w:tcPr>
            <w:tcW w:type="dxa" w:w="7776"/>
            <w:shd w:val="clear" w:color="auto" w:fill="1F3864"/>
          </w:tcPr>
          <w:p>
            <w:r/>
            <w:r>
              <w:rPr>
                <w:b/>
                <w:color w:val="FFFFFF"/>
                <w:sz w:val="19"/>
              </w:rPr>
              <w:t>Finding</w:t>
            </w:r>
          </w:p>
        </w:tc>
        <w:tc>
          <w:tcPr>
            <w:tcW w:type="dxa" w:w="1440"/>
            <w:shd w:val="clear" w:color="auto" w:fill="1F3864"/>
          </w:tcPr>
          <w:p>
            <w:r/>
            <w:r>
              <w:rPr>
                <w:b/>
                <w:color w:val="FFFFFF"/>
                <w:sz w:val="19"/>
              </w:rPr>
              <w:t>Severity</w:t>
            </w:r>
          </w:p>
        </w:tc>
      </w:tr>
      <w:tr>
        <w:tc>
          <w:tcPr>
            <w:tcW w:type="dxa" w:w="576"/>
          </w:tcPr>
          <w:p>
            <w:r/>
            <w:r>
              <w:rPr>
                <w:sz w:val="19"/>
              </w:rPr>
              <w:t>1</w:t>
            </w:r>
          </w:p>
        </w:tc>
        <w:tc>
          <w:tcPr>
            <w:tcW w:type="dxa" w:w="7776"/>
          </w:tcPr>
          <w:p>
            <w:r/>
            <w:r>
              <w:rPr>
                <w:sz w:val="19"/>
              </w:rPr>
              <w:t>Donor could open the OB overview and attention-queue</w:t>
            </w:r>
          </w:p>
        </w:tc>
        <w:tc>
          <w:tcPr>
            <w:tcW w:type="dxa" w:w="1440"/>
          </w:tcPr>
          <w:p>
            <w:r/>
            <w:r>
              <w:rPr>
                <w:sz w:val="19"/>
              </w:rPr>
              <w:t>High</w:t>
            </w:r>
          </w:p>
        </w:tc>
      </w:tr>
      <w:tr>
        <w:tc>
          <w:tcPr>
            <w:tcW w:type="dxa" w:w="576"/>
          </w:tcPr>
          <w:p>
            <w:r/>
            <w:r>
              <w:rPr>
                <w:sz w:val="19"/>
              </w:rPr>
              <w:t>2</w:t>
            </w:r>
          </w:p>
        </w:tc>
        <w:tc>
          <w:tcPr>
            <w:tcW w:type="dxa" w:w="7776"/>
          </w:tcPr>
          <w:p>
            <w:r/>
            <w:r>
              <w:rPr>
                <w:sz w:val="19"/>
              </w:rPr>
              <w:t>OB was blocked from the audit-chain (err.ob_required)</w:t>
            </w:r>
          </w:p>
        </w:tc>
        <w:tc>
          <w:tcPr>
            <w:tcW w:type="dxa" w:w="1440"/>
          </w:tcPr>
          <w:p>
            <w:r/>
            <w:r>
              <w:rPr>
                <w:sz w:val="19"/>
              </w:rPr>
              <w:t>High</w:t>
            </w:r>
          </w:p>
        </w:tc>
      </w:tr>
      <w:tr>
        <w:tc>
          <w:tcPr>
            <w:tcW w:type="dxa" w:w="576"/>
          </w:tcPr>
          <w:p>
            <w:r/>
            <w:r>
              <w:rPr>
                <w:sz w:val="19"/>
              </w:rPr>
              <w:t>3</w:t>
            </w:r>
          </w:p>
        </w:tc>
        <w:tc>
          <w:tcPr>
            <w:tcW w:type="dxa" w:w="7776"/>
          </w:tcPr>
          <w:p>
            <w:r/>
            <w:r>
              <w:rPr>
                <w:sz w:val="19"/>
              </w:rPr>
              <w:t>Protected routes rendered a broken "K" screen when not logged in</w:t>
            </w:r>
          </w:p>
        </w:tc>
        <w:tc>
          <w:tcPr>
            <w:tcW w:type="dxa" w:w="1440"/>
          </w:tcPr>
          <w:p>
            <w:r/>
            <w:r>
              <w:rPr>
                <w:sz w:val="19"/>
              </w:rPr>
              <w:t>Medium</w:t>
            </w:r>
          </w:p>
        </w:tc>
      </w:tr>
      <w:tr>
        <w:tc>
          <w:tcPr>
            <w:tcW w:type="dxa" w:w="576"/>
          </w:tcPr>
          <w:p>
            <w:r/>
            <w:r>
              <w:rPr>
                <w:sz w:val="19"/>
              </w:rPr>
              <w:t>4</w:t>
            </w:r>
          </w:p>
        </w:tc>
        <w:tc>
          <w:tcPr>
            <w:tcW w:type="dxa" w:w="7776"/>
          </w:tcPr>
          <w:p>
            <w:r/>
            <w:r>
              <w:rPr>
                <w:sz w:val="19"/>
              </w:rPr>
              <w:t>Platform admin saw enabled OB signer / governance controls</w:t>
            </w:r>
          </w:p>
        </w:tc>
        <w:tc>
          <w:tcPr>
            <w:tcW w:type="dxa" w:w="1440"/>
          </w:tcPr>
          <w:p>
            <w:r/>
            <w:r>
              <w:rPr>
                <w:sz w:val="19"/>
              </w:rPr>
              <w:t>High</w:t>
            </w:r>
          </w:p>
        </w:tc>
      </w:tr>
      <w:tr>
        <w:tc>
          <w:tcPr>
            <w:tcW w:type="dxa" w:w="576"/>
          </w:tcPr>
          <w:p>
            <w:r/>
            <w:r>
              <w:rPr>
                <w:sz w:val="19"/>
              </w:rPr>
              <w:t>5</w:t>
            </w:r>
          </w:p>
        </w:tc>
        <w:tc>
          <w:tcPr>
            <w:tcW w:type="dxa" w:w="7776"/>
          </w:tcPr>
          <w:p>
            <w:r/>
            <w:r>
              <w:rPr>
                <w:sz w:val="19"/>
              </w:rPr>
              <w:t>Donor could open a disbursement by ID and saw the Co-sign button</w:t>
            </w:r>
          </w:p>
        </w:tc>
        <w:tc>
          <w:tcPr>
            <w:tcW w:type="dxa" w:w="1440"/>
          </w:tcPr>
          <w:p>
            <w:r/>
            <w:r>
              <w:rPr>
                <w:sz w:val="19"/>
              </w:rPr>
              <w:t>High</w:t>
            </w:r>
          </w:p>
        </w:tc>
      </w:tr>
      <w:tr>
        <w:tc>
          <w:tcPr>
            <w:tcW w:type="dxa" w:w="576"/>
          </w:tcPr>
          <w:p>
            <w:r/>
            <w:r>
              <w:rPr>
                <w:sz w:val="19"/>
              </w:rPr>
              <w:t>6</w:t>
            </w:r>
          </w:p>
        </w:tc>
        <w:tc>
          <w:tcPr>
            <w:tcW w:type="dxa" w:w="7776"/>
          </w:tcPr>
          <w:p>
            <w:r/>
            <w:r>
              <w:rPr>
                <w:sz w:val="19"/>
              </w:rPr>
              <w:t>Donor could call the disbursement pre-flight API</w:t>
            </w:r>
          </w:p>
        </w:tc>
        <w:tc>
          <w:tcPr>
            <w:tcW w:type="dxa" w:w="1440"/>
          </w:tcPr>
          <w:p>
            <w:r/>
            <w:r>
              <w:rPr>
                <w:sz w:val="19"/>
              </w:rPr>
              <w:t>Medium</w:t>
            </w:r>
          </w:p>
        </w:tc>
      </w:tr>
      <w:tr>
        <w:tc>
          <w:tcPr>
            <w:tcW w:type="dxa" w:w="576"/>
          </w:tcPr>
          <w:p>
            <w:r/>
            <w:r>
              <w:rPr>
                <w:sz w:val="19"/>
              </w:rPr>
              <w:t>7</w:t>
            </w:r>
          </w:p>
        </w:tc>
        <w:tc>
          <w:tcPr>
            <w:tcW w:type="dxa" w:w="7776"/>
          </w:tcPr>
          <w:p>
            <w:r/>
            <w:r>
              <w:rPr>
                <w:sz w:val="19"/>
              </w:rPr>
              <w:t>Platform admin saw round lifecycle controls</w:t>
            </w:r>
          </w:p>
        </w:tc>
        <w:tc>
          <w:tcPr>
            <w:tcW w:type="dxa" w:w="1440"/>
          </w:tcPr>
          <w:p>
            <w:r/>
            <w:r>
              <w:rPr>
                <w:sz w:val="19"/>
              </w:rPr>
              <w:t>High</w:t>
            </w:r>
          </w:p>
        </w:tc>
      </w:tr>
      <w:tr>
        <w:tc>
          <w:tcPr>
            <w:tcW w:type="dxa" w:w="576"/>
          </w:tcPr>
          <w:p>
            <w:r/>
            <w:r>
              <w:rPr>
                <w:sz w:val="19"/>
              </w:rPr>
              <w:t>8</w:t>
            </w:r>
          </w:p>
        </w:tc>
        <w:tc>
          <w:tcPr>
            <w:tcW w:type="dxa" w:w="7776"/>
          </w:tcPr>
          <w:p>
            <w:r/>
            <w:r>
              <w:rPr>
                <w:sz w:val="19"/>
              </w:rPr>
              <w:t>Platform admin received sensitive round fields, incl. report_token</w:t>
            </w:r>
          </w:p>
        </w:tc>
        <w:tc>
          <w:tcPr>
            <w:tcW w:type="dxa" w:w="1440"/>
          </w:tcPr>
          <w:p>
            <w:r/>
            <w:r>
              <w:rPr>
                <w:sz w:val="19"/>
              </w:rPr>
              <w:t>Critical</w:t>
            </w:r>
          </w:p>
        </w:tc>
      </w:tr>
      <w:tr>
        <w:tc>
          <w:tcPr>
            <w:tcW w:type="dxa" w:w="576"/>
          </w:tcPr>
          <w:p>
            <w:r/>
            <w:r>
              <w:rPr>
                <w:sz w:val="19"/>
              </w:rPr>
              <w:t>9</w:t>
            </w:r>
          </w:p>
        </w:tc>
        <w:tc>
          <w:tcPr>
            <w:tcW w:type="dxa" w:w="7776"/>
          </w:tcPr>
          <w:p>
            <w:r/>
            <w:r>
              <w:rPr>
                <w:sz w:val="19"/>
              </w:rPr>
              <w:t>Donor received internal round lifecycle fields</w:t>
            </w:r>
          </w:p>
        </w:tc>
        <w:tc>
          <w:tcPr>
            <w:tcW w:type="dxa" w:w="1440"/>
          </w:tcPr>
          <w:p>
            <w:r/>
            <w:r>
              <w:rPr>
                <w:sz w:val="19"/>
              </w:rPr>
              <w:t>High</w:t>
            </w:r>
          </w:p>
        </w:tc>
      </w:tr>
      <w:tr>
        <w:tc>
          <w:tcPr>
            <w:tcW w:type="dxa" w:w="576"/>
          </w:tcPr>
          <w:p>
            <w:r/>
            <w:r>
              <w:rPr>
                <w:sz w:val="19"/>
              </w:rPr>
              <w:t>10</w:t>
            </w:r>
          </w:p>
        </w:tc>
        <w:tc>
          <w:tcPr>
            <w:tcW w:type="dxa" w:w="7776"/>
          </w:tcPr>
          <w:p>
            <w:r/>
            <w:r>
              <w:rPr>
                <w:sz w:val="19"/>
              </w:rPr>
              <w:t>Partner detail leaked by ID; non-OB saw "Record disbursement" / governance</w:t>
            </w:r>
          </w:p>
        </w:tc>
        <w:tc>
          <w:tcPr>
            <w:tcW w:type="dxa" w:w="1440"/>
          </w:tcPr>
          <w:p>
            <w:r/>
            <w:r>
              <w:rPr>
                <w:sz w:val="19"/>
              </w:rPr>
              <w:t>High</w:t>
            </w:r>
          </w:p>
        </w:tc>
      </w:tr>
      <w:tr>
        <w:tc>
          <w:tcPr>
            <w:tcW w:type="dxa" w:w="576"/>
          </w:tcPr>
          <w:p>
            <w:r/>
            <w:r>
              <w:rPr>
                <w:sz w:val="19"/>
              </w:rPr>
              <w:t>11</w:t>
            </w:r>
          </w:p>
        </w:tc>
        <w:tc>
          <w:tcPr>
            <w:tcW w:type="dxa" w:w="7776"/>
          </w:tcPr>
          <w:p>
            <w:r/>
            <w:r>
              <w:rPr>
                <w:sz w:val="19"/>
              </w:rPr>
              <w:t>Donor could extract report tokens from the disbursement APIs</w:t>
            </w:r>
          </w:p>
        </w:tc>
        <w:tc>
          <w:tcPr>
            <w:tcW w:type="dxa" w:w="1440"/>
          </w:tcPr>
          <w:p>
            <w:r/>
            <w:r>
              <w:rPr>
                <w:sz w:val="19"/>
              </w:rPr>
              <w:t>Critical</w:t>
            </w:r>
          </w:p>
        </w:tc>
      </w:tr>
      <w:tr>
        <w:tc>
          <w:tcPr>
            <w:tcW w:type="dxa" w:w="576"/>
          </w:tcPr>
          <w:p>
            <w:r/>
            <w:r>
              <w:rPr>
                <w:sz w:val="19"/>
              </w:rPr>
              <w:t>12</w:t>
            </w:r>
          </w:p>
        </w:tc>
        <w:tc>
          <w:tcPr>
            <w:tcW w:type="dxa" w:w="7776"/>
          </w:tcPr>
          <w:p>
            <w:r/>
            <w:r>
              <w:rPr>
                <w:sz w:val="19"/>
              </w:rPr>
              <w:t>AI side-panel used the wrong role and cross-module context</w:t>
            </w:r>
          </w:p>
        </w:tc>
        <w:tc>
          <w:tcPr>
            <w:tcW w:type="dxa" w:w="1440"/>
          </w:tcPr>
          <w:p>
            <w:r/>
            <w:r>
              <w:rPr>
                <w:sz w:val="19"/>
              </w:rPr>
              <w:t>Medium</w:t>
            </w:r>
          </w:p>
        </w:tc>
      </w:tr>
    </w:tbl>
    <w:p>
      <w:pPr>
        <w:spacing w:before="280" w:after="80"/>
      </w:pPr>
      <w:r>
        <w:rPr>
          <w:b/>
          <w:color w:val="1F3864"/>
          <w:sz w:val="28"/>
        </w:rPr>
        <w:t>3. What we changed</w:t>
      </w:r>
    </w:p>
    <w:p>
      <w:pPr>
        <w:spacing w:before="160" w:after="80"/>
      </w:pPr>
      <w:r>
        <w:rPr>
          <w:b/>
          <w:color w:val="C2410C"/>
          <w:sz w:val="24"/>
        </w:rPr>
        <w:t>3.1  Server-side authorization — deny-by-default</w:t>
      </w:r>
    </w:p>
    <w:p>
      <w:pPr>
        <w:pStyle w:val="ListBullet"/>
        <w:spacing w:after="40"/>
      </w:pPr>
      <w:r>
        <w:rPr>
          <w:b/>
          <w:sz w:val="21"/>
        </w:rPr>
        <w:t xml:space="preserve">Who counts as OB: </w:t>
      </w:r>
      <w:r>
        <w:rPr>
          <w:sz w:val="21"/>
        </w:rPr>
        <w:t>the OB check is now network-explicit and no longer treats a platform administrator as an OB. A platform admin is an operator of the software, not a governor of the fund.</w:t>
      </w:r>
    </w:p>
    <w:p>
      <w:pPr>
        <w:pStyle w:val="ListBullet"/>
        <w:spacing w:after="40"/>
      </w:pPr>
      <w:r>
        <w:rPr>
          <w:b/>
          <w:sz w:val="21"/>
        </w:rPr>
        <w:t xml:space="preserve">OB-only endpoints: </w:t>
      </w:r>
      <w:r>
        <w:rPr>
          <w:sz w:val="21"/>
        </w:rPr>
        <w:t>overview, attention-queue, audit-chain, pre-flight, interventions, FSP registry, endorsements and disbursement-methods now refuse (403) any non-OB caller. The audit-chain gate was corrected so the OB itself is no longer blocked.</w:t>
      </w:r>
    </w:p>
    <w:p>
      <w:pPr>
        <w:pStyle w:val="ListBullet"/>
        <w:spacing w:after="40"/>
      </w:pPr>
      <w:r>
        <w:rPr>
          <w:b/>
          <w:sz w:val="21"/>
        </w:rPr>
        <w:t xml:space="preserve">Object-level checks (by ID): </w:t>
      </w:r>
      <w:r>
        <w:rPr>
          <w:sz w:val="21"/>
        </w:rPr>
        <w:t>opening a partner, disbursement or round by its ID is now checked per persona. The OB sees full operator detail; an endorser sees only the minimal identity + endorsement-progress needed to endorse; donors and others are refused. Disbursement detail is limited to the OB or the assigned verifier.</w:t>
      </w:r>
    </w:p>
    <w:p>
      <w:pPr>
        <w:pStyle w:val="ListBullet"/>
        <w:spacing w:after="40"/>
      </w:pPr>
      <w:r>
        <w:rPr>
          <w:b/>
          <w:sz w:val="21"/>
        </w:rPr>
        <w:t xml:space="preserve">Secret fields removed: </w:t>
      </w:r>
      <w:r>
        <w:rPr>
          <w:sz w:val="21"/>
        </w:rPr>
        <w:t>the secret report token, bank details, sanctions detail, reputation internals and internal signer/audit fields are stripped from every response served to a non-OB persona.</w:t>
      </w:r>
    </w:p>
    <w:p>
      <w:pPr>
        <w:spacing w:before="160" w:after="80"/>
      </w:pPr>
      <w:r>
        <w:rPr>
          <w:b/>
          <w:color w:val="C2410C"/>
          <w:sz w:val="24"/>
        </w:rPr>
        <w:t>3.2  Front-end controls follow the real persona</w:t>
      </w:r>
    </w:p>
    <w:p>
      <w:pPr>
        <w:pStyle w:val="ListBullet"/>
        <w:spacing w:after="40"/>
      </w:pPr>
      <w:r>
        <w:rPr>
          <w:b/>
          <w:sz w:val="21"/>
        </w:rPr>
        <w:t xml:space="preserve">OB-only actions: </w:t>
      </w:r>
      <w:r>
        <w:rPr>
          <w:sz w:val="21"/>
        </w:rPr>
        <w:t>governance controls (interventions, disbursement methods, the "Record disbursement" action, the Co-sign button, round lifecycle controls) now appear only for the OB persona. Previously they keyed off the platform role, which showed them to platform admins and, in one case, hid them from the real OB.</w:t>
      </w:r>
    </w:p>
    <w:p>
      <w:pPr>
        <w:spacing w:before="160" w:after="80"/>
      </w:pPr>
      <w:r>
        <w:rPr>
          <w:b/>
          <w:color w:val="C2410C"/>
          <w:sz w:val="24"/>
        </w:rPr>
        <w:t>3.3  Unauthenticated and AI surfaces</w:t>
      </w:r>
    </w:p>
    <w:p>
      <w:pPr>
        <w:pStyle w:val="ListBullet"/>
        <w:spacing w:after="40"/>
      </w:pPr>
      <w:r>
        <w:rPr>
          <w:b/>
          <w:sz w:val="21"/>
        </w:rPr>
        <w:t xml:space="preserve">Not-logged-in: </w:t>
      </w:r>
      <w:r>
        <w:rPr>
          <w:sz w:val="21"/>
        </w:rPr>
        <w:t>a logged-out visitor is now returned to the correct branded sign-in (with the fund's colours), instead of the broken neutral "K" loading screen; the server serves no data to an unauthenticated caller.</w:t>
      </w:r>
    </w:p>
    <w:p>
      <w:pPr>
        <w:pStyle w:val="ListBullet"/>
        <w:spacing w:after="40"/>
      </w:pPr>
      <w:r>
        <w:rPr>
          <w:b/>
          <w:sz w:val="21"/>
        </w:rPr>
        <w:t xml:space="preserve">AI side-panel: </w:t>
      </w:r>
      <w:r>
        <w:rPr>
          <w:sz w:val="21"/>
        </w:rPr>
        <w:t>the generic assistant side-panel is switched off on the Proximate tenant. It was built for the grant-application product and used the wrong role and data; the fund has its own guidance surfaces.</w:t>
      </w:r>
    </w:p>
    <w:p>
      <w:pPr>
        <w:spacing w:before="280" w:after="80"/>
      </w:pPr>
      <w:r>
        <w:rPr>
          <w:b/>
          <w:color w:val="1F3864"/>
          <w:sz w:val="28"/>
        </w:rPr>
        <w:t>4. Finding-by-finding resolution</w:t>
      </w:r>
    </w:p>
    <w:tbl>
      <w:tblPr>
        <w:tblW w:type="auto" w:w="0"/>
        <w:tblLayout w:type="autofit"/>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880"/>
        <w:gridCol w:w="2880"/>
        <w:gridCol w:w="2880"/>
      </w:tblGrid>
      <w:tr>
        <w:tc>
          <w:tcPr>
            <w:tcW w:type="dxa" w:w="576"/>
            <w:shd w:val="clear" w:color="auto" w:fill="1F3864"/>
          </w:tcPr>
          <w:p>
            <w:r/>
            <w:r>
              <w:rPr>
                <w:b/>
                <w:color w:val="FFFFFF"/>
                <w:sz w:val="19"/>
              </w:rPr>
              <w:t>#</w:t>
            </w:r>
          </w:p>
        </w:tc>
        <w:tc>
          <w:tcPr>
            <w:tcW w:type="dxa" w:w="7776"/>
            <w:shd w:val="clear" w:color="auto" w:fill="1F3864"/>
          </w:tcPr>
          <w:p>
            <w:r/>
            <w:r>
              <w:rPr>
                <w:b/>
                <w:color w:val="FFFFFF"/>
                <w:sz w:val="19"/>
              </w:rPr>
              <w:t>How it was resolved</w:t>
            </w:r>
          </w:p>
        </w:tc>
        <w:tc>
          <w:tcPr>
            <w:tcW w:type="dxa" w:w="2016"/>
            <w:shd w:val="clear" w:color="auto" w:fill="1F3864"/>
          </w:tcPr>
          <w:p>
            <w:r/>
            <w:r>
              <w:rPr>
                <w:b/>
                <w:color w:val="FFFFFF"/>
                <w:sz w:val="19"/>
              </w:rPr>
              <w:t>Status</w:t>
            </w:r>
          </w:p>
        </w:tc>
      </w:tr>
      <w:tr>
        <w:tc>
          <w:tcPr>
            <w:tcW w:type="dxa" w:w="576"/>
          </w:tcPr>
          <w:p>
            <w:r/>
            <w:r>
              <w:rPr>
                <w:sz w:val="19"/>
              </w:rPr>
              <w:t>1</w:t>
            </w:r>
          </w:p>
        </w:tc>
        <w:tc>
          <w:tcPr>
            <w:tcW w:type="dxa" w:w="7776"/>
          </w:tcPr>
          <w:p>
            <w:r/>
            <w:r>
              <w:rPr>
                <w:sz w:val="19"/>
              </w:rPr>
              <w:t>Donor now refused (403) on overview + attention-queue</w:t>
            </w:r>
          </w:p>
        </w:tc>
        <w:tc>
          <w:tcPr>
            <w:tcW w:type="dxa" w:w="2016"/>
          </w:tcPr>
          <w:p>
            <w:r/>
            <w:r>
              <w:rPr>
                <w:b/>
                <w:color w:val="1B7A3D"/>
                <w:sz w:val="19"/>
              </w:rPr>
              <w:t>Fixed &amp; verified</w:t>
            </w:r>
          </w:p>
        </w:tc>
      </w:tr>
      <w:tr>
        <w:tc>
          <w:tcPr>
            <w:tcW w:type="dxa" w:w="576"/>
          </w:tcPr>
          <w:p>
            <w:r/>
            <w:r>
              <w:rPr>
                <w:sz w:val="19"/>
              </w:rPr>
              <w:t>2</w:t>
            </w:r>
          </w:p>
        </w:tc>
        <w:tc>
          <w:tcPr>
            <w:tcW w:type="dxa" w:w="7776"/>
          </w:tcPr>
          <w:p>
            <w:r/>
            <w:r>
              <w:rPr>
                <w:sz w:val="19"/>
              </w:rPr>
              <w:t>Audit-chain gate corrected; OB gets 200</w:t>
            </w:r>
          </w:p>
        </w:tc>
        <w:tc>
          <w:tcPr>
            <w:tcW w:type="dxa" w:w="2016"/>
          </w:tcPr>
          <w:p>
            <w:r/>
            <w:r>
              <w:rPr>
                <w:b/>
                <w:color w:val="1B7A3D"/>
                <w:sz w:val="19"/>
              </w:rPr>
              <w:t>Fixed &amp; verified</w:t>
            </w:r>
          </w:p>
        </w:tc>
      </w:tr>
      <w:tr>
        <w:tc>
          <w:tcPr>
            <w:tcW w:type="dxa" w:w="576"/>
          </w:tcPr>
          <w:p>
            <w:r/>
            <w:r>
              <w:rPr>
                <w:sz w:val="19"/>
              </w:rPr>
              <w:t>3</w:t>
            </w:r>
          </w:p>
        </w:tc>
        <w:tc>
          <w:tcPr>
            <w:tcW w:type="dxa" w:w="7776"/>
          </w:tcPr>
          <w:p>
            <w:r/>
            <w:r>
              <w:rPr>
                <w:sz w:val="19"/>
              </w:rPr>
              <w:t>Logged-out users redirect to the branded sign-in; brand-aware loader</w:t>
            </w:r>
          </w:p>
        </w:tc>
        <w:tc>
          <w:tcPr>
            <w:tcW w:type="dxa" w:w="2016"/>
          </w:tcPr>
          <w:p>
            <w:r/>
            <w:r>
              <w:rPr>
                <w:b/>
                <w:color w:val="1B7A3D"/>
                <w:sz w:val="19"/>
              </w:rPr>
              <w:t>Fixed &amp; verified</w:t>
            </w:r>
          </w:p>
        </w:tc>
      </w:tr>
      <w:tr>
        <w:tc>
          <w:tcPr>
            <w:tcW w:type="dxa" w:w="576"/>
          </w:tcPr>
          <w:p>
            <w:r/>
            <w:r>
              <w:rPr>
                <w:sz w:val="19"/>
              </w:rPr>
              <w:t>4</w:t>
            </w:r>
          </w:p>
        </w:tc>
        <w:tc>
          <w:tcPr>
            <w:tcW w:type="dxa" w:w="7776"/>
          </w:tcPr>
          <w:p>
            <w:r/>
            <w:r>
              <w:rPr>
                <w:sz w:val="19"/>
              </w:rPr>
              <w:t>Governance controls render for OB persona only</w:t>
            </w:r>
          </w:p>
        </w:tc>
        <w:tc>
          <w:tcPr>
            <w:tcW w:type="dxa" w:w="2016"/>
          </w:tcPr>
          <w:p>
            <w:r/>
            <w:r>
              <w:rPr>
                <w:b/>
                <w:color w:val="1B7A3D"/>
                <w:sz w:val="19"/>
              </w:rPr>
              <w:t>Fixed &amp; verified</w:t>
            </w:r>
          </w:p>
        </w:tc>
      </w:tr>
      <w:tr>
        <w:tc>
          <w:tcPr>
            <w:tcW w:type="dxa" w:w="576"/>
          </w:tcPr>
          <w:p>
            <w:r/>
            <w:r>
              <w:rPr>
                <w:sz w:val="19"/>
              </w:rPr>
              <w:t>5</w:t>
            </w:r>
          </w:p>
        </w:tc>
        <w:tc>
          <w:tcPr>
            <w:tcW w:type="dxa" w:w="7776"/>
          </w:tcPr>
          <w:p>
            <w:r/>
            <w:r>
              <w:rPr>
                <w:sz w:val="19"/>
              </w:rPr>
              <w:t>Disbursement detail is OB-or-verifier; Co-sign is OB-only</w:t>
            </w:r>
          </w:p>
        </w:tc>
        <w:tc>
          <w:tcPr>
            <w:tcW w:type="dxa" w:w="2016"/>
          </w:tcPr>
          <w:p>
            <w:r/>
            <w:r>
              <w:rPr>
                <w:b/>
                <w:color w:val="1B7A3D"/>
                <w:sz w:val="19"/>
              </w:rPr>
              <w:t>Fixed &amp; verified</w:t>
            </w:r>
          </w:p>
        </w:tc>
      </w:tr>
      <w:tr>
        <w:tc>
          <w:tcPr>
            <w:tcW w:type="dxa" w:w="576"/>
          </w:tcPr>
          <w:p>
            <w:r/>
            <w:r>
              <w:rPr>
                <w:sz w:val="19"/>
              </w:rPr>
              <w:t>6</w:t>
            </w:r>
          </w:p>
        </w:tc>
        <w:tc>
          <w:tcPr>
            <w:tcW w:type="dxa" w:w="7776"/>
          </w:tcPr>
          <w:p>
            <w:r/>
            <w:r>
              <w:rPr>
                <w:sz w:val="19"/>
              </w:rPr>
              <w:t>Pre-flight API refuses non-OB callers (403)</w:t>
            </w:r>
          </w:p>
        </w:tc>
        <w:tc>
          <w:tcPr>
            <w:tcW w:type="dxa" w:w="2016"/>
          </w:tcPr>
          <w:p>
            <w:r/>
            <w:r>
              <w:rPr>
                <w:b/>
                <w:color w:val="1B7A3D"/>
                <w:sz w:val="19"/>
              </w:rPr>
              <w:t>Fixed &amp; verified</w:t>
            </w:r>
          </w:p>
        </w:tc>
      </w:tr>
      <w:tr>
        <w:tc>
          <w:tcPr>
            <w:tcW w:type="dxa" w:w="576"/>
          </w:tcPr>
          <w:p>
            <w:r/>
            <w:r>
              <w:rPr>
                <w:sz w:val="19"/>
              </w:rPr>
              <w:t>7</w:t>
            </w:r>
          </w:p>
        </w:tc>
        <w:tc>
          <w:tcPr>
            <w:tcW w:type="dxa" w:w="7776"/>
          </w:tcPr>
          <w:p>
            <w:r/>
            <w:r>
              <w:rPr>
                <w:sz w:val="19"/>
              </w:rPr>
              <w:t>Round lifecycle controls render for OB only</w:t>
            </w:r>
          </w:p>
        </w:tc>
        <w:tc>
          <w:tcPr>
            <w:tcW w:type="dxa" w:w="2016"/>
          </w:tcPr>
          <w:p>
            <w:r/>
            <w:r>
              <w:rPr>
                <w:b/>
                <w:color w:val="1B7A3D"/>
                <w:sz w:val="19"/>
              </w:rPr>
              <w:t>Fixed &amp; verified</w:t>
            </w:r>
          </w:p>
        </w:tc>
      </w:tr>
      <w:tr>
        <w:tc>
          <w:tcPr>
            <w:tcW w:type="dxa" w:w="576"/>
          </w:tcPr>
          <w:p>
            <w:r/>
            <w:r>
              <w:rPr>
                <w:sz w:val="19"/>
              </w:rPr>
              <w:t>8</w:t>
            </w:r>
          </w:p>
        </w:tc>
        <w:tc>
          <w:tcPr>
            <w:tcW w:type="dxa" w:w="7776"/>
          </w:tcPr>
          <w:p>
            <w:r/>
            <w:r>
              <w:rPr>
                <w:sz w:val="19"/>
              </w:rPr>
              <w:t>report_token + internal fields stripped for non-OB; admin refused</w:t>
            </w:r>
          </w:p>
        </w:tc>
        <w:tc>
          <w:tcPr>
            <w:tcW w:type="dxa" w:w="2016"/>
          </w:tcPr>
          <w:p>
            <w:r/>
            <w:r>
              <w:rPr>
                <w:b/>
                <w:color w:val="1B7A3D"/>
                <w:sz w:val="19"/>
              </w:rPr>
              <w:t>Fixed &amp; verified</w:t>
            </w:r>
          </w:p>
        </w:tc>
      </w:tr>
      <w:tr>
        <w:tc>
          <w:tcPr>
            <w:tcW w:type="dxa" w:w="576"/>
          </w:tcPr>
          <w:p>
            <w:r/>
            <w:r>
              <w:rPr>
                <w:sz w:val="19"/>
              </w:rPr>
              <w:t>9</w:t>
            </w:r>
          </w:p>
        </w:tc>
        <w:tc>
          <w:tcPr>
            <w:tcW w:type="dxa" w:w="7776"/>
          </w:tcPr>
          <w:p>
            <w:r/>
            <w:r>
              <w:rPr>
                <w:sz w:val="19"/>
              </w:rPr>
              <w:t>Donor round view stripped of internal lifecycle fields</w:t>
            </w:r>
          </w:p>
        </w:tc>
        <w:tc>
          <w:tcPr>
            <w:tcW w:type="dxa" w:w="2016"/>
          </w:tcPr>
          <w:p>
            <w:r/>
            <w:r>
              <w:rPr>
                <w:b/>
                <w:color w:val="1B7A3D"/>
                <w:sz w:val="19"/>
              </w:rPr>
              <w:t>Fixed &amp; verified</w:t>
            </w:r>
          </w:p>
        </w:tc>
      </w:tr>
      <w:tr>
        <w:tc>
          <w:tcPr>
            <w:tcW w:type="dxa" w:w="576"/>
          </w:tcPr>
          <w:p>
            <w:r/>
            <w:r>
              <w:rPr>
                <w:sz w:val="19"/>
              </w:rPr>
              <w:t>10</w:t>
            </w:r>
          </w:p>
        </w:tc>
        <w:tc>
          <w:tcPr>
            <w:tcW w:type="dxa" w:w="7776"/>
          </w:tcPr>
          <w:p>
            <w:r/>
            <w:r>
              <w:rPr>
                <w:sz w:val="19"/>
              </w:rPr>
              <w:t>Partner detail persona-scoped; non-OB action controls removed</w:t>
            </w:r>
          </w:p>
        </w:tc>
        <w:tc>
          <w:tcPr>
            <w:tcW w:type="dxa" w:w="2016"/>
          </w:tcPr>
          <w:p>
            <w:r/>
            <w:r>
              <w:rPr>
                <w:b/>
                <w:color w:val="1B7A3D"/>
                <w:sz w:val="19"/>
              </w:rPr>
              <w:t>Fixed &amp; verified</w:t>
            </w:r>
          </w:p>
        </w:tc>
      </w:tr>
      <w:tr>
        <w:tc>
          <w:tcPr>
            <w:tcW w:type="dxa" w:w="576"/>
          </w:tcPr>
          <w:p>
            <w:r/>
            <w:r>
              <w:rPr>
                <w:sz w:val="19"/>
              </w:rPr>
              <w:t>11</w:t>
            </w:r>
          </w:p>
        </w:tc>
        <w:tc>
          <w:tcPr>
            <w:tcW w:type="dxa" w:w="7776"/>
          </w:tcPr>
          <w:p>
            <w:r/>
            <w:r>
              <w:rPr>
                <w:sz w:val="19"/>
              </w:rPr>
              <w:t>Non-OB cannot reach disbursement APIs; tokens rotated</w:t>
            </w:r>
          </w:p>
        </w:tc>
        <w:tc>
          <w:tcPr>
            <w:tcW w:type="dxa" w:w="2016"/>
          </w:tcPr>
          <w:p>
            <w:r/>
            <w:r>
              <w:rPr>
                <w:b/>
                <w:color w:val="1B7A3D"/>
                <w:sz w:val="19"/>
              </w:rPr>
              <w:t>Fixed &amp; verified</w:t>
            </w:r>
          </w:p>
        </w:tc>
      </w:tr>
      <w:tr>
        <w:tc>
          <w:tcPr>
            <w:tcW w:type="dxa" w:w="576"/>
          </w:tcPr>
          <w:p>
            <w:r/>
            <w:r>
              <w:rPr>
                <w:sz w:val="19"/>
              </w:rPr>
              <w:t>12</w:t>
            </w:r>
          </w:p>
        </w:tc>
        <w:tc>
          <w:tcPr>
            <w:tcW w:type="dxa" w:w="7776"/>
          </w:tcPr>
          <w:p>
            <w:r/>
            <w:r>
              <w:rPr>
                <w:sz w:val="19"/>
              </w:rPr>
              <w:t>Generic AI panel disabled on the Proximate tenant</w:t>
            </w:r>
          </w:p>
        </w:tc>
        <w:tc>
          <w:tcPr>
            <w:tcW w:type="dxa" w:w="2016"/>
          </w:tcPr>
          <w:p>
            <w:r/>
            <w:r>
              <w:rPr>
                <w:b/>
                <w:color w:val="1B7A3D"/>
                <w:sz w:val="19"/>
              </w:rPr>
              <w:t>Fixed &amp; verified</w:t>
            </w:r>
          </w:p>
        </w:tc>
      </w:tr>
    </w:tbl>
    <w:p>
      <w:pPr>
        <w:spacing w:before="280" w:after="80"/>
      </w:pPr>
      <w:r>
        <w:rPr>
          <w:b/>
          <w:color w:val="1F3864"/>
          <w:sz w:val="28"/>
        </w:rPr>
        <w:t>5. Production verification &amp; token rotation</w:t>
      </w:r>
    </w:p>
    <w:p>
      <w:pPr>
        <w:spacing w:after="120"/>
      </w:pPr>
      <w:r>
        <w:rPr>
          <w:i w:val="0"/>
          <w:sz w:val="21"/>
        </w:rPr>
        <w:t>After deploying, we re-probed the live site as each persona and confirmed the intended behaviour end to end:</w:t>
      </w:r>
    </w:p>
    <w:p>
      <w:pPr>
        <w:pStyle w:val="ListBullet"/>
        <w:spacing w:after="40"/>
      </w:pPr>
      <w:r>
        <w:rPr>
          <w:sz w:val="21"/>
        </w:rPr>
        <w:t>OB regains overview, attention-queue, audit-chain, partner and disbursement detail (all 200).</w:t>
      </w:r>
    </w:p>
    <w:p>
      <w:pPr>
        <w:pStyle w:val="ListBullet"/>
        <w:spacing w:after="40"/>
      </w:pPr>
      <w:r>
        <w:rPr>
          <w:sz w:val="21"/>
        </w:rPr>
        <w:t>Platform administrator is refused (403) on every OB operation and on disbursement detail, and receives no report token.</w:t>
      </w:r>
    </w:p>
    <w:p>
      <w:pPr>
        <w:pStyle w:val="ListBullet"/>
        <w:spacing w:after="40"/>
      </w:pPr>
      <w:r>
        <w:rPr>
          <w:sz w:val="21"/>
        </w:rPr>
        <w:t>Donor is refused on all OB operations and on partner/disbursement detail; the donor round view carries no secret fields.</w:t>
      </w:r>
    </w:p>
    <w:p>
      <w:pPr>
        <w:spacing w:after="80"/>
      </w:pPr>
      <w:r>
        <w:rPr>
          <w:i w:val="0"/>
          <w:sz w:val="21"/>
        </w:rPr>
        <w:t>We also rotated the 20 report tokens (13 disbursements + 7 outcome attestations) that existed before the fix, so any token value that could have been observed during the exposure window is now invalid. Rotating invalidates previously-shared report links; the OB simply re-shares a fresh link where needed.</w:t>
      </w:r>
    </w:p>
    <w:p>
      <w:pPr>
        <w:spacing w:before="280" w:after="80"/>
      </w:pPr>
      <w:r>
        <w:rPr>
          <w:b/>
          <w:color w:val="1F3864"/>
          <w:sz w:val="28"/>
        </w:rPr>
        <w:t>6. Two items we investigated and intentionally left as they are</w:t>
      </w:r>
    </w:p>
    <w:p>
      <w:pPr>
        <w:spacing w:after="120"/>
      </w:pPr>
      <w:r>
        <w:rPr>
          <w:i w:val="0"/>
          <w:sz w:val="21"/>
        </w:rPr>
        <w:t>In the course of the work we looked closely at two things that looked like they might warrant a change and concluded they should not be changed — we want to be transparent about that judgement:</w:t>
      </w:r>
    </w:p>
    <w:p>
      <w:pPr>
        <w:pStyle w:val="ListBullet"/>
        <w:spacing w:after="40"/>
      </w:pPr>
      <w:r>
        <w:rPr>
          <w:b/>
          <w:sz w:val="21"/>
        </w:rPr>
        <w:t xml:space="preserve">Admin-as-endorser: </w:t>
      </w:r>
      <w:r>
        <w:rPr>
          <w:sz w:val="21"/>
        </w:rPr>
        <w:t>the account admin@kuja.org is, in the demo data, a genuine approved community endorser with six endorsements that clear six partners. It therefore correctly receives the minimal endorser view of a partner (identity + endorsement progress only, no bank/sanctions/token). Removing that would break six partners' clearances and would be undone by the demo re-seed on the next restart. If you would prefer platform accounts never double as endorsers, that is a demo-data design change we can make deliberately.</w:t>
      </w:r>
    </w:p>
    <w:p>
      <w:pPr>
        <w:pStyle w:val="ListBullet"/>
        <w:spacing w:after="40"/>
      </w:pPr>
      <w:r>
        <w:rPr>
          <w:b/>
          <w:sz w:val="21"/>
        </w:rPr>
        <w:t xml:space="preserve">Leftover database: </w:t>
      </w:r>
      <w:r>
        <w:rPr>
          <w:sz w:val="21"/>
        </w:rPr>
        <w:t>the project has a stale, unused second database instance alongside the live one. We did not delete it — removing a database is irreversible — but we corrected our own tooling so it can never be targeted by mistake, and can walk you through removing the leftover from the hosting dashboard whenever you wish.</w:t>
      </w:r>
    </w:p>
    <w:p>
      <w:pPr>
        <w:spacing w:before="280" w:after="80"/>
      </w:pPr>
      <w:r>
        <w:rPr>
          <w:b/>
          <w:color w:val="1F3864"/>
          <w:sz w:val="28"/>
        </w:rPr>
        <w:t>7. Preventing recurrence — automated authorization gate</w:t>
      </w:r>
    </w:p>
    <w:p>
      <w:pPr>
        <w:spacing w:after="120"/>
      </w:pPr>
      <w:r>
        <w:rPr>
          <w:i w:val="0"/>
          <w:sz w:val="21"/>
        </w:rPr>
        <w:t>The honest root cause of why these reached you is that our automated tests exercised the OB "happy path" but never systematically checked what OTHER personas are refused, never asserted that secret fields are absent, and never checked the logged-out state. We have closed that gap permanently.</w:t>
      </w:r>
    </w:p>
    <w:p>
      <w:pPr>
        <w:spacing w:after="80"/>
      </w:pPr>
      <w:r>
        <w:rPr>
          <w:i w:val="0"/>
          <w:sz w:val="21"/>
        </w:rPr>
        <w:t>A negative-authorization matrix now runs on every change, before any deploy, both locally and in continuous integration. For each persona it asserts:</w:t>
      </w:r>
    </w:p>
    <w:p>
      <w:pPr>
        <w:pStyle w:val="ListBullet"/>
        <w:spacing w:after="40"/>
      </w:pPr>
      <w:r>
        <w:rPr>
          <w:sz w:val="21"/>
        </w:rPr>
        <w:t>the OB regains every OB-only read (this alone would have caught the audit-chain block);</w:t>
      </w:r>
    </w:p>
    <w:p>
      <w:pPr>
        <w:pStyle w:val="ListBullet"/>
        <w:spacing w:after="40"/>
      </w:pPr>
      <w:r>
        <w:rPr>
          <w:sz w:val="21"/>
        </w:rPr>
        <w:t>donors and platform administrators are refused (403) on every OB-only endpoint;</w:t>
      </w:r>
    </w:p>
    <w:p>
      <w:pPr>
        <w:pStyle w:val="ListBullet"/>
        <w:spacing w:after="40"/>
      </w:pPr>
      <w:r>
        <w:rPr>
          <w:sz w:val="21"/>
        </w:rPr>
        <w:t>no response served to a non-OB persona ever contains a report token, bank, sanctions or internal signer/audit field — checked on the response itself, not just the status code;</w:t>
      </w:r>
    </w:p>
    <w:p>
      <w:pPr>
        <w:pStyle w:val="ListBullet"/>
        <w:spacing w:after="40"/>
      </w:pPr>
      <w:r>
        <w:rPr>
          <w:sz w:val="21"/>
        </w:rPr>
        <w:t>object-level access is tested by ID, not only on list pages;</w:t>
      </w:r>
    </w:p>
    <w:p>
      <w:pPr>
        <w:pStyle w:val="ListBullet"/>
        <w:spacing w:after="40"/>
      </w:pPr>
      <w:r>
        <w:rPr>
          <w:sz w:val="21"/>
        </w:rPr>
        <w:t>an unauthenticated caller receives no data and no server error.</w:t>
      </w:r>
    </w:p>
    <w:p>
      <w:pPr>
        <w:spacing w:after="120"/>
      </w:pPr>
      <w:r>
        <w:rPr>
          <w:i w:val="0"/>
          <w:color w:val="1B7A3D"/>
          <w:sz w:val="21"/>
        </w:rPr>
        <w:t>Had this gate existed a day earlier, the donor-reaching-overview, OB-blocked-on-audit-chain and token-leak checks would all have failed loudly against the old code and never shipped. The full pre-deploy suite currently passes 62 of 62 checks, including all 26 authorization checks.</w:t>
      </w:r>
    </w:p>
    <w:p>
      <w:pPr>
        <w:spacing w:before="280" w:after="80"/>
      </w:pPr>
      <w:r>
        <w:rPr>
          <w:b/>
          <w:color w:val="1F3864"/>
          <w:sz w:val="28"/>
        </w:rPr>
        <w:t>8. Change log</w:t>
      </w:r>
    </w:p>
    <w:tbl>
      <w:tblPr>
        <w:tblW w:type="auto" w:w="0"/>
        <w:tblLayout w:type="autofit"/>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4320"/>
        <w:gridCol w:w="4320"/>
      </w:tblGrid>
      <w:tr>
        <w:tc>
          <w:tcPr>
            <w:tcW w:type="dxa" w:w="1728"/>
            <w:shd w:val="clear" w:color="auto" w:fill="1F3864"/>
          </w:tcPr>
          <w:p>
            <w:r/>
            <w:r>
              <w:rPr>
                <w:b/>
                <w:color w:val="FFFFFF"/>
                <w:sz w:val="19"/>
              </w:rPr>
              <w:t>Commit</w:t>
            </w:r>
          </w:p>
        </w:tc>
        <w:tc>
          <w:tcPr>
            <w:tcW w:type="dxa" w:w="8496"/>
            <w:shd w:val="clear" w:color="auto" w:fill="1F3864"/>
          </w:tcPr>
          <w:p>
            <w:r/>
            <w:r>
              <w:rPr>
                <w:b/>
                <w:color w:val="FFFFFF"/>
                <w:sz w:val="19"/>
              </w:rPr>
              <w:t>What</w:t>
            </w:r>
          </w:p>
        </w:tc>
      </w:tr>
      <w:tr>
        <w:tc>
          <w:tcPr>
            <w:tcW w:type="dxa" w:w="1728"/>
          </w:tcPr>
          <w:p>
            <w:r/>
            <w:r>
              <w:rPr>
                <w:sz w:val="19"/>
              </w:rPr>
              <w:t>580d66ec2</w:t>
            </w:r>
          </w:p>
        </w:tc>
        <w:tc>
          <w:tcPr>
            <w:tcW w:type="dxa" w:w="8496"/>
          </w:tcPr>
          <w:p>
            <w:r/>
            <w:r>
              <w:rPr>
                <w:sz w:val="19"/>
              </w:rPr>
              <w:t>RBAC hardening — deny-by-default OB gate, object-level checks, token strip, persona-aware front-end + AI/route scoping</w:t>
            </w:r>
          </w:p>
        </w:tc>
      </w:tr>
      <w:tr>
        <w:tc>
          <w:tcPr>
            <w:tcW w:type="dxa" w:w="1728"/>
          </w:tcPr>
          <w:p>
            <w:r/>
            <w:r>
              <w:rPr>
                <w:sz w:val="19"/>
              </w:rPr>
              <w:t>8ac7c09d9</w:t>
            </w:r>
          </w:p>
        </w:tc>
        <w:tc>
          <w:tcPr>
            <w:tcW w:type="dxa" w:w="8496"/>
          </w:tcPr>
          <w:p>
            <w:r/>
            <w:r>
              <w:rPr>
                <w:sz w:val="19"/>
              </w:rPr>
              <w:t>Tooling correction (safe database targeting for the rotation script)</w:t>
            </w:r>
          </w:p>
        </w:tc>
      </w:tr>
      <w:tr>
        <w:tc>
          <w:tcPr>
            <w:tcW w:type="dxa" w:w="1728"/>
          </w:tcPr>
          <w:p>
            <w:r/>
            <w:r>
              <w:rPr>
                <w:sz w:val="19"/>
              </w:rPr>
              <w:t>49f9c24d6</w:t>
            </w:r>
          </w:p>
        </w:tc>
        <w:tc>
          <w:tcPr>
            <w:tcW w:type="dxa" w:w="8496"/>
          </w:tcPr>
          <w:p>
            <w:r/>
            <w:r>
              <w:rPr>
                <w:sz w:val="19"/>
              </w:rPr>
              <w:t>Automated negative-authorization gate added to the pre-deploy suite</w:t>
            </w:r>
          </w:p>
        </w:tc>
      </w:tr>
    </w:tbl>
    <w:p>
      <w:pPr>
        <w:spacing w:after="120"/>
      </w:pPr>
      <w:r>
        <w:rPr>
          <w:i w:val="0"/>
          <w:sz w:val="21"/>
        </w:rPr>
      </w:r>
    </w:p>
    <w:p>
      <w:r>
        <w:rPr>
          <w:i/>
          <w:color w:val="555555"/>
          <w:sz w:val="18"/>
        </w:rPr>
        <w:t>Prepared by the engineering team. All changes are live on production build 580d66ec2f7c and independently re-verified on the live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