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Validation Response &amp; Observer Access, 18 July 2026 (evening)</w:t>
      </w:r>
    </w:p>
    <w:p>
      <w:pPr>
        <w:spacing w:after="120"/>
      </w:pPr>
      <w:r>
        <w:rPr>
          <w:rFonts w:ascii="Arial" w:cs="Arial" w:eastAsia="Arial" w:hAnsi="Arial"/>
          <w:b w:val="false"/>
          <w:bCs w:val="false"/>
          <w:color w:val="6B6B6B"/>
          <w:sz w:val="22"/>
          <w:szCs w:val="22"/>
        </w:rPr>
        <w:t xml:space="preserve">Follow-up to this morning’s redesign delivery note. The independent validation of that delivery scored the platform 8.8/10 and flagged two priority-one findings; both were fixed, verified live, and re-validated the same day (revised score 9.4/10). The one residual hardening item from re-validation was also closed, and a new read-only observer capability was added for safe leadership access to production.</w:t>
      </w:r>
    </w:p>
    <w:p>
      <w:pPr>
        <w:pStyle w:val="Heading1"/>
      </w:pPr>
      <w:r>
        <w:rPr>
          <w:rFonts w:ascii="Arial" w:cs="Arial" w:eastAsia="Arial" w:hAnsi="Arial"/>
          <w:b/>
          <w:bCs/>
          <w:color w:val="FC5810"/>
          <w:sz w:val="26"/>
          <w:szCs w:val="26"/>
        </w:rPr>
        <w:t xml:space="preserve">The two priority-one fixes</w:t>
      </w:r>
    </w:p>
    <w:p>
      <w:pPr>
        <w:pStyle w:val="ListParagraph"/>
        <w:numPr>
          <w:ilvl w:val="0"/>
          <w:numId w:val="2"/>
        </w:numPr>
        <w:spacing w:after="80"/>
      </w:pPr>
      <w:r>
        <w:rPr>
          <w:rFonts w:ascii="Arial" w:cs="Arial" w:eastAsia="Arial" w:hAnsi="Arial"/>
          <w:b/>
          <w:bCs/>
          <w:color w:val="222222"/>
          <w:sz w:val="22"/>
          <w:szCs w:val="22"/>
        </w:rPr>
        <w:t xml:space="preserve">Marketplace banner removed from Proximate. </w:t>
      </w:r>
      <w:r>
        <w:rPr>
          <w:rFonts w:ascii="Arial" w:cs="Arial" w:eastAsia="Arial" w:hAnsi="Arial"/>
          <w:color w:val="222222"/>
          <w:sz w:val="22"/>
          <w:szCs w:val="22"/>
        </w:rPr>
        <w:t xml:space="preserve">Proximate users occasionally saw a Kuja marketplace “what’s new — open grants” banner — content they cannot open. The banner is now suppressed on the Proximate tenant, and — closing the deeper hole — the backend feed itself returns an empty digest for any Proximate session, so even a direct API call cannot pull marketplace data across the tenant boundary. The Kuja marketplace keeps the banner unchanged.</w:t>
      </w:r>
    </w:p>
    <w:p>
      <w:pPr>
        <w:pStyle w:val="ListParagraph"/>
        <w:numPr>
          <w:ilvl w:val="0"/>
          <w:numId w:val="2"/>
        </w:numPr>
        <w:spacing w:after="80"/>
      </w:pPr>
      <w:r>
        <w:rPr>
          <w:rFonts w:ascii="Arial" w:cs="Arial" w:eastAsia="Arial" w:hAnsi="Arial"/>
          <w:b/>
          <w:bCs/>
          <w:color w:val="222222"/>
          <w:sz w:val="22"/>
          <w:szCs w:val="22"/>
        </w:rPr>
        <w:t xml:space="preserve">Donor report page can never show internal review copy. </w:t>
      </w:r>
      <w:r>
        <w:rPr>
          <w:rFonts w:ascii="Arial" w:cs="Arial" w:eastAsia="Arial" w:hAnsi="Arial"/>
          <w:color w:val="222222"/>
          <w:sz w:val="22"/>
          <w:szCs w:val="22"/>
        </w:rPr>
        <w:t xml:space="preserve">The review caught an internal instruction (“Everything is internal until you make it donor-visible”) appearing on a donor screen after switching accounts in the same browser. Root cause: the page trusted a cached browser notion of “who is logged in”, which can go stale across account switches. The server now tells the page directly, with each response, whether the viewer is the Proximate team or a donor — and internal copy renders only when the server says so. Verified live in the exact account-switching scenario that surfaced the bug.</w:t>
      </w:r>
    </w:p>
    <w:p>
      <w:pPr>
        <w:pStyle w:val="Heading1"/>
      </w:pPr>
      <w:r>
        <w:rPr>
          <w:rFonts w:ascii="Arial" w:cs="Arial" w:eastAsia="Arial" w:hAnsi="Arial"/>
          <w:b/>
          <w:bCs/>
          <w:color w:val="FC5810"/>
          <w:sz w:val="26"/>
          <w:szCs w:val="26"/>
        </w:rPr>
        <w:t xml:space="preserve">Also closed from the review</w:t>
      </w:r>
    </w:p>
    <w:p>
      <w:pPr>
        <w:pStyle w:val="ListParagraph"/>
        <w:numPr>
          <w:ilvl w:val="0"/>
          <w:numId w:val="2"/>
        </w:numPr>
        <w:spacing w:after="80"/>
      </w:pPr>
      <w:r>
        <w:rPr>
          <w:rFonts w:ascii="Arial" w:cs="Arial" w:eastAsia="Arial" w:hAnsi="Arial"/>
          <w:b/>
          <w:bCs/>
          <w:color w:val="222222"/>
          <w:sz w:val="22"/>
          <w:szCs w:val="22"/>
        </w:rPr>
        <w:t xml:space="preserve">Audit chain readability. </w:t>
      </w:r>
      <w:r>
        <w:rPr>
          <w:rFonts w:ascii="Arial" w:cs="Arial" w:eastAsia="Arial" w:hAnsi="Arial"/>
          <w:color w:val="222222"/>
          <w:sz w:val="22"/>
          <w:szCs w:val="22"/>
        </w:rPr>
        <w:t xml:space="preserve">Collapsed audit rows now show plain labels (“Report package #3”, “Disbursement #4”) instead of internal codes; the raw technical detail is still there when a row is expanded for verification.</w:t>
      </w:r>
    </w:p>
    <w:p>
      <w:pPr>
        <w:pStyle w:val="ListParagraph"/>
        <w:numPr>
          <w:ilvl w:val="0"/>
          <w:numId w:val="2"/>
        </w:numPr>
        <w:spacing w:after="80"/>
      </w:pPr>
      <w:r>
        <w:rPr>
          <w:rFonts w:ascii="Arial" w:cs="Arial" w:eastAsia="Arial" w:hAnsi="Arial"/>
          <w:b/>
          <w:bCs/>
          <w:color w:val="222222"/>
          <w:sz w:val="22"/>
          <w:szCs w:val="22"/>
        </w:rPr>
        <w:t xml:space="preserve">Testing got stricter. </w:t>
      </w:r>
      <w:r>
        <w:rPr>
          <w:rFonts w:ascii="Arial" w:cs="Arial" w:eastAsia="Arial" w:hAnsi="Arial"/>
          <w:color w:val="222222"/>
          <w:sz w:val="22"/>
          <w:szCs w:val="22"/>
        </w:rPr>
        <w:t xml:space="preserve">The automated release gate grew from 94 to 96 checks, including two new leak-class checks: the marketplace feed must come back empty under a Proximate session, and read-only accounts must be blocked from every change. The browser test suite now also rehearses the same-browser account-switch scenario on every run, so this class of bug cannot quietly return.</w:t>
      </w:r>
    </w:p>
    <w:p>
      <w:pPr>
        <w:pStyle w:val="ListParagraph"/>
        <w:numPr>
          <w:ilvl w:val="0"/>
          <w:numId w:val="2"/>
        </w:numPr>
        <w:spacing w:after="80"/>
      </w:pPr>
      <w:r>
        <w:rPr>
          <w:rFonts w:ascii="Arial" w:cs="Arial" w:eastAsia="Arial" w:hAnsi="Arial"/>
          <w:b/>
          <w:bCs/>
          <w:color w:val="222222"/>
          <w:sz w:val="22"/>
          <w:szCs w:val="22"/>
        </w:rPr>
        <w:t xml:space="preserve">Still tracked, not forgotten: </w:t>
      </w:r>
      <w:r>
        <w:rPr>
          <w:rFonts w:ascii="Arial" w:cs="Arial" w:eastAsia="Arial" w:hAnsi="Arial"/>
          <w:color w:val="222222"/>
          <w:sz w:val="22"/>
          <w:szCs w:val="22"/>
        </w:rPr>
        <w:t xml:space="preserve">full Arabic coverage of the newest operator screens (a dedicated wave, plus the standing native-speaker review) and WhatsApp reminders (waiting on Meta template approval).</w:t>
      </w:r>
    </w:p>
    <w:p>
      <w:pPr>
        <w:pStyle w:val="Heading1"/>
      </w:pPr>
      <w:r>
        <w:rPr>
          <w:rFonts w:ascii="Arial" w:cs="Arial" w:eastAsia="Arial" w:hAnsi="Arial"/>
          <w:b/>
          <w:bCs/>
          <w:color w:val="FC5810"/>
          <w:sz w:val="26"/>
          <w:szCs w:val="26"/>
        </w:rPr>
        <w:t xml:space="preserve">New: read-only observer access</w:t>
      </w:r>
    </w:p>
    <w:p>
      <w:pPr>
        <w:pStyle w:val="ListParagraph"/>
        <w:numPr>
          <w:ilvl w:val="0"/>
          <w:numId w:val="2"/>
        </w:numPr>
        <w:spacing w:after="80"/>
      </w:pPr>
      <w:r>
        <w:rPr>
          <w:rFonts w:ascii="Arial" w:cs="Arial" w:eastAsia="Arial" w:hAnsi="Arial"/>
          <w:b/>
          <w:bCs/>
          <w:color w:val="222222"/>
          <w:sz w:val="22"/>
          <w:szCs w:val="22"/>
        </w:rPr>
        <w:t xml:space="preserve">What it is. </w:t>
      </w:r>
      <w:r>
        <w:rPr>
          <w:rFonts w:ascii="Arial" w:cs="Arial" w:eastAsia="Arial" w:hAnsi="Arial"/>
          <w:color w:val="222222"/>
          <w:sz w:val="22"/>
          <w:szCs w:val="22"/>
        </w:rPr>
        <w:t xml:space="preserve">Accounts can now be flagged read-only at the database level: they can open every screen their role allows — across Kuja, NEAR and Proximate — but the server rejects any attempt to change anything, with a clear “this account is read-only” message. This is enforced on the server on every request, not just hidden in the interface.</w:t>
      </w:r>
    </w:p>
    <w:p>
      <w:pPr>
        <w:pStyle w:val="ListParagraph"/>
        <w:numPr>
          <w:ilvl w:val="0"/>
          <w:numId w:val="2"/>
        </w:numPr>
        <w:spacing w:after="80"/>
      </w:pPr>
      <w:r>
        <w:rPr>
          <w:rFonts w:ascii="Arial" w:cs="Arial" w:eastAsia="Arial" w:hAnsi="Arial"/>
          <w:b/>
          <w:bCs/>
          <w:color w:val="222222"/>
          <w:sz w:val="22"/>
          <w:szCs w:val="22"/>
        </w:rPr>
        <w:t xml:space="preserve">First account provisioned. </w:t>
      </w:r>
      <w:r>
        <w:rPr>
          <w:rFonts w:ascii="Arial" w:cs="Arial" w:eastAsia="Arial" w:hAnsi="Arial"/>
          <w:color w:val="222222"/>
          <w:sz w:val="22"/>
          <w:szCs w:val="22"/>
        </w:rPr>
        <w:t xml:space="preserve">A read-only observer account with full visibility (platform admin surfaces plus the Proximate console) has been set up for Idiris; credentials were shared privately. Useful for demos, board walk-throughs, and reviewing production without any risk of altering records.</w:t>
      </w:r>
    </w:p>
    <w:p>
      <w:pPr>
        <w:pStyle w:val="ListParagraph"/>
        <w:numPr>
          <w:ilvl w:val="0"/>
          <w:numId w:val="2"/>
        </w:numPr>
        <w:spacing w:after="80"/>
      </w:pPr>
      <w:r>
        <w:rPr>
          <w:rFonts w:ascii="Arial" w:cs="Arial" w:eastAsia="Arial" w:hAnsi="Arial"/>
          <w:b/>
          <w:bCs/>
          <w:color w:val="222222"/>
          <w:sz w:val="22"/>
          <w:szCs w:val="22"/>
        </w:rPr>
        <w:t xml:space="preserve">Governance note. </w:t>
      </w:r>
      <w:r>
        <w:rPr>
          <w:rFonts w:ascii="Arial" w:cs="Arial" w:eastAsia="Arial" w:hAnsi="Arial"/>
          <w:color w:val="222222"/>
          <w:sz w:val="22"/>
          <w:szCs w:val="22"/>
        </w:rPr>
        <w:t xml:space="preserve">The flag cannot be set from within the application by anyone — it is assigned only by direct database administration, and the restriction is pinned in the release gate.</w:t>
      </w:r>
    </w:p>
    <w:p>
      <w:pPr>
        <w:pStyle w:val="Heading1"/>
      </w:pPr>
      <w:r>
        <w:rPr>
          <w:rFonts w:ascii="Arial" w:cs="Arial" w:eastAsia="Arial" w:hAnsi="Arial"/>
          <w:b/>
          <w:bCs/>
          <w:color w:val="FC5810"/>
          <w:sz w:val="26"/>
          <w:szCs w:val="26"/>
        </w:rPr>
        <w:t xml:space="preserve">Verification</w:t>
      </w:r>
    </w:p>
    <w:p>
      <w:pPr>
        <w:spacing w:after="120"/>
      </w:pPr>
      <w:r>
        <w:rPr>
          <w:rFonts w:ascii="Arial" w:cs="Arial" w:eastAsia="Arial" w:hAnsi="Arial"/>
          <w:b w:val="false"/>
          <w:bCs w:val="false"/>
          <w:color w:val="222222"/>
          <w:sz w:val="22"/>
          <w:szCs w:val="22"/>
        </w:rPr>
        <w:t xml:space="preserve">Every change followed the standard pipeline: 96-check release gate green, browser-verified locally, deployed, then re-verified against live production — including 20 browser checks for the review fixes, 8 API checks for the tenant guard, and 13 checks for the read-only account (reads succeed everywhere, every change attempt is refused, login/logout unaffected). No business records were touched; the validator’s test artifacts from re-validation were left exactly as created.</w:t>
      </w:r>
    </w:p>
    <w:p>
      <w:pPr>
        <w:spacing w:before="240"/>
      </w:pPr>
      <w:r>
        <w:rPr>
          <w:rFonts w:ascii="Arial" w:cs="Arial" w:eastAsia="Arial" w:hAnsi="Arial"/>
          <w:color w:val="6B6B6B"/>
          <w:sz w:val="18"/>
          <w:szCs w:val="18"/>
        </w:rPr>
        <w:t xml:space="preserve">Production builds covered: 131044a7d (review P1s + audit labels + test hardening), e542ba716 (whats-new backend tenant guard), a9a1a8684 (read-only observer accounts) — all live and verified on production. Release gate: 96 automated checks, green. Prepared 18 July 2026 (evening). Companion to “Proximate Console Redesign Delivered” from the same day.</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2026-07-19T04:09:16.339Z</dcterms:created>
  <dcterms:modified xsi:type="dcterms:W3CDTF">2026-07-19T04:09:16.342Z</dcterms:modified>
</cp:coreProperties>
</file>

<file path=docProps/custom.xml><?xml version="1.0" encoding="utf-8"?>
<Properties xmlns="http://schemas.openxmlformats.org/officeDocument/2006/custom-properties" xmlns:vt="http://schemas.openxmlformats.org/officeDocument/2006/docPropsVTypes"/>
</file>