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</w:pPr>
      <w:r>
        <w:rPr>
          <w:rFonts w:ascii="Georgia" w:hAnsi="Georgia"/>
          <w:b/>
          <w:color w:val="C2410C"/>
          <w:sz w:val="28"/>
        </w:rPr>
        <w:t>Kuja Pricing — One-Page Summary</w:t>
      </w:r>
    </w:p>
    <w:p>
      <w:pPr>
        <w:spacing w:after="60" w:line="240" w:lineRule="auto"/>
      </w:pPr>
      <w:r>
        <w:rPr>
          <w:rFonts w:ascii="Georgia" w:hAnsi="Georgia"/>
          <w:b w:val="0"/>
          <w:i w:val="0"/>
          <w:color w:val="57534E"/>
          <w:sz w:val="15"/>
        </w:rPr>
        <w:t>For the leadership decision meeting · 9 August 2026 · a recommendation to validate in paid pilots, not a public rate card. All USD, annual, unlimited users. Detail in Kuja GTM Strategy V2.0.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val="clear" w:fill="FBEDE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C2410C"/>
                <w:sz w:val="16"/>
              </w:rPr>
              <w:t xml:space="preserve">The model in one line:  </w:t>
            </w:r>
            <w:r>
              <w:rPr>
                <w:rFonts w:ascii="Georgia" w:hAnsi="Georgia"/>
                <w:color w:val="1A1410"/>
                <w:sz w:val="16"/>
              </w:rPr>
              <w:t>Keep NGOs free. Price each product on the value it manages. Sell to whoever holds the budget. Bundle the four so each sale seeds the next. Trust is the product.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The four products — who pays, entry price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115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Product</w:t>
            </w:r>
          </w:p>
        </w:tc>
        <w:tc>
          <w:tcPr>
            <w:tcW w:type="dxa" w:w="295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What it is</w:t>
            </w:r>
          </w:p>
        </w:tc>
        <w:tc>
          <w:tcPr>
            <w:tcW w:type="dxa" w:w="2448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Who pays</w:t>
            </w:r>
          </w:p>
        </w:tc>
        <w:tc>
          <w:tcPr>
            <w:tcW w:type="dxa" w:w="151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Priced on</w:t>
            </w:r>
          </w:p>
        </w:tc>
        <w:tc>
          <w:tcPr>
            <w:tcW w:type="dxa" w:w="720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Entry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Link</w:t>
            </w:r>
          </w:p>
        </w:tc>
        <w:tc>
          <w:tcPr>
            <w:tcW w:type="dxa" w:w="29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Networking marketplace + discovery</w:t>
            </w:r>
          </w:p>
        </w:tc>
        <w:tc>
          <w:tcPr>
            <w:tcW w:type="dxa" w:w="244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Free (Trust Rating paid)</w:t>
            </w:r>
          </w:p>
        </w:tc>
        <w:tc>
          <w:tcPr>
            <w:tcW w:type="dxa" w:w="151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Free tier</w:t>
            </w:r>
          </w:p>
        </w:tc>
        <w:tc>
          <w:tcPr>
            <w:tcW w:type="dxa" w:w="72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$0</w:t>
            </w:r>
          </w:p>
        </w:tc>
      </w:tr>
      <w:tr>
        <w:tc>
          <w:tcPr>
            <w:tcW w:type="dxa" w:w="11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Trust</w:t>
            </w:r>
          </w:p>
        </w:tc>
        <w:tc>
          <w:tcPr>
            <w:tcW w:type="dxa" w:w="29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Portable Trust Passport</w:t>
            </w:r>
          </w:p>
        </w:tc>
        <w:tc>
          <w:tcPr>
            <w:tcW w:type="dxa" w:w="244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Funder / sponsor (NGO free)</w:t>
            </w:r>
          </w:p>
        </w:tc>
        <w:tc>
          <w:tcPr>
            <w:tcW w:type="dxa" w:w="151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Orgs relied on</w:t>
            </w:r>
          </w:p>
        </w:tc>
        <w:tc>
          <w:tcPr>
            <w:tcW w:type="dxa" w:w="72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$3,000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Fund</w:t>
            </w:r>
          </w:p>
        </w:tc>
        <w:tc>
          <w:tcPr>
            <w:tcW w:type="dxa" w:w="29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End-to-end grant lifecycle</w:t>
            </w:r>
          </w:p>
        </w:tc>
        <w:tc>
          <w:tcPr>
            <w:tcW w:type="dxa" w:w="244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Funder posting the grant</w:t>
            </w:r>
          </w:p>
        </w:tc>
        <w:tc>
          <w:tcPr>
            <w:tcW w:type="dxa" w:w="151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Grant volume</w:t>
            </w:r>
          </w:p>
        </w:tc>
        <w:tc>
          <w:tcPr>
            <w:tcW w:type="dxa" w:w="72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</w:t>
            </w:r>
          </w:p>
        </w:tc>
      </w:tr>
      <w:tr>
        <w:tc>
          <w:tcPr>
            <w:tcW w:type="dxa" w:w="11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Build</w:t>
            </w:r>
          </w:p>
        </w:tc>
        <w:tc>
          <w:tcPr>
            <w:tcW w:type="dxa" w:w="29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Nonprofit operating system (ERP)</w:t>
            </w:r>
          </w:p>
        </w:tc>
        <w:tc>
          <w:tcPr>
            <w:tcW w:type="dxa" w:w="244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NGO or donor-sponsored</w:t>
            </w:r>
          </w:p>
        </w:tc>
        <w:tc>
          <w:tcPr>
            <w:tcW w:type="dxa" w:w="151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Size + modules</w:t>
            </w:r>
          </w:p>
        </w:tc>
        <w:tc>
          <w:tcPr>
            <w:tcW w:type="dxa" w:w="72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Kuja Fund — by grant volume (guardrail 0.10–0.50% of grants)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58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Plan</w:t>
            </w:r>
          </w:p>
        </w:tc>
        <w:tc>
          <w:tcPr>
            <w:tcW w:type="dxa" w:w="158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Annual</w:t>
            </w:r>
          </w:p>
        </w:tc>
        <w:tc>
          <w:tcPr>
            <w:tcW w:type="dxa" w:w="4608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Fits</w:t>
            </w:r>
          </w:p>
        </w:tc>
      </w:tr>
      <w:tr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Community</w:t>
            </w:r>
          </w:p>
        </w:tc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</w:t>
            </w:r>
          </w:p>
        </w:tc>
        <w:tc>
          <w:tcPr>
            <w:tcW w:type="dxa" w:w="460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$250k · 25 partners</w:t>
            </w:r>
          </w:p>
        </w:tc>
      </w:tr>
      <w:tr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Core</w:t>
            </w:r>
          </w:p>
        </w:tc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$8,000</w:t>
            </w:r>
          </w:p>
        </w:tc>
        <w:tc>
          <w:tcPr>
            <w:tcW w:type="dxa" w:w="460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$1M · 100 partners</w:t>
            </w:r>
          </w:p>
        </w:tc>
      </w:tr>
      <w:tr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</w:t>
            </w:r>
          </w:p>
        </w:tc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$16,000</w:t>
            </w:r>
          </w:p>
        </w:tc>
        <w:tc>
          <w:tcPr>
            <w:tcW w:type="dxa" w:w="460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$5M · 300 partners</w:t>
            </w:r>
          </w:p>
        </w:tc>
      </w:tr>
      <w:tr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Portfolio</w:t>
            </w:r>
          </w:p>
        </w:tc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$32,000</w:t>
            </w:r>
          </w:p>
        </w:tc>
        <w:tc>
          <w:tcPr>
            <w:tcW w:type="dxa" w:w="460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$15M · 1,000 partners</w:t>
            </w:r>
          </w:p>
        </w:tc>
      </w:tr>
      <w:tr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</w:t>
            </w:r>
          </w:p>
        </w:tc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$60,000</w:t>
            </w:r>
          </w:p>
        </w:tc>
        <w:tc>
          <w:tcPr>
            <w:tcW w:type="dxa" w:w="460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$50M · multi-entity</w:t>
            </w:r>
          </w:p>
        </w:tc>
      </w:tr>
      <w:tr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Enterprise</w:t>
            </w:r>
          </w:p>
        </w:tc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From $100,000</w:t>
            </w:r>
          </w:p>
        </w:tc>
        <w:tc>
          <w:tcPr>
            <w:tcW w:type="dxa" w:w="460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Above; residency / SLA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Kuja Trust Passport — NGO free; funder pays to rely at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160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Plan</w:t>
            </w:r>
          </w:p>
        </w:tc>
        <w:tc>
          <w:tcPr>
            <w:tcW w:type="dxa" w:w="187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Annual</w:t>
            </w:r>
          </w:p>
        </w:tc>
        <w:tc>
          <w:tcPr>
            <w:tcW w:type="dxa" w:w="374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Portfolio</w:t>
            </w:r>
          </w:p>
        </w:tc>
      </w:tr>
      <w:tr>
        <w:tc>
          <w:tcPr>
            <w:tcW w:type="dxa" w:w="216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NGO Core</w:t>
            </w:r>
          </w:p>
        </w:tc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$0</w:t>
            </w:r>
          </w:p>
        </w:tc>
        <w:tc>
          <w:tcPr>
            <w:tcW w:type="dxa" w:w="37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Unlimited create + share</w:t>
            </w:r>
          </w:p>
        </w:tc>
      </w:tr>
      <w:tr>
        <w:tc>
          <w:tcPr>
            <w:tcW w:type="dxa" w:w="216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Org Trust Rating</w:t>
            </w:r>
          </w:p>
        </w:tc>
        <w:tc>
          <w:tcPr>
            <w:tcW w:type="dxa" w:w="187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$250–$1,500</w:t>
            </w:r>
          </w:p>
        </w:tc>
        <w:tc>
          <w:tcPr>
            <w:tcW w:type="dxa" w:w="374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Verified standing (often sponsor-funded)</w:t>
            </w:r>
          </w:p>
        </w:tc>
      </w:tr>
      <w:tr>
        <w:tc>
          <w:tcPr>
            <w:tcW w:type="dxa" w:w="216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Essentials (funder)</w:t>
            </w:r>
          </w:p>
        </w:tc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$3,000</w:t>
            </w:r>
          </w:p>
        </w:tc>
        <w:tc>
          <w:tcPr>
            <w:tcW w:type="dxa" w:w="37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100 organizations</w:t>
            </w:r>
          </w:p>
        </w:tc>
      </w:tr>
      <w:tr>
        <w:tc>
          <w:tcPr>
            <w:tcW w:type="dxa" w:w="216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 (funder)</w:t>
            </w:r>
          </w:p>
        </w:tc>
        <w:tc>
          <w:tcPr>
            <w:tcW w:type="dxa" w:w="187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$9,000</w:t>
            </w:r>
          </w:p>
        </w:tc>
        <w:tc>
          <w:tcPr>
            <w:tcW w:type="dxa" w:w="374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500 organizations</w:t>
            </w:r>
          </w:p>
        </w:tc>
      </w:tr>
      <w:tr>
        <w:tc>
          <w:tcPr>
            <w:tcW w:type="dxa" w:w="216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Portfolio / Network</w:t>
            </w:r>
          </w:p>
        </w:tc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$20,000 / $40,000</w:t>
            </w:r>
          </w:p>
        </w:tc>
        <w:tc>
          <w:tcPr>
            <w:tcW w:type="dxa" w:w="37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2,000 / 5,000 organizations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Kuja Build — in modules; under 2% of budget; a deal vs Sage/NetSuite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115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Plan</w:t>
            </w:r>
          </w:p>
        </w:tc>
        <w:tc>
          <w:tcPr>
            <w:tcW w:type="dxa" w:w="1656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Direct (F)</w:t>
            </w:r>
          </w:p>
        </w:tc>
        <w:tc>
          <w:tcPr>
            <w:tcW w:type="dxa" w:w="194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Donor-sponsored (G)</w:t>
            </w:r>
          </w:p>
        </w:tc>
        <w:tc>
          <w:tcPr>
            <w:tcW w:type="dxa" w:w="302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Modules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Starter</w:t>
            </w:r>
          </w:p>
        </w:tc>
        <w:tc>
          <w:tcPr>
            <w:tcW w:type="dxa" w:w="165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$4,000–6,000</w:t>
            </w:r>
          </w:p>
        </w:tc>
        <w:tc>
          <w:tcPr>
            <w:tcW w:type="dxa" w:w="19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From $8,000 Y1</w:t>
            </w:r>
          </w:p>
        </w:tc>
        <w:tc>
          <w:tcPr>
            <w:tcW w:type="dxa" w:w="302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Admin, governance, grants, CRM, M&amp;E</w:t>
            </w:r>
          </w:p>
        </w:tc>
      </w:tr>
      <w:tr>
        <w:tc>
          <w:tcPr>
            <w:tcW w:type="dxa" w:w="11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</w:t>
            </w:r>
          </w:p>
        </w:tc>
        <w:tc>
          <w:tcPr>
            <w:tcW w:type="dxa" w:w="1656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$10,000–16,000</w:t>
            </w:r>
          </w:p>
        </w:tc>
        <w:tc>
          <w:tcPr>
            <w:tcW w:type="dxa" w:w="194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From $16,000 Y1</w:t>
            </w:r>
          </w:p>
        </w:tc>
        <w:tc>
          <w:tcPr>
            <w:tcW w:type="dxa" w:w="302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+ finance, procurement, HR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Enterprise</w:t>
            </w:r>
          </w:p>
        </w:tc>
        <w:tc>
          <w:tcPr>
            <w:tcW w:type="dxa" w:w="165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$24,000–40,000</w:t>
            </w:r>
          </w:p>
        </w:tc>
        <w:tc>
          <w:tcPr>
            <w:tcW w:type="dxa" w:w="19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Scoped</w:t>
            </w:r>
          </w:p>
        </w:tc>
        <w:tc>
          <w:tcPr>
            <w:tcW w:type="dxa" w:w="302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Full stack, multi-entity, payroll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The Suite — Fund + Trust bundled, 7–15% 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440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Suite</w:t>
            </w:r>
          </w:p>
        </w:tc>
        <w:tc>
          <w:tcPr>
            <w:tcW w:type="dxa" w:w="302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Fund + Trust</w:t>
            </w:r>
          </w:p>
        </w:tc>
        <w:tc>
          <w:tcPr>
            <w:tcW w:type="dxa" w:w="331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Suite price (vs standalone)</w:t>
            </w:r>
          </w:p>
        </w:tc>
      </w:tr>
      <w:tr>
        <w:tc>
          <w:tcPr>
            <w:tcW w:type="dxa" w:w="144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Community</w:t>
            </w:r>
          </w:p>
        </w:tc>
        <w:tc>
          <w:tcPr>
            <w:tcW w:type="dxa" w:w="302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Community + Essentials</w:t>
            </w:r>
          </w:p>
        </w:tc>
        <w:tc>
          <w:tcPr>
            <w:tcW w:type="dxa" w:w="331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$6,500 (vs $7,000)</w:t>
            </w:r>
          </w:p>
        </w:tc>
      </w:tr>
      <w:tr>
        <w:tc>
          <w:tcPr>
            <w:tcW w:type="dxa" w:w="144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Core</w:t>
            </w:r>
          </w:p>
        </w:tc>
        <w:tc>
          <w:tcPr>
            <w:tcW w:type="dxa" w:w="302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Core + Growth</w:t>
            </w:r>
          </w:p>
        </w:tc>
        <w:tc>
          <w:tcPr>
            <w:tcW w:type="dxa" w:w="331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$15,000 (vs $17,000)</w:t>
            </w:r>
          </w:p>
        </w:tc>
      </w:tr>
      <w:tr>
        <w:tc>
          <w:tcPr>
            <w:tcW w:type="dxa" w:w="144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</w:t>
            </w:r>
          </w:p>
        </w:tc>
        <w:tc>
          <w:tcPr>
            <w:tcW w:type="dxa" w:w="302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 + Portfolio</w:t>
            </w:r>
          </w:p>
        </w:tc>
        <w:tc>
          <w:tcPr>
            <w:tcW w:type="dxa" w:w="331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$31,000 (vs $36,000)</w:t>
            </w:r>
          </w:p>
        </w:tc>
      </w:tr>
      <w:tr>
        <w:tc>
          <w:tcPr>
            <w:tcW w:type="dxa" w:w="144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</w:t>
            </w:r>
          </w:p>
        </w:tc>
        <w:tc>
          <w:tcPr>
            <w:tcW w:type="dxa" w:w="302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 + Network</w:t>
            </w:r>
          </w:p>
        </w:tc>
        <w:tc>
          <w:tcPr>
            <w:tcW w:type="dxa" w:w="331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$85,000 (vs $100,000)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The rules (non-negotiable)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NGOs never pay to apply, report, or hold a core passport — the funder pays. No % of disbursements.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Donor-paid price is always higher than the same org buying directly.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No org pays &gt;~2% of budget for software; Build reads as a deal vs buying multiple systems.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Discounts governed: bundle 7–15%, term 7–12%, localization 25% (≤$5M, donor-underwritten), 30% cap.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No free live-production pilots — paid pilots only, fully credited to Year 1 on timely conversion.</w:t>
      </w:r>
    </w:p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Decisions for leadership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Approve NGO core access as permanently free, and the tiers above as pilot recommendations (not public).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Confirm 2026 = pilot every motion / 2027 = convert; 2026 revenue = Motion G only (2–3 donors × ~5 grantees).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Reconcile Kuja Build pricing against James’s NEAR RFP costing before any external Build quote.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Hold public rate-card publication until 8–12 buyer interviews and 3 paid pilots across 2 segments close.</w:t>
      </w:r>
    </w:p>
    <w:p>
      <w:pPr>
        <w:spacing w:after="40" w:before="40" w:line="240" w:lineRule="auto"/>
      </w:pPr>
      <w:r>
        <w:rPr>
          <w:rFonts w:ascii="Georgia" w:hAnsi="Georgia"/>
          <w:b w:val="0"/>
          <w:i w:val="0"/>
          <w:color w:val="57534E"/>
          <w:sz w:val="14"/>
        </w:rPr>
        <w:t>Anchored to Plinth (£2.5k/£7.5k/£15k), Foundant GLM ($6.5k/$9.9k/$13.9k), NGOsource (donor-paid reuse), OpenSanctions (~€0.10/query). Figures are recommendations to test, not proof of willingness to pay.</w:t>
      </w:r>
    </w:p>
    <w:sectPr w:rsidR="00FC693F" w:rsidRPr="0006063C" w:rsidSect="00034616">
      <w:pgSz w:w="12240" w:h="15840"/>
      <w:pgMar w:top="605" w:right="792" w:bottom="547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Georgia" w:hAnsi="Georgia"/>
      <w:color w:val="1A141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