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
      </w:pPr>
      <w:r>
        <w:rPr>
          <w:rFonts w:ascii="Arial" w:cs="Arial" w:eastAsia="Arial" w:hAnsi="Arial"/>
          <w:b/>
          <w:bCs/>
          <w:color w:val="0E8A7B"/>
          <w:sz w:val="20"/>
          <w:szCs w:val="20"/>
        </w:rPr>
        <w:t xml:space="preserve">KUJA PLATFORM · SAXANSAXO TENANT</w:t>
      </w:r>
    </w:p>
    <w:p>
      <w:pPr>
        <w:spacing w:after="120"/>
      </w:pPr>
      <w:r>
        <w:rPr>
          <w:rFonts w:ascii="Arial" w:cs="Arial" w:eastAsia="Arial" w:hAnsi="Arial"/>
          <w:b/>
          <w:bCs/>
          <w:color w:val="1A1410"/>
          <w:sz w:val="40"/>
          <w:szCs w:val="40"/>
        </w:rPr>
        <w:t xml:space="preserve">Domain Setup — DNS Instructions for IT</w:t>
      </w:r>
    </w:p>
    <w:p>
      <w:pPr>
        <w:spacing w:after="80" w:before="80"/>
      </w:pPr>
      <w:r>
        <w:rPr>
          <w:rFonts w:ascii="Arial" w:cs="Arial" w:eastAsia="Arial" w:hAnsi="Arial"/>
          <w:color w:val="6B655F"/>
          <w:sz w:val="22"/>
          <w:szCs w:val="22"/>
        </w:rPr>
        <w:t xml:space="preserve">July 2026 · Two production domains for the Saxansaxo system: saxansaxo.kuja.org (primary) and sclr.kuja.org (companion — SCLR is the methodology name). Both point at the same application; the app already recognizes both.</w:t>
      </w:r>
    </w:p>
    <w:p>
      <w:pPr>
        <w:pStyle w:val="Heading1"/>
        <w:spacing w:after="120" w:before="300"/>
      </w:pPr>
      <w:r>
        <w:rPr>
          <w:rFonts w:ascii="Arial" w:cs="Arial" w:eastAsia="Arial" w:hAnsi="Arial"/>
          <w:b/>
          <w:bCs/>
          <w:color w:val="7C2D12"/>
          <w:sz w:val="28"/>
          <w:szCs w:val="28"/>
        </w:rPr>
        <w:t xml:space="preserve">The picture in one paragraph</w:t>
      </w:r>
    </w:p>
    <w:p>
      <w:pPr>
        <w:spacing w:after="80" w:before="80"/>
      </w:pPr>
      <w:r>
        <w:rPr>
          <w:rFonts w:ascii="Arial" w:cs="Arial" w:eastAsia="Arial" w:hAnsi="Arial"/>
          <w:color w:val="1A1410"/>
          <w:sz w:val="21"/>
          <w:szCs w:val="21"/>
        </w:rPr>
        <w:t xml:space="preserve">The application is hosted on Railway. Giving it a custom domain is a two-step handshake: first the domain is registered on the Railway service (dashboard, ~5 minutes — this generates the exact DNS values), then IT creates two DNS records per domain at the kuja.org DNS host. Railway verifies the records and issues the HTTPS certificate automatically, usually within minutes. We did exactly this for proximate.kuja.org — this document bakes in the two traps we hit that time so we do not lose four days again.</w:t>
      </w:r>
    </w:p>
    <w:p>
      <w:pPr>
        <w:pStyle w:val="Heading1"/>
        <w:spacing w:after="120" w:before="300"/>
      </w:pPr>
      <w:r>
        <w:rPr>
          <w:rFonts w:ascii="Arial" w:cs="Arial" w:eastAsia="Arial" w:hAnsi="Arial"/>
          <w:b/>
          <w:bCs/>
          <w:color w:val="7C2D12"/>
          <w:sz w:val="28"/>
          <w:szCs w:val="28"/>
        </w:rPr>
        <w:t xml:space="preserve">Current status — 21 July 2026</w:t>
      </w:r>
    </w:p>
    <w:p>
      <w:pPr>
        <w:pStyle w:val="ListParagraph"/>
        <w:numPr>
          <w:ilvl w:val="0"/>
          <w:numId w:val="2"/>
        </w:numPr>
        <w:spacing w:after="40" w:before="40"/>
      </w:pPr>
      <w:r>
        <w:rPr>
          <w:rFonts w:ascii="Arial" w:cs="Arial" w:eastAsia="Arial" w:hAnsi="Arial"/>
          <w:b/>
          <w:bCs/>
          <w:color w:val="1A1410"/>
          <w:sz w:val="21"/>
          <w:szCs w:val="21"/>
        </w:rPr>
        <w:t xml:space="preserve">DONE — application side: </w:t>
      </w:r>
      <w:r>
        <w:rPr>
          <w:rFonts w:ascii="Arial" w:cs="Arial" w:eastAsia="Arial" w:hAnsi="Arial"/>
          <w:color w:val="1A1410"/>
          <w:sz w:val="21"/>
          <w:szCs w:val="21"/>
        </w:rPr>
        <w:t xml:space="preserve">the platform resolves both saxansaxo.kuja.org and sclr.kuja.org to the Saxansaxo tenant (shipped and covered by an automated test on every deploy).</w:t>
      </w:r>
    </w:p>
    <w:p>
      <w:pPr>
        <w:pStyle w:val="ListParagraph"/>
        <w:numPr>
          <w:ilvl w:val="0"/>
          <w:numId w:val="2"/>
        </w:numPr>
        <w:spacing w:after="40" w:before="40"/>
      </w:pPr>
      <w:r>
        <w:rPr>
          <w:rFonts w:ascii="Arial" w:cs="Arial" w:eastAsia="Arial" w:hAnsi="Arial"/>
          <w:b/>
          <w:bCs/>
          <w:color w:val="1A1410"/>
          <w:sz w:val="21"/>
          <w:szCs w:val="21"/>
        </w:rPr>
        <w:t xml:space="preserve">DONE — Railway registration: </w:t>
      </w:r>
      <w:r>
        <w:rPr>
          <w:rFonts w:ascii="Arial" w:cs="Arial" w:eastAsia="Arial" w:hAnsi="Arial"/>
          <w:color w:val="1A1410"/>
          <w:sz w:val="21"/>
          <w:szCs w:val="21"/>
        </w:rPr>
        <w:t xml:space="preserve">both domains are registered on the web service. The exact DNS values are in the table below — nothing left to look up.</w:t>
      </w:r>
    </w:p>
    <w:p>
      <w:pPr>
        <w:pStyle w:val="ListParagraph"/>
        <w:numPr>
          <w:ilvl w:val="0"/>
          <w:numId w:val="2"/>
        </w:numPr>
        <w:spacing w:after="40" w:before="40"/>
      </w:pPr>
      <w:r>
        <w:rPr>
          <w:rFonts w:ascii="Arial" w:cs="Arial" w:eastAsia="Arial" w:hAnsi="Arial"/>
          <w:b/>
          <w:bCs/>
          <w:color w:val="1A1410"/>
          <w:sz w:val="21"/>
          <w:szCs w:val="21"/>
        </w:rPr>
        <w:t xml:space="preserve">REMAINING — IT: </w:t>
      </w:r>
      <w:r>
        <w:rPr>
          <w:rFonts w:ascii="Arial" w:cs="Arial" w:eastAsia="Arial" w:hAnsi="Arial"/>
          <w:color w:val="1A1410"/>
          <w:sz w:val="21"/>
          <w:szCs w:val="21"/>
        </w:rPr>
        <w:t xml:space="preserve">create the four DNS records below at the kuja.org DNS host. Railway then verifies and issues certificates automatically.</w:t>
      </w:r>
    </w:p>
    <w:p>
      <w:pPr>
        <w:pStyle w:val="ListParagraph"/>
        <w:numPr>
          <w:ilvl w:val="0"/>
          <w:numId w:val="2"/>
        </w:numPr>
        <w:spacing w:after="40" w:before="40"/>
      </w:pPr>
      <w:r>
        <w:rPr>
          <w:rFonts w:ascii="Arial" w:cs="Arial" w:eastAsia="Arial" w:hAnsi="Arial"/>
          <w:b/>
          <w:bCs/>
          <w:color w:val="1A1410"/>
          <w:sz w:val="21"/>
          <w:szCs w:val="21"/>
        </w:rPr>
        <w:t xml:space="preserve">Until then: </w:t>
      </w:r>
      <w:r>
        <w:rPr>
          <w:rFonts w:ascii="Arial" w:cs="Arial" w:eastAsia="Arial" w:hAnsi="Arial"/>
          <w:color w:val="1A1410"/>
          <w:sz w:val="21"/>
          <w:szCs w:val="21"/>
        </w:rPr>
        <w:t xml:space="preserve">the Saxansaxo console stays reachable at the temporary address (Railway URL + ?network=saxansaxo).</w:t>
      </w:r>
    </w:p>
    <w:p>
      <w:pPr>
        <w:pStyle w:val="Heading1"/>
        <w:spacing w:after="120" w:before="300"/>
      </w:pPr>
      <w:r>
        <w:rPr>
          <w:rFonts w:ascii="Arial" w:cs="Arial" w:eastAsia="Arial" w:hAnsi="Arial"/>
          <w:b/>
          <w:bCs/>
          <w:color w:val="7C2D12"/>
          <w:sz w:val="28"/>
          <w:szCs w:val="28"/>
        </w:rPr>
        <w:t xml:space="preserve">The DNS records to create (IT, at the kuja.org DNS host)</w:t>
      </w:r>
    </w:p>
    <w:p>
      <w:pPr>
        <w:spacing w:after="80" w:before="80"/>
      </w:pPr>
      <w:r>
        <w:rPr>
          <w:rFonts w:ascii="Arial" w:cs="Arial" w:eastAsia="Arial" w:hAnsi="Arial"/>
          <w:color w:val="1A1410"/>
          <w:sz w:val="21"/>
          <w:szCs w:val="21"/>
        </w:rPr>
        <w:t xml:space="preserve">These are the exact, final values — minted by Railway on 21 July 2026. Create all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4760"/>
        <w:gridCol w:w="1000"/>
      </w:tblGrid>
      <w:tr>
        <w:trPr>
          <w:tblHeader/>
        </w:trPr>
        <w:tc>
          <w:tcPr>
            <w:tcW w:type="dxa" w:w="900"/>
            <w:tcBorders>
              <w:top w:val="single" w:color="CCCCCC" w:sz="1"/>
              <w:left w:val="single" w:color="CCCCCC" w:sz="1"/>
              <w:bottom w:val="single" w:color="CCCCCC" w:sz="1"/>
              <w:right w:val="single" w:color="CCCCCC" w:sz="1"/>
            </w:tcBorders>
            <w:shd w:fill="F4E8DC" w:val="clear"/>
            <w:tcMar>
              <w:top w:type="dxa" w:w="60"/>
              <w:left w:type="dxa" w:w="100"/>
              <w:bottom w:type="dxa" w:w="60"/>
              <w:right w:type="dxa" w:w="100"/>
            </w:tcMar>
          </w:tcPr>
          <w:p>
            <w:pPr>
              <w:spacing w:after="20" w:before="20"/>
            </w:pPr>
            <w:r>
              <w:rPr>
                <w:rFonts w:ascii="Arial" w:cs="Arial" w:eastAsia="Arial" w:hAnsi="Arial"/>
                <w:b/>
                <w:bCs/>
                <w:color w:val="1A1410"/>
                <w:sz w:val="19"/>
                <w:szCs w:val="19"/>
              </w:rPr>
              <w:t xml:space="preserve">Type</w:t>
            </w:r>
          </w:p>
        </w:tc>
        <w:tc>
          <w:tcPr>
            <w:tcW w:type="dxa" w:w="2700"/>
            <w:tcBorders>
              <w:top w:val="single" w:color="CCCCCC" w:sz="1"/>
              <w:left w:val="single" w:color="CCCCCC" w:sz="1"/>
              <w:bottom w:val="single" w:color="CCCCCC" w:sz="1"/>
              <w:right w:val="single" w:color="CCCCCC" w:sz="1"/>
            </w:tcBorders>
            <w:shd w:fill="F4E8DC" w:val="clear"/>
            <w:tcMar>
              <w:top w:type="dxa" w:w="60"/>
              <w:left w:type="dxa" w:w="100"/>
              <w:bottom w:type="dxa" w:w="60"/>
              <w:right w:type="dxa" w:w="100"/>
            </w:tcMar>
          </w:tcPr>
          <w:p>
            <w:pPr>
              <w:spacing w:after="20" w:before="20"/>
            </w:pPr>
            <w:r>
              <w:rPr>
                <w:rFonts w:ascii="Arial" w:cs="Arial" w:eastAsia="Arial" w:hAnsi="Arial"/>
                <w:b/>
                <w:bCs/>
                <w:color w:val="1A1410"/>
                <w:sz w:val="19"/>
                <w:szCs w:val="19"/>
              </w:rPr>
              <w:t xml:space="preserve">Name / Host</w:t>
            </w:r>
          </w:p>
        </w:tc>
        <w:tc>
          <w:tcPr>
            <w:tcW w:type="dxa" w:w="4760"/>
            <w:tcBorders>
              <w:top w:val="single" w:color="CCCCCC" w:sz="1"/>
              <w:left w:val="single" w:color="CCCCCC" w:sz="1"/>
              <w:bottom w:val="single" w:color="CCCCCC" w:sz="1"/>
              <w:right w:val="single" w:color="CCCCCC" w:sz="1"/>
            </w:tcBorders>
            <w:shd w:fill="F4E8DC" w:val="clear"/>
            <w:tcMar>
              <w:top w:type="dxa" w:w="60"/>
              <w:left w:type="dxa" w:w="100"/>
              <w:bottom w:type="dxa" w:w="60"/>
              <w:right w:type="dxa" w:w="100"/>
            </w:tcMar>
          </w:tcPr>
          <w:p>
            <w:pPr>
              <w:spacing w:after="20" w:before="20"/>
            </w:pPr>
            <w:r>
              <w:rPr>
                <w:rFonts w:ascii="Arial" w:cs="Arial" w:eastAsia="Arial" w:hAnsi="Arial"/>
                <w:b/>
                <w:bCs/>
                <w:color w:val="1A1410"/>
                <w:sz w:val="19"/>
                <w:szCs w:val="19"/>
              </w:rPr>
              <w:t xml:space="preserve">Value</w:t>
            </w:r>
          </w:p>
        </w:tc>
        <w:tc>
          <w:tcPr>
            <w:tcW w:type="dxa" w:w="1000"/>
            <w:tcBorders>
              <w:top w:val="single" w:color="CCCCCC" w:sz="1"/>
              <w:left w:val="single" w:color="CCCCCC" w:sz="1"/>
              <w:bottom w:val="single" w:color="CCCCCC" w:sz="1"/>
              <w:right w:val="single" w:color="CCCCCC" w:sz="1"/>
            </w:tcBorders>
            <w:shd w:fill="F4E8DC" w:val="clear"/>
            <w:tcMar>
              <w:top w:type="dxa" w:w="60"/>
              <w:left w:type="dxa" w:w="100"/>
              <w:bottom w:type="dxa" w:w="60"/>
              <w:right w:type="dxa" w:w="100"/>
            </w:tcMar>
          </w:tcPr>
          <w:p>
            <w:pPr>
              <w:spacing w:after="20" w:before="20"/>
            </w:pPr>
            <w:r>
              <w:rPr>
                <w:rFonts w:ascii="Arial" w:cs="Arial" w:eastAsia="Arial" w:hAnsi="Arial"/>
                <w:b/>
                <w:bCs/>
                <w:color w:val="1A1410"/>
                <w:sz w:val="19"/>
                <w:szCs w:val="19"/>
              </w:rPr>
              <w:t xml:space="preserve">TTL</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color w:val="1A1410"/>
                <w:sz w:val="19"/>
                <w:szCs w:val="19"/>
              </w:rPr>
              <w:t xml:space="preserve">CNAME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color w:val="1A1410"/>
                <w:sz w:val="19"/>
                <w:szCs w:val="19"/>
              </w:rPr>
              <w:t xml:space="preserve">saxansaxo</w:t>
            </w:r>
          </w:p>
        </w:tc>
        <w:tc>
          <w:tcPr>
            <w:tcW w:type="dxa" w:w="4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color w:val="1A1410"/>
                <w:sz w:val="19"/>
                <w:szCs w:val="19"/>
              </w:rPr>
              <w:t xml:space="preserve">hot7641h.up.railway.app</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color w:val="1A1410"/>
                <w:sz w:val="19"/>
                <w:szCs w:val="19"/>
              </w:rPr>
              <w:t xml:space="preserve">300</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color w:val="1A1410"/>
                <w:sz w:val="19"/>
                <w:szCs w:val="19"/>
              </w:rPr>
              <w:t xml:space="preserve">TXT</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color w:val="1A1410"/>
                <w:sz w:val="19"/>
                <w:szCs w:val="19"/>
              </w:rPr>
              <w:t xml:space="preserve">_railway-verify.saxansaxo</w:t>
            </w:r>
          </w:p>
        </w:tc>
        <w:tc>
          <w:tcPr>
            <w:tcW w:type="dxa" w:w="4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color w:val="1A1410"/>
                <w:sz w:val="19"/>
                <w:szCs w:val="19"/>
              </w:rPr>
              <w:t xml:space="preserve">railway-verify=659b2528c662a41d2515d47ef4f545d1847232b4c6de850827fc1cd4a34d41f2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color w:val="1A1410"/>
                <w:sz w:val="19"/>
                <w:szCs w:val="19"/>
              </w:rPr>
              <w:t xml:space="preserve">300</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color w:val="1A1410"/>
                <w:sz w:val="19"/>
                <w:szCs w:val="19"/>
              </w:rPr>
              <w:t xml:space="preserve">CNAME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color w:val="1A1410"/>
                <w:sz w:val="19"/>
                <w:szCs w:val="19"/>
              </w:rPr>
              <w:t xml:space="preserve">sclr</w:t>
            </w:r>
          </w:p>
        </w:tc>
        <w:tc>
          <w:tcPr>
            <w:tcW w:type="dxa" w:w="4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color w:val="1A1410"/>
                <w:sz w:val="19"/>
                <w:szCs w:val="19"/>
              </w:rPr>
              <w:t xml:space="preserve">kqabm7uk.up.railway.app</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color w:val="1A1410"/>
                <w:sz w:val="19"/>
                <w:szCs w:val="19"/>
              </w:rPr>
              <w:t xml:space="preserve">300</w:t>
            </w:r>
          </w:p>
        </w:tc>
      </w:tr>
      <w:tr>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b/>
                <w:bCs/>
                <w:color w:val="1A1410"/>
                <w:sz w:val="19"/>
                <w:szCs w:val="19"/>
              </w:rPr>
              <w:t xml:space="preserve">TXT</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color w:val="1A1410"/>
                <w:sz w:val="19"/>
                <w:szCs w:val="19"/>
              </w:rPr>
              <w:t xml:space="preserve">_railway-verify.sclr</w:t>
            </w:r>
          </w:p>
        </w:tc>
        <w:tc>
          <w:tcPr>
            <w:tcW w:type="dxa" w:w="4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Consolas" w:cs="Consolas" w:eastAsia="Consolas" w:hAnsi="Consolas"/>
                <w:color w:val="1A1410"/>
                <w:sz w:val="19"/>
                <w:szCs w:val="19"/>
              </w:rPr>
              <w:t xml:space="preserve">railway-verify=12f9e13c517109d5f91125d5ff69853bfa0cb7542ce4caa2ad21bdafc16a1d4c</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20" w:before="20"/>
            </w:pPr>
            <w:r>
              <w:rPr>
                <w:rFonts w:ascii="Arial" w:cs="Arial" w:eastAsia="Arial" w:hAnsi="Arial"/>
                <w:color w:val="1A1410"/>
                <w:sz w:val="19"/>
                <w:szCs w:val="19"/>
              </w:rPr>
              <w:t xml:space="preserve">300</w:t>
            </w:r>
          </w:p>
        </w:tc>
      </w:tr>
    </w:tbl>
    <w:p>
      <w:pPr>
        <w:spacing w:after="80" w:before="160"/>
      </w:pPr>
      <w:r>
        <w:rPr>
          <w:rFonts w:ascii="Arial" w:cs="Arial" w:eastAsia="Arial" w:hAnsi="Arial"/>
          <w:b/>
          <w:bCs/>
          <w:color w:val="92400E"/>
          <w:sz w:val="21"/>
          <w:szCs w:val="21"/>
        </w:rPr>
        <w:t xml:space="preserve">The two traps that cost us four days on proximate.kuja.org — please read:</w:t>
      </w:r>
    </w:p>
    <w:p>
      <w:pPr>
        <w:pStyle w:val="ListParagraph"/>
        <w:numPr>
          <w:ilvl w:val="0"/>
          <w:numId w:val="2"/>
        </w:numPr>
        <w:spacing w:after="40" w:before="40"/>
      </w:pPr>
      <w:r>
        <w:rPr>
          <w:rFonts w:ascii="Arial" w:cs="Arial" w:eastAsia="Arial" w:hAnsi="Arial"/>
          <w:b/>
          <w:bCs/>
          <w:color w:val="92400E"/>
          <w:sz w:val="21"/>
          <w:szCs w:val="21"/>
        </w:rPr>
        <w:t xml:space="preserve">Trap 1 — the doubled prefix (now explained!). </w:t>
      </w:r>
      <w:r>
        <w:rPr>
          <w:rFonts w:ascii="Arial" w:cs="Arial" w:eastAsia="Arial" w:hAnsi="Arial"/>
          <w:color w:val="1A1410"/>
          <w:sz w:val="21"/>
          <w:szCs w:val="21"/>
        </w:rPr>
        <w:t xml:space="preserve">Railway’s own CLI displays the TXT value with "railway-verify=" printed TWICE — that display bug is exactly what caused last time’s four-day outage. The correct record value has the prefix ONCE, as printed in the table above (railway-verify=&lt;64 hex characters&gt;). After saving, read the record back: it must contain "railway-verify=" exactly once.</w:t>
      </w:r>
    </w:p>
    <w:p>
      <w:pPr>
        <w:pStyle w:val="ListParagraph"/>
        <w:numPr>
          <w:ilvl w:val="0"/>
          <w:numId w:val="2"/>
        </w:numPr>
        <w:spacing w:after="40" w:before="40"/>
      </w:pPr>
      <w:r>
        <w:rPr>
          <w:rFonts w:ascii="Arial" w:cs="Arial" w:eastAsia="Arial" w:hAnsi="Arial"/>
          <w:b/>
          <w:bCs/>
          <w:color w:val="92400E"/>
          <w:sz w:val="21"/>
          <w:szCs w:val="21"/>
        </w:rPr>
        <w:t xml:space="preserve">Trap 2 — proxied CNAME. </w:t>
      </w:r>
      <w:r>
        <w:rPr>
          <w:rFonts w:ascii="Arial" w:cs="Arial" w:eastAsia="Arial" w:hAnsi="Arial"/>
          <w:color w:val="1A1410"/>
          <w:sz w:val="21"/>
          <w:szCs w:val="21"/>
        </w:rPr>
        <w:t xml:space="preserve">If the DNS host is Cloudflare (or similar), the CNAME records must be DNS-only (grey cloud), NOT proxied. Railway has to see the CNAME directly to issue the certificate.</w:t>
      </w:r>
    </w:p>
    <w:p>
      <w:pPr>
        <w:pStyle w:val="ListParagraph"/>
        <w:numPr>
          <w:ilvl w:val="0"/>
          <w:numId w:val="2"/>
        </w:numPr>
        <w:spacing w:after="40" w:before="40"/>
      </w:pPr>
      <w:r>
        <w:rPr>
          <w:rFonts w:ascii="Arial" w:cs="Arial" w:eastAsia="Arial" w:hAnsi="Arial"/>
          <w:b/>
          <w:bCs/>
          <w:color w:val="1A1410"/>
          <w:sz w:val="21"/>
          <w:szCs w:val="21"/>
        </w:rPr>
        <w:t xml:space="preserve">Do not touch </w:t>
      </w:r>
      <w:r>
        <w:rPr>
          <w:rFonts w:ascii="Arial" w:cs="Arial" w:eastAsia="Arial" w:hAnsi="Arial"/>
          <w:color w:val="1A1410"/>
          <w:sz w:val="21"/>
          <w:szCs w:val="21"/>
        </w:rPr>
        <w:t xml:space="preserve">the existing proximate / near records, and do not create any A records for these names.</w:t>
      </w:r>
    </w:p>
    <w:p>
      <w:pPr>
        <w:pStyle w:val="Heading1"/>
        <w:spacing w:after="120" w:before="300"/>
      </w:pPr>
      <w:r>
        <w:rPr>
          <w:rFonts w:ascii="Arial" w:cs="Arial" w:eastAsia="Arial" w:hAnsi="Arial"/>
          <w:b/>
          <w:bCs/>
          <w:color w:val="7C2D12"/>
          <w:sz w:val="28"/>
          <w:szCs w:val="28"/>
        </w:rPr>
        <w:t xml:space="preserve">Step C — Verify (IT + Idiris)</w:t>
      </w:r>
    </w:p>
    <w:p>
      <w:pPr>
        <w:pStyle w:val="ListParagraph"/>
        <w:numPr>
          <w:ilvl w:val="0"/>
          <w:numId w:val="3"/>
        </w:numPr>
        <w:spacing w:after="50" w:before="50"/>
      </w:pPr>
      <w:r>
        <w:rPr>
          <w:rFonts w:ascii="Arial" w:cs="Arial" w:eastAsia="Arial" w:hAnsi="Arial"/>
          <w:color w:val="1A1410"/>
          <w:sz w:val="21"/>
          <w:szCs w:val="21"/>
        </w:rPr>
        <w:t xml:space="preserve">IT sanity checks (any terminal): </w:t>
      </w:r>
      <w:r>
        <w:rPr>
          <w:rFonts w:ascii="Arial" w:cs="Arial" w:eastAsia="Arial" w:hAnsi="Arial"/>
          <w:b/>
          <w:bCs/>
          <w:color w:val="1A1410"/>
          <w:sz w:val="21"/>
          <w:szCs w:val="21"/>
        </w:rPr>
        <w:t xml:space="preserve">nslookup -type=CNAME saxansaxo.kuja.org</w:t>
      </w:r>
      <w:r>
        <w:rPr>
          <w:rFonts w:ascii="Arial" w:cs="Arial" w:eastAsia="Arial" w:hAnsi="Arial"/>
          <w:color w:val="1A1410"/>
          <w:sz w:val="21"/>
          <w:szCs w:val="21"/>
        </w:rPr>
        <w:t xml:space="preserve">  and  </w:t>
      </w:r>
      <w:r>
        <w:rPr>
          <w:rFonts w:ascii="Arial" w:cs="Arial" w:eastAsia="Arial" w:hAnsi="Arial"/>
          <w:b/>
          <w:bCs/>
          <w:color w:val="1A1410"/>
          <w:sz w:val="21"/>
          <w:szCs w:val="21"/>
        </w:rPr>
        <w:t xml:space="preserve">nslookup -type=TXT _railway-verify.saxansaxo.kuja.org</w:t>
      </w:r>
      <w:r>
        <w:rPr>
          <w:rFonts w:ascii="Arial" w:cs="Arial" w:eastAsia="Arial" w:hAnsi="Arial"/>
          <w:color w:val="1A1410"/>
          <w:sz w:val="21"/>
          <w:szCs w:val="21"/>
        </w:rPr>
        <w:t xml:space="preserve"> (repeat for sclr). Confirm the values match Step A exactly.</w:t>
      </w:r>
    </w:p>
    <w:p>
      <w:pPr>
        <w:pStyle w:val="ListParagraph"/>
        <w:numPr>
          <w:ilvl w:val="0"/>
          <w:numId w:val="3"/>
        </w:numPr>
        <w:spacing w:after="50" w:before="50"/>
      </w:pPr>
      <w:r>
        <w:rPr>
          <w:rFonts w:ascii="Arial" w:cs="Arial" w:eastAsia="Arial" w:hAnsi="Arial"/>
          <w:color w:val="1A1410"/>
          <w:sz w:val="21"/>
          <w:szCs w:val="21"/>
        </w:rPr>
        <w:t xml:space="preserve">Railway dashboard: each domain should move to verified with the certificate issued — typically under 5 minutes once DNS propagates.</w:t>
      </w:r>
    </w:p>
    <w:p>
      <w:pPr>
        <w:pStyle w:val="ListParagraph"/>
        <w:numPr>
          <w:ilvl w:val="0"/>
          <w:numId w:val="3"/>
        </w:numPr>
        <w:spacing w:after="50" w:before="50"/>
      </w:pPr>
      <w:r>
        <w:rPr>
          <w:rFonts w:ascii="Arial" w:cs="Arial" w:eastAsia="Arial" w:hAnsi="Arial"/>
          <w:b/>
          <w:bCs/>
          <w:color w:val="1A1410"/>
          <w:sz w:val="21"/>
          <w:szCs w:val="21"/>
        </w:rPr>
        <w:t xml:space="preserve">If Railway sits on "Waiting for DNS update" for more than ~30 minutes </w:t>
      </w:r>
      <w:r>
        <w:rPr>
          <w:rFonts w:ascii="Arial" w:cs="Arial" w:eastAsia="Arial" w:hAnsi="Arial"/>
          <w:color w:val="1A1410"/>
          <w:sz w:val="21"/>
          <w:szCs w:val="21"/>
        </w:rPr>
        <w:t xml:space="preserve">even though nslookup shows correct records: this is a known Railway quirk — its verification state gets stuck. The fix that worked for proximate.kuja.org: in Railway, DELETE the domain entry and immediately RE-ADD the same domain. Verification then completes in seconds with the same DNS records (no DNS change needed).</w:t>
      </w:r>
    </w:p>
    <w:p>
      <w:pPr>
        <w:pStyle w:val="ListParagraph"/>
        <w:numPr>
          <w:ilvl w:val="0"/>
          <w:numId w:val="3"/>
        </w:numPr>
        <w:spacing w:after="50" w:before="50"/>
      </w:pPr>
      <w:r>
        <w:rPr>
          <w:rFonts w:ascii="Arial" w:cs="Arial" w:eastAsia="Arial" w:hAnsi="Arial"/>
          <w:color w:val="1A1410"/>
          <w:sz w:val="21"/>
          <w:szCs w:val="21"/>
        </w:rPr>
        <w:t xml:space="preserve">Done when: </w:t>
      </w:r>
      <w:r>
        <w:rPr>
          <w:rFonts w:ascii="Arial" w:cs="Arial" w:eastAsia="Arial" w:hAnsi="Arial"/>
          <w:b/>
          <w:bCs/>
          <w:color w:val="1A1410"/>
          <w:sz w:val="21"/>
          <w:szCs w:val="21"/>
        </w:rPr>
        <w:t xml:space="preserve">https://saxansaxo.kuja.org</w:t>
      </w:r>
      <w:r>
        <w:rPr>
          <w:rFonts w:ascii="Arial" w:cs="Arial" w:eastAsia="Arial" w:hAnsi="Arial"/>
          <w:color w:val="1A1410"/>
          <w:sz w:val="21"/>
          <w:szCs w:val="21"/>
        </w:rPr>
        <w:t xml:space="preserve"> and </w:t>
      </w:r>
      <w:r>
        <w:rPr>
          <w:rFonts w:ascii="Arial" w:cs="Arial" w:eastAsia="Arial" w:hAnsi="Arial"/>
          <w:b/>
          <w:bCs/>
          <w:color w:val="1A1410"/>
          <w:sz w:val="21"/>
          <w:szCs w:val="21"/>
        </w:rPr>
        <w:t xml:space="preserve">https://sclr.kuja.org</w:t>
      </w:r>
      <w:r>
        <w:rPr>
          <w:rFonts w:ascii="Arial" w:cs="Arial" w:eastAsia="Arial" w:hAnsi="Arial"/>
          <w:color w:val="1A1410"/>
          <w:sz w:val="21"/>
          <w:szCs w:val="21"/>
        </w:rPr>
        <w:t xml:space="preserve"> load the Saxansaxo sign-in page (teal branding, Somali-first) with a valid padlock. Tell Idiris — a full verification pass of the console and public pages on both domains runs after that.</w:t>
      </w:r>
    </w:p>
    <w:p>
      <w:pPr>
        <w:pStyle w:val="Heading1"/>
        <w:spacing w:after="120" w:before="300"/>
      </w:pPr>
      <w:r>
        <w:rPr>
          <w:rFonts w:ascii="Arial" w:cs="Arial" w:eastAsia="Arial" w:hAnsi="Arial"/>
          <w:b/>
          <w:bCs/>
          <w:color w:val="7C2D12"/>
          <w:sz w:val="28"/>
          <w:szCs w:val="28"/>
        </w:rPr>
        <w:t xml:space="preserve">Good to know</w:t>
      </w:r>
    </w:p>
    <w:p>
      <w:pPr>
        <w:pStyle w:val="ListParagraph"/>
        <w:numPr>
          <w:ilvl w:val="0"/>
          <w:numId w:val="2"/>
        </w:numPr>
        <w:spacing w:after="40" w:before="40"/>
      </w:pPr>
      <w:r>
        <w:rPr>
          <w:rFonts w:ascii="Arial" w:cs="Arial" w:eastAsia="Arial" w:hAnsi="Arial"/>
          <w:b/>
          <w:bCs/>
          <w:color w:val="1A1410"/>
          <w:sz w:val="21"/>
          <w:szCs w:val="21"/>
        </w:rPr>
        <w:t xml:space="preserve">Both domains serve the same system </w:t>
      </w:r>
      <w:r>
        <w:rPr>
          <w:rFonts w:ascii="Arial" w:cs="Arial" w:eastAsia="Arial" w:hAnsi="Arial"/>
          <w:color w:val="1A1410"/>
          <w:sz w:val="21"/>
          <w:szCs w:val="21"/>
        </w:rPr>
        <w:t xml:space="preserve">— sclr.kuja.org is a straight alias, useful for outreach materials that lead with the methodology name. No redirect between them for now; we can make one canonical later if the team prefers.</w:t>
      </w:r>
    </w:p>
    <w:p>
      <w:pPr>
        <w:pStyle w:val="ListParagraph"/>
        <w:numPr>
          <w:ilvl w:val="0"/>
          <w:numId w:val="2"/>
        </w:numPr>
        <w:spacing w:after="40" w:before="40"/>
      </w:pPr>
      <w:r>
        <w:rPr>
          <w:rFonts w:ascii="Arial" w:cs="Arial" w:eastAsia="Arial" w:hAnsi="Arial"/>
          <w:b/>
          <w:bCs/>
          <w:color w:val="1A1410"/>
          <w:sz w:val="21"/>
          <w:szCs w:val="21"/>
        </w:rPr>
        <w:t xml:space="preserve">Rollback is clean: </w:t>
      </w:r>
      <w:r>
        <w:rPr>
          <w:rFonts w:ascii="Arial" w:cs="Arial" w:eastAsia="Arial" w:hAnsi="Arial"/>
          <w:color w:val="1A1410"/>
          <w:sz w:val="21"/>
          <w:szCs w:val="21"/>
        </w:rPr>
        <w:t xml:space="preserve">removing the DNS records (or the Railway domain entries) simply reverts to the temporary access URL. Nothing in the application breaks.</w:t>
      </w:r>
    </w:p>
    <w:p>
      <w:pPr>
        <w:pStyle w:val="ListParagraph"/>
        <w:numPr>
          <w:ilvl w:val="0"/>
          <w:numId w:val="2"/>
        </w:numPr>
        <w:spacing w:after="40" w:before="40"/>
      </w:pPr>
      <w:r>
        <w:rPr>
          <w:rFonts w:ascii="Arial" w:cs="Arial" w:eastAsia="Arial" w:hAnsi="Arial"/>
          <w:b/>
          <w:bCs/>
          <w:color w:val="1A1410"/>
          <w:sz w:val="21"/>
          <w:szCs w:val="21"/>
        </w:rPr>
        <w:t xml:space="preserve">Housekeeping while in the DNS console: </w:t>
      </w:r>
      <w:r>
        <w:rPr>
          <w:rFonts w:ascii="Arial" w:cs="Arial" w:eastAsia="Arial" w:hAnsi="Arial"/>
          <w:color w:val="1A1410"/>
          <w:sz w:val="21"/>
          <w:szCs w:val="21"/>
        </w:rPr>
        <w:t xml:space="preserve">the stale proximate.adesoafrica.org entry in Railway has no DNS behind it and can be deleted (dashboard-only, optional).</w:t>
      </w:r>
    </w:p>
    <w:p>
      <w:pPr>
        <w:spacing w:after="80" w:before="160"/>
      </w:pPr>
      <w:r>
        <w:rPr>
          <w:rFonts w:ascii="Arial" w:cs="Arial" w:eastAsia="Arial" w:hAnsi="Arial"/>
          <w:i/>
          <w:iCs/>
          <w:color w:val="6B655F"/>
          <w:sz w:val="21"/>
          <w:szCs w:val="21"/>
        </w:rPr>
        <w:t xml:space="preserve">Questions: Idiris (platform) — attach the Step A screenshot when handing to IT so the values travel with this document.</w:t>
      </w:r>
    </w:p>
    <w:sectPr>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2026-07-21T16:02:08.397Z</dcterms:created>
  <dcterms:modified xsi:type="dcterms:W3CDTF">2026-07-21T16:02:08.398Z</dcterms:modified>
</cp:coreProperties>
</file>

<file path=docProps/custom.xml><?xml version="1.0" encoding="utf-8"?>
<Properties xmlns="http://schemas.openxmlformats.org/officeDocument/2006/custom-properties" xmlns:vt="http://schemas.openxmlformats.org/officeDocument/2006/docPropsVTypes"/>
</file>