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</w:pPr>
      <w:r>
        <w:rPr>
          <w:rFonts w:ascii="Georgia" w:hAnsi="Georgia"/>
          <w:b/>
          <w:color w:val="C2410C"/>
          <w:sz w:val="28"/>
        </w:rPr>
        <w:t>Kuja Pricing — One-Page Summary</w:t>
      </w:r>
    </w:p>
    <w:p>
      <w:pPr>
        <w:spacing w:after="60" w:line="240" w:lineRule="auto"/>
      </w:pPr>
      <w:r>
        <w:rPr>
          <w:rFonts w:ascii="Georgia" w:hAnsi="Georgia"/>
          <w:b w:val="0"/>
          <w:i w:val="0"/>
          <w:color w:val="57534E"/>
          <w:sz w:val="15"/>
        </w:rPr>
        <w:t>For the leadership decision meeting · 9 August 2026 · a recommendation to validate in paid pilots, not a public rate card. All USD, annual, unlimited users. Detail in Kuja GTM Strategy V2.0.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val="clear" w:fill="FBEDE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C2410C"/>
                <w:sz w:val="16"/>
              </w:rPr>
              <w:t xml:space="preserve">The model in one line:  </w:t>
            </w:r>
            <w:r>
              <w:rPr>
                <w:rFonts w:ascii="Georgia" w:hAnsi="Georgia"/>
                <w:color w:val="1A1410"/>
                <w:sz w:val="16"/>
              </w:rPr>
              <w:t>Keep NGOs free. Charge a FLAT annual fee per tier — the value a customer manages (grant volume, orgs relied on, org size) only selects the tier; it is never a live percentage. Sell to whoever holds the budget. Bundle the four so each sale seeds the next. No % of disbursements. Trust is the product.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four products — who pays, entry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1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Product</w:t>
            </w:r>
          </w:p>
        </w:tc>
        <w:tc>
          <w:tcPr>
            <w:tcW w:type="dxa" w:w="29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What it is</w:t>
            </w:r>
          </w:p>
        </w:tc>
        <w:tc>
          <w:tcPr>
            <w:tcW w:type="dxa" w:w="2448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Who pays</w:t>
            </w:r>
          </w:p>
        </w:tc>
        <w:tc>
          <w:tcPr>
            <w:tcW w:type="dxa" w:w="151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Priced on</w:t>
            </w:r>
          </w:p>
        </w:tc>
        <w:tc>
          <w:tcPr>
            <w:tcW w:type="dxa" w:w="72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Entry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Link</w:t>
            </w:r>
          </w:p>
        </w:tc>
        <w:tc>
          <w:tcPr>
            <w:tcW w:type="dxa" w:w="29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Networking marketplace + discovery</w:t>
            </w:r>
          </w:p>
        </w:tc>
        <w:tc>
          <w:tcPr>
            <w:tcW w:type="dxa" w:w="244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Free (Trust Rating paid)</w:t>
            </w:r>
          </w:p>
        </w:tc>
        <w:tc>
          <w:tcPr>
            <w:tcW w:type="dxa" w:w="15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Free tier</w:t>
            </w:r>
          </w:p>
        </w:tc>
        <w:tc>
          <w:tcPr>
            <w:tcW w:type="dxa" w:w="72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$0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Trust</w:t>
            </w:r>
          </w:p>
        </w:tc>
        <w:tc>
          <w:tcPr>
            <w:tcW w:type="dxa" w:w="29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Portable Trust Passport</w:t>
            </w:r>
          </w:p>
        </w:tc>
        <w:tc>
          <w:tcPr>
            <w:tcW w:type="dxa" w:w="244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Funder / sponsor (NGO free)</w:t>
            </w:r>
          </w:p>
        </w:tc>
        <w:tc>
          <w:tcPr>
            <w:tcW w:type="dxa" w:w="15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Orgs relied on</w:t>
            </w:r>
          </w:p>
        </w:tc>
        <w:tc>
          <w:tcPr>
            <w:tcW w:type="dxa" w:w="72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$3,000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Fund</w:t>
            </w:r>
          </w:p>
        </w:tc>
        <w:tc>
          <w:tcPr>
            <w:tcW w:type="dxa" w:w="29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End-to-end grant lifecycle</w:t>
            </w:r>
          </w:p>
        </w:tc>
        <w:tc>
          <w:tcPr>
            <w:tcW w:type="dxa" w:w="244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Funder posting the grant</w:t>
            </w:r>
          </w:p>
        </w:tc>
        <w:tc>
          <w:tcPr>
            <w:tcW w:type="dxa" w:w="15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Grant volume</w:t>
            </w:r>
          </w:p>
        </w:tc>
        <w:tc>
          <w:tcPr>
            <w:tcW w:type="dxa" w:w="72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Kuja Build</w:t>
            </w:r>
          </w:p>
        </w:tc>
        <w:tc>
          <w:tcPr>
            <w:tcW w:type="dxa" w:w="29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Nonprofit operating system (ERP)</w:t>
            </w:r>
          </w:p>
        </w:tc>
        <w:tc>
          <w:tcPr>
            <w:tcW w:type="dxa" w:w="244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NGO or donor-sponsored</w:t>
            </w:r>
          </w:p>
        </w:tc>
        <w:tc>
          <w:tcPr>
            <w:tcW w:type="dxa" w:w="15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Size + modules</w:t>
            </w:r>
          </w:p>
        </w:tc>
        <w:tc>
          <w:tcPr>
            <w:tcW w:type="dxa" w:w="72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Fund — flat annual fee, by grant-volume band (not a % of grants)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58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58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Annual</w:t>
            </w:r>
          </w:p>
        </w:tc>
        <w:tc>
          <w:tcPr>
            <w:tcW w:type="dxa" w:w="4608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Fits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$250k · 25 partners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$8,000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$1M · 100 partners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$16,000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$5M · 300 partners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Portfolio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$32,000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$15M · 1,000 partners</w:t>
            </w:r>
          </w:p>
        </w:tc>
      </w:tr>
      <w:tr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</w:t>
            </w:r>
          </w:p>
        </w:tc>
        <w:tc>
          <w:tcPr>
            <w:tcW w:type="dxa" w:w="158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$60,000</w:t>
            </w:r>
          </w:p>
        </w:tc>
        <w:tc>
          <w:tcPr>
            <w:tcW w:type="dxa" w:w="460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≤ $50M · multi-entity</w:t>
            </w:r>
          </w:p>
        </w:tc>
      </w:tr>
      <w:tr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Enterprise</w:t>
            </w:r>
          </w:p>
        </w:tc>
        <w:tc>
          <w:tcPr>
            <w:tcW w:type="dxa" w:w="158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$100,000</w:t>
            </w:r>
          </w:p>
        </w:tc>
        <w:tc>
          <w:tcPr>
            <w:tcW w:type="dxa" w:w="4608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Above; residency / SLA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Trust Passport — NGO free; funder pays to rely at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16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87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Annual</w:t>
            </w:r>
          </w:p>
        </w:tc>
        <w:tc>
          <w:tcPr>
            <w:tcW w:type="dxa" w:w="374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Portfolio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NGO Core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Unlimited create + share</w:t>
            </w:r>
          </w:p>
        </w:tc>
      </w:tr>
      <w:tr>
        <w:tc>
          <w:tcPr>
            <w:tcW w:type="dxa" w:w="216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Org Trust Rating</w:t>
            </w:r>
          </w:p>
        </w:tc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$250–$1,500</w:t>
            </w:r>
          </w:p>
        </w:tc>
        <w:tc>
          <w:tcPr>
            <w:tcW w:type="dxa" w:w="37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Verified standing (often sponsor-funded)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Essentials (funder)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$3,000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100 organizations</w:t>
            </w:r>
          </w:p>
        </w:tc>
      </w:tr>
      <w:tr>
        <w:tc>
          <w:tcPr>
            <w:tcW w:type="dxa" w:w="216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 (funder)</w:t>
            </w:r>
          </w:p>
        </w:tc>
        <w:tc>
          <w:tcPr>
            <w:tcW w:type="dxa" w:w="187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$9,000</w:t>
            </w:r>
          </w:p>
        </w:tc>
        <w:tc>
          <w:tcPr>
            <w:tcW w:type="dxa" w:w="37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500 organizations</w:t>
            </w:r>
          </w:p>
        </w:tc>
      </w:tr>
      <w:tr>
        <w:tc>
          <w:tcPr>
            <w:tcW w:type="dxa" w:w="216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Portfolio / Network</w:t>
            </w:r>
          </w:p>
        </w:tc>
        <w:tc>
          <w:tcPr>
            <w:tcW w:type="dxa" w:w="187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$20,000 / $40,000</w:t>
            </w:r>
          </w:p>
        </w:tc>
        <w:tc>
          <w:tcPr>
            <w:tcW w:type="dxa" w:w="37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2,000 / 5,000 organizations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Kuja Build — in modules; under 2% of budget; a deal vs Sage/NetSuite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115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Plan</w:t>
            </w:r>
          </w:p>
        </w:tc>
        <w:tc>
          <w:tcPr>
            <w:tcW w:type="dxa" w:w="1656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Direct (F)</w:t>
            </w:r>
          </w:p>
        </w:tc>
        <w:tc>
          <w:tcPr>
            <w:tcW w:type="dxa" w:w="194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Donor-sponsored (G)</w:t>
            </w:r>
          </w:p>
        </w:tc>
        <w:tc>
          <w:tcPr>
            <w:tcW w:type="dxa" w:w="302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Modules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Starter</w:t>
            </w:r>
          </w:p>
        </w:tc>
        <w:tc>
          <w:tcPr>
            <w:tcW w:type="dxa" w:w="16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$4,000–6,000</w:t>
            </w:r>
          </w:p>
        </w:tc>
        <w:tc>
          <w:tcPr>
            <w:tcW w:type="dxa" w:w="19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$8,000 Y1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Admin, governance, grants, CRM, M&amp;E</w:t>
            </w:r>
          </w:p>
        </w:tc>
      </w:tr>
      <w:tr>
        <w:tc>
          <w:tcPr>
            <w:tcW w:type="dxa" w:w="115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1656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$10,000–16,000</w:t>
            </w:r>
          </w:p>
        </w:tc>
        <w:tc>
          <w:tcPr>
            <w:tcW w:type="dxa" w:w="194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From $16,000 Y1</w:t>
            </w:r>
          </w:p>
        </w:tc>
        <w:tc>
          <w:tcPr>
            <w:tcW w:type="dxa" w:w="302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+ finance, procurement, HR</w:t>
            </w:r>
          </w:p>
        </w:tc>
      </w:tr>
      <w:tr>
        <w:tc>
          <w:tcPr>
            <w:tcW w:type="dxa" w:w="115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Enterprise</w:t>
            </w:r>
          </w:p>
        </w:tc>
        <w:tc>
          <w:tcPr>
            <w:tcW w:type="dxa" w:w="1656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$24,000–40,000</w:t>
            </w:r>
          </w:p>
        </w:tc>
        <w:tc>
          <w:tcPr>
            <w:tcW w:type="dxa" w:w="194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Scoped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Full stack, multi-entity, payroll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Suite — Fund + Trust bundled, 7–15% 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440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Suite</w:t>
            </w:r>
          </w:p>
        </w:tc>
        <w:tc>
          <w:tcPr>
            <w:tcW w:type="dxa" w:w="3024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Fund + Trust</w:t>
            </w:r>
          </w:p>
        </w:tc>
        <w:tc>
          <w:tcPr>
            <w:tcW w:type="dxa" w:w="3312"/>
            <w:shd w:val="clear" w:fill="1F386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/>
                <w:color w:val="FFFFFF"/>
                <w:sz w:val="15"/>
              </w:rPr>
              <w:t>Suite price (vs standalone)</w:t>
            </w:r>
          </w:p>
        </w:tc>
      </w:tr>
      <w:tr>
        <w:tc>
          <w:tcPr>
            <w:tcW w:type="dxa" w:w="144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Community + Essentials</w:t>
            </w:r>
          </w:p>
        </w:tc>
        <w:tc>
          <w:tcPr>
            <w:tcW w:type="dxa" w:w="33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$6,500 (vs $7,000)</w:t>
            </w:r>
          </w:p>
        </w:tc>
      </w:tr>
      <w:tr>
        <w:tc>
          <w:tcPr>
            <w:tcW w:type="dxa" w:w="144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</w:t>
            </w:r>
          </w:p>
        </w:tc>
        <w:tc>
          <w:tcPr>
            <w:tcW w:type="dxa" w:w="302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Core + Growth</w:t>
            </w:r>
          </w:p>
        </w:tc>
        <w:tc>
          <w:tcPr>
            <w:tcW w:type="dxa" w:w="33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$15,000 (vs $17,000)</w:t>
            </w:r>
          </w:p>
        </w:tc>
      </w:tr>
      <w:tr>
        <w:tc>
          <w:tcPr>
            <w:tcW w:type="dxa" w:w="1440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</w:t>
            </w:r>
          </w:p>
        </w:tc>
        <w:tc>
          <w:tcPr>
            <w:tcW w:type="dxa" w:w="3024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Growth + Portfolio</w:t>
            </w:r>
          </w:p>
        </w:tc>
        <w:tc>
          <w:tcPr>
            <w:tcW w:type="dxa" w:w="3312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$31,000 (vs $36,000)</w:t>
            </w:r>
          </w:p>
        </w:tc>
      </w:tr>
      <w:tr>
        <w:tc>
          <w:tcPr>
            <w:tcW w:type="dxa" w:w="1440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</w:t>
            </w:r>
          </w:p>
        </w:tc>
        <w:tc>
          <w:tcPr>
            <w:tcW w:type="dxa" w:w="3024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Network + Network</w:t>
            </w:r>
          </w:p>
        </w:tc>
        <w:tc>
          <w:tcPr>
            <w:tcW w:type="dxa" w:w="3312"/>
            <w:shd w:val="clear" w:fill="EEF2F8"/>
          </w:tcPr>
          <w:p>
            <w:pPr>
              <w:spacing w:after="0" w:before="0" w:line="240" w:lineRule="auto"/>
            </w:pPr>
            <w:r/>
            <w:r>
              <w:rPr>
                <w:rFonts w:ascii="Georgia" w:hAnsi="Georgia"/>
                <w:b w:val="0"/>
                <w:color w:val="1A1410"/>
                <w:sz w:val="15"/>
              </w:rPr>
              <w:t>$85,000 (vs $100,000)</w:t>
            </w:r>
          </w:p>
        </w:tc>
      </w:tr>
    </w:tbl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The rules (non-negotiable)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NGOs never pay to apply, report, or hold a core passport — the funder pays. No % of disbursements.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Donor-paid price is always higher than the same org buying directly.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No org pays &gt;~2% of budget for software; Build reads as a deal vs buying multiple systems.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Discounts governed: bundle 7–15%, term 7–12%, localization 25% (≤$5M, donor-underwritten), 30% cap.</w:t>
      </w:r>
    </w:p>
    <w:p>
      <w:pPr>
        <w:pStyle w:val="ListBullet"/>
        <w:spacing w:after="20" w:line="240" w:lineRule="auto"/>
      </w:pPr>
      <w:r>
        <w:rPr>
          <w:rFonts w:ascii="Georgia" w:hAnsi="Georgia"/>
          <w:color w:val="1A1410"/>
          <w:sz w:val="16"/>
        </w:rPr>
        <w:t>No free live-production pilots — paid pilots only, fully credited to Year 1 on timely conversion.</w:t>
      </w:r>
    </w:p>
    <w:p>
      <w:pPr>
        <w:spacing w:before="80" w:after="20" w:line="240" w:lineRule="auto"/>
      </w:pPr>
      <w:r>
        <w:rPr>
          <w:rFonts w:ascii="Georgia" w:hAnsi="Georgia"/>
          <w:b/>
          <w:color w:val="1F3864"/>
          <w:sz w:val="19"/>
        </w:rPr>
        <w:t>Decisions for leadership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Approve NGO core access as permanently free, and the tiers above as pilot recommendations (not public).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Confirm 2026 = pilot every motion / 2027 = convert; 2026 revenue = Motion G only (2–3 donors × ~5 grantees).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Reconcile Kuja Build pricing against James’s NEAR RFP costing before any external Build quote.</w:t>
      </w:r>
    </w:p>
    <w:p>
      <w:pPr>
        <w:pStyle w:val="ListNumber"/>
        <w:spacing w:after="20" w:line="240" w:lineRule="auto"/>
      </w:pPr>
      <w:r>
        <w:rPr>
          <w:rFonts w:ascii="Georgia" w:hAnsi="Georgia"/>
          <w:color w:val="1A1410"/>
          <w:sz w:val="16"/>
        </w:rPr>
        <w:t>Hold public rate-card publication until 8–12 buyer interviews and 3 paid pilots across 2 segments close.</w:t>
      </w:r>
    </w:p>
    <w:p>
      <w:pPr>
        <w:spacing w:after="40" w:before="40" w:line="240" w:lineRule="auto"/>
      </w:pPr>
      <w:r>
        <w:rPr>
          <w:rFonts w:ascii="Georgia" w:hAnsi="Georgia"/>
          <w:b w:val="0"/>
          <w:i w:val="0"/>
          <w:color w:val="57534E"/>
          <w:sz w:val="14"/>
        </w:rPr>
        <w:t>Anchored to Plinth (£2.5k/£7.5k/£15k), Foundant GLM ($6.5k/$9.9k/$13.9k), NGOsource (donor-paid reuse), OpenSanctions (~€0.10/query). Figures are recommendations to test, not proof of willingness to pay.</w:t>
      </w:r>
    </w:p>
    <w:sectPr w:rsidR="00FC693F" w:rsidRPr="0006063C" w:rsidSect="00034616">
      <w:pgSz w:w="12240" w:h="15840"/>
      <w:pgMar w:top="605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Georgia" w:hAnsi="Georgia"/>
      <w:color w:val="1A141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