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C2410C"/>
          <w:sz w:val="40"/>
        </w:rPr>
        <w:t>Proximate Fund — Platform Update</w:t>
      </w:r>
    </w:p>
    <w:p>
      <w:pPr>
        <w:spacing w:after="120"/>
      </w:pPr>
      <w:r>
        <w:rPr>
          <w:rFonts w:ascii="Arial" w:hAnsi="Arial"/>
          <w:b w:val="0"/>
          <w:i w:val="0"/>
          <w:color w:val="57534E"/>
          <w:sz w:val="21"/>
        </w:rPr>
        <w:t>6 August 2026  ·  proximate.kuja.org  ·  prepared for the Adeso / Proximate team</w:t>
      </w:r>
    </w:p>
    <w:p>
      <w:pPr>
        <w:spacing w:after="80"/>
      </w:pPr>
      <w:r>
        <w:rPr>
          <w:rFonts w:ascii="Arial" w:hAnsi="Arial"/>
          <w:b w:val="0"/>
          <w:i/>
          <w:color w:val="57534E"/>
          <w:sz w:val="21"/>
        </w:rPr>
        <w:t>This responds to the UI/UX and workflow notes from the Khalid / Marwa walkthrough — the twelve tickets, point by point, each checked against what the live system actually does today. The short story is a good one: most of the list was already built and live, and the two real gaps are now shipped.</w:t>
      </w:r>
    </w:p>
    <w:p>
      <w:pPr>
        <w:pStyle w:val="Heading1"/>
      </w:pPr>
      <w:r>
        <w:t>The short version</w:t>
      </w:r>
    </w:p>
    <w:p>
      <w:pPr>
        <w:spacing w:after="160"/>
      </w:pPr>
      <w:r>
        <w:rPr>
          <w:rFonts w:ascii="Arial" w:hAnsi="Arial"/>
          <w:b w:val="0"/>
          <w:i w:val="0"/>
          <w:color w:val="1A1410"/>
          <w:sz w:val="21"/>
        </w:rPr>
        <w:t>We took the twelve tickets and checked each one against the deployed build, not against memory. Eight of the twelve were already implemented and running on the live site — including the two most important concerns: bank details are already kept off the first nomination form, and test records are already hidden from the operational lists. The walkthrough was almost certainly run on a slightly older build (or a browser holding an old cached copy), which is why finished work looked outstanding.</w:t>
      </w:r>
    </w:p>
    <w:p>
      <w:pPr>
        <w:spacing w:after="160"/>
      </w:pPr>
      <w:r>
        <w:rPr>
          <w:rFonts w:ascii="Arial" w:hAnsi="Arial"/>
          <w:b w:val="0"/>
          <w:i w:val="0"/>
          <w:color w:val="1A1410"/>
          <w:sz w:val="21"/>
        </w:rPr>
        <w:t>Two tickets were genuine, small gaps on the Partners page — clickable summary filters and a clear next-action on each row — and both are now built and live. One ticket needs a one-line answer from Khalid / Marwa before we touch it. Nothing here is waiting on a future release.</w:t>
      </w:r>
    </w:p>
    <w:tbl>
      <w:tblPr>
        <w:tblStyle w:val="TableGrid"/>
        <w:tblW w:type="auto" w:w="0"/>
        <w:tblLook w:firstColumn="1" w:firstRow="1" w:lastColumn="0" w:lastRow="0" w:noHBand="0" w:noVBand="1" w:val="04A0"/>
      </w:tblPr>
      <w:tblGrid>
        <w:gridCol w:w="8640"/>
      </w:tblGrid>
      <w:tr>
        <w:tc>
          <w:tcPr>
            <w:tcW w:type="dxa" w:w="8640"/>
            <w:shd w:val="clear" w:fill="FBEDE6"/>
          </w:tcPr>
          <w:p>
            <w:r/>
            <w:r>
              <w:rPr>
                <w:rFonts w:ascii="Arial" w:hAnsi="Arial"/>
                <w:b/>
                <w:color w:val="C2410C"/>
                <w:sz w:val="20"/>
              </w:rPr>
              <w:t xml:space="preserve">First, the quick win — </w:t>
            </w:r>
            <w:r>
              <w:rPr>
                <w:rFonts w:ascii="Arial" w:hAnsi="Arial"/>
                <w:color w:val="1A1410"/>
                <w:sz w:val="20"/>
              </w:rPr>
              <w:t>ask anyone who reviewed the system to do a hard refresh of the page (Ctrl+Shift+R). A cached copy explains the whole list. Most of what was flagged is very likely already fixed on their own screen the moment the cache clears.</w:t>
            </w:r>
          </w:p>
        </w:tc>
      </w:tr>
    </w:tbl>
    <w:p>
      <w:pPr>
        <w:spacing w:after="40"/>
      </w:pPr>
    </w:p>
    <w:p>
      <w:pPr>
        <w:pStyle w:val="Heading1"/>
      </w:pPr>
      <w:r>
        <w:t>1. What was already built and live</w:t>
      </w:r>
    </w:p>
    <w:p>
      <w:pPr>
        <w:spacing w:after="160"/>
      </w:pPr>
      <w:r>
        <w:rPr>
          <w:rFonts w:ascii="Arial" w:hAnsi="Arial"/>
          <w:b w:val="0"/>
          <w:i w:val="0"/>
          <w:color w:val="1A1410"/>
          <w:sz w:val="21"/>
        </w:rPr>
        <w:t>These were all present in the deployed system exactly as the review asks. No change was needed; we are confirming them, with where to look.</w:t>
      </w:r>
    </w:p>
    <w:tbl>
      <w:tblPr>
        <w:tblStyle w:val="TableGrid"/>
        <w:tblW w:type="auto" w:w="0"/>
        <w:tblLook w:firstColumn="1" w:firstRow="1" w:lastColumn="0" w:lastRow="0" w:noHBand="0" w:noVBand="1" w:val="04A0"/>
      </w:tblPr>
      <w:tblGrid>
        <w:gridCol w:w="2880"/>
        <w:gridCol w:w="2880"/>
        <w:gridCol w:w="2880"/>
      </w:tblGrid>
      <w:tr>
        <w:tc>
          <w:tcPr>
            <w:tcW w:type="dxa" w:w="3456"/>
            <w:shd w:val="clear" w:fill="7C2D12"/>
          </w:tcPr>
          <w:p>
            <w:pPr>
              <w:spacing w:after="40"/>
            </w:pPr>
            <w:r/>
            <w:r>
              <w:rPr>
                <w:rFonts w:ascii="Arial" w:hAnsi="Arial"/>
                <w:b/>
                <w:color w:val="FFFFFF"/>
                <w:sz w:val="20"/>
              </w:rPr>
              <w:t>The ask</w:t>
            </w:r>
          </w:p>
        </w:tc>
        <w:tc>
          <w:tcPr>
            <w:tcW w:type="dxa" w:w="1440"/>
            <w:shd w:val="clear" w:fill="7C2D12"/>
          </w:tcPr>
          <w:p>
            <w:pPr>
              <w:spacing w:after="40"/>
            </w:pPr>
            <w:r/>
            <w:r>
              <w:rPr>
                <w:rFonts w:ascii="Arial" w:hAnsi="Arial"/>
                <w:b/>
                <w:color w:val="FFFFFF"/>
                <w:sz w:val="20"/>
              </w:rPr>
              <w:t>Status</w:t>
            </w:r>
          </w:p>
        </w:tc>
        <w:tc>
          <w:tcPr>
            <w:tcW w:type="dxa" w:w="4896"/>
            <w:shd w:val="clear" w:fill="7C2D12"/>
          </w:tcPr>
          <w:p>
            <w:pPr>
              <w:spacing w:after="40"/>
            </w:pPr>
            <w:r/>
            <w:r>
              <w:rPr>
                <w:rFonts w:ascii="Arial" w:hAnsi="Arial"/>
                <w:b/>
                <w:color w:val="FFFFFF"/>
                <w:sz w:val="20"/>
              </w:rPr>
              <w:t>What the live system does</w:t>
            </w:r>
          </w:p>
        </w:tc>
      </w:tr>
      <w:tr>
        <w:tc>
          <w:tcPr>
            <w:tcW w:type="dxa" w:w="3456"/>
          </w:tcPr>
          <w:p>
            <w:pPr>
              <w:spacing w:after="40"/>
            </w:pPr>
            <w:r/>
            <w:r>
              <w:rPr>
                <w:rFonts w:ascii="Arial" w:hAnsi="Arial"/>
                <w:b w:val="0"/>
                <w:color w:val="1A1410"/>
                <w:sz w:val="20"/>
              </w:rPr>
              <w:t>Bank details should not be on the first form (their highest-priority concern)</w:t>
            </w:r>
          </w:p>
        </w:tc>
        <w:tc>
          <w:tcPr>
            <w:tcW w:type="dxa" w:w="1440"/>
          </w:tcPr>
          <w:p>
            <w:pPr>
              <w:spacing w:after="40"/>
            </w:pPr>
            <w:r/>
            <w:r>
              <w:rPr>
                <w:rFonts w:ascii="Arial" w:hAnsi="Arial"/>
                <w:b/>
                <w:color w:val="1B7A3D"/>
                <w:sz w:val="20"/>
              </w:rPr>
              <w:t>Already live</w:t>
            </w:r>
          </w:p>
        </w:tc>
        <w:tc>
          <w:tcPr>
            <w:tcW w:type="dxa" w:w="4896"/>
          </w:tcPr>
          <w:p>
            <w:pPr>
              <w:spacing w:after="40"/>
            </w:pPr>
            <w:r/>
            <w:r>
              <w:rPr>
                <w:rFonts w:ascii="Arial" w:hAnsi="Arial"/>
                <w:b w:val="0"/>
                <w:color w:val="1A1410"/>
                <w:sz w:val="20"/>
              </w:rPr>
              <w:t>The nomination form collects name, location and contact only. Bank details sit behind a disclosure that is hidden by default, with the exact reasoning the team asked for: they are collected at award stage, so we never hold account numbers for groups that may never be funded. The public form states plainly: “No bank details are asked on this form.”</w:t>
            </w:r>
          </w:p>
        </w:tc>
      </w:tr>
      <w:tr>
        <w:tc>
          <w:tcPr>
            <w:tcW w:type="dxa" w:w="3456"/>
          </w:tcPr>
          <w:p>
            <w:pPr>
              <w:spacing w:after="40"/>
            </w:pPr>
            <w:r/>
            <w:r>
              <w:rPr>
                <w:rFonts w:ascii="Arial" w:hAnsi="Arial"/>
                <w:b w:val="0"/>
                <w:color w:val="1A1410"/>
                <w:sz w:val="20"/>
              </w:rPr>
              <w:t>Separate test / UAT data from live operational data</w:t>
            </w:r>
          </w:p>
        </w:tc>
        <w:tc>
          <w:tcPr>
            <w:tcW w:type="dxa" w:w="1440"/>
          </w:tcPr>
          <w:p>
            <w:pPr>
              <w:spacing w:after="40"/>
            </w:pPr>
            <w:r/>
            <w:r>
              <w:rPr>
                <w:rFonts w:ascii="Arial" w:hAnsi="Arial"/>
                <w:b/>
                <w:color w:val="1B7A3D"/>
                <w:sz w:val="20"/>
              </w:rPr>
              <w:t>Already live</w:t>
            </w:r>
          </w:p>
        </w:tc>
        <w:tc>
          <w:tcPr>
            <w:tcW w:type="dxa" w:w="4896"/>
          </w:tcPr>
          <w:p>
            <w:pPr>
              <w:spacing w:after="40"/>
            </w:pPr>
            <w:r/>
            <w:r>
              <w:rPr>
                <w:rFonts w:ascii="Arial" w:hAnsi="Arial"/>
                <w:b w:val="0"/>
                <w:color w:val="1A1410"/>
                <w:sz w:val="20"/>
              </w:rPr>
              <w:t>Both the Partners and Disbursements lists hide fixture records (QA Fixture, UAT) by default, behind a “Show test data (N)” toggle. A live session opens clean; the count is still shown so nothing is hidden silently.</w:t>
            </w:r>
          </w:p>
        </w:tc>
      </w:tr>
      <w:tr>
        <w:tc>
          <w:tcPr>
            <w:tcW w:type="dxa" w:w="3456"/>
          </w:tcPr>
          <w:p>
            <w:pPr>
              <w:spacing w:after="40"/>
            </w:pPr>
            <w:r/>
            <w:r>
              <w:rPr>
                <w:rFonts w:ascii="Arial" w:hAnsi="Arial"/>
                <w:b w:val="0"/>
                <w:color w:val="1A1410"/>
                <w:sz w:val="20"/>
              </w:rPr>
              <w:t>Capture Country, State and Locality as structured fields</w:t>
            </w:r>
          </w:p>
        </w:tc>
        <w:tc>
          <w:tcPr>
            <w:tcW w:type="dxa" w:w="1440"/>
          </w:tcPr>
          <w:p>
            <w:pPr>
              <w:spacing w:after="40"/>
            </w:pPr>
            <w:r/>
            <w:r>
              <w:rPr>
                <w:rFonts w:ascii="Arial" w:hAnsi="Arial"/>
                <w:b/>
                <w:color w:val="1B7A3D"/>
                <w:sz w:val="20"/>
              </w:rPr>
              <w:t>Already live</w:t>
            </w:r>
          </w:p>
        </w:tc>
        <w:tc>
          <w:tcPr>
            <w:tcW w:type="dxa" w:w="4896"/>
          </w:tcPr>
          <w:p>
            <w:pPr>
              <w:spacing w:after="40"/>
            </w:pPr>
            <w:r/>
            <w:r>
              <w:rPr>
                <w:rFonts w:ascii="Arial" w:hAnsi="Arial"/>
                <w:b w:val="0"/>
                <w:color w:val="1A1410"/>
                <w:sz w:val="20"/>
              </w:rPr>
              <w:t>Country and an 18-state Sudan dropdown, with a “Use my location” helper that fills the state and discards the coordinates. Locality is a typed field on purpose — locality boundaries have shifted during the conflict — with an “Other / not listed” fallback.</w:t>
            </w:r>
          </w:p>
        </w:tc>
      </w:tr>
      <w:tr>
        <w:tc>
          <w:tcPr>
            <w:tcW w:type="dxa" w:w="3456"/>
          </w:tcPr>
          <w:p>
            <w:pPr>
              <w:spacing w:after="40"/>
            </w:pPr>
            <w:r/>
            <w:r>
              <w:rPr>
                <w:rFonts w:ascii="Arial" w:hAnsi="Arial"/>
                <w:b w:val="0"/>
                <w:color w:val="1A1410"/>
                <w:sz w:val="20"/>
              </w:rPr>
              <w:t>The sidebar highlights two items at once (Dashboard + Partners)</w:t>
            </w:r>
          </w:p>
        </w:tc>
        <w:tc>
          <w:tcPr>
            <w:tcW w:type="dxa" w:w="1440"/>
          </w:tcPr>
          <w:p>
            <w:pPr>
              <w:spacing w:after="40"/>
            </w:pPr>
            <w:r/>
            <w:r>
              <w:rPr>
                <w:rFonts w:ascii="Arial" w:hAnsi="Arial"/>
                <w:b/>
                <w:color w:val="1B7A3D"/>
                <w:sz w:val="20"/>
              </w:rPr>
              <w:t>Already live</w:t>
            </w:r>
          </w:p>
        </w:tc>
        <w:tc>
          <w:tcPr>
            <w:tcW w:type="dxa" w:w="4896"/>
          </w:tcPr>
          <w:p>
            <w:pPr>
              <w:spacing w:after="40"/>
            </w:pPr>
            <w:r/>
            <w:r>
              <w:rPr>
                <w:rFonts w:ascii="Arial" w:hAnsi="Arial"/>
                <w:b w:val="0"/>
                <w:color w:val="1A1410"/>
                <w:sz w:val="20"/>
              </w:rPr>
              <w:t>Fixed on 3 August. Exactly one menu item is ever highlighted — the most specific page wins. A standing automated check enforces this on every build.</w:t>
            </w:r>
          </w:p>
        </w:tc>
      </w:tr>
      <w:tr>
        <w:tc>
          <w:tcPr>
            <w:tcW w:type="dxa" w:w="3456"/>
          </w:tcPr>
          <w:p>
            <w:pPr>
              <w:spacing w:after="40"/>
            </w:pPr>
            <w:r/>
            <w:r>
              <w:rPr>
                <w:rFonts w:ascii="Arial" w:hAnsi="Arial"/>
                <w:b w:val="0"/>
                <w:color w:val="1A1410"/>
                <w:sz w:val="20"/>
              </w:rPr>
              <w:t>Dashboard opens on a wall of notifications before the cards</w:t>
            </w:r>
          </w:p>
        </w:tc>
        <w:tc>
          <w:tcPr>
            <w:tcW w:type="dxa" w:w="1440"/>
          </w:tcPr>
          <w:p>
            <w:pPr>
              <w:spacing w:after="40"/>
            </w:pPr>
            <w:r/>
            <w:r>
              <w:rPr>
                <w:rFonts w:ascii="Arial" w:hAnsi="Arial"/>
                <w:b/>
                <w:color w:val="1B7A3D"/>
                <w:sz w:val="20"/>
              </w:rPr>
              <w:t>Already live</w:t>
            </w:r>
          </w:p>
        </w:tc>
        <w:tc>
          <w:tcPr>
            <w:tcW w:type="dxa" w:w="4896"/>
          </w:tcPr>
          <w:p>
            <w:pPr>
              <w:spacing w:after="40"/>
            </w:pPr>
            <w:r/>
            <w:r>
              <w:rPr>
                <w:rFonts w:ascii="Arial" w:hAnsi="Arial"/>
                <w:b w:val="0"/>
                <w:color w:val="1A1410"/>
                <w:sz w:val="20"/>
              </w:rPr>
              <w:t>The dashboard now leads with the summary cards and the workflow action tiles; the “Needs your attention” feed sits below them, trimmed to the top five with a one-line severity summary and a “Show all / Show fewer” control.</w:t>
            </w:r>
          </w:p>
        </w:tc>
      </w:tr>
      <w:tr>
        <w:tc>
          <w:tcPr>
            <w:tcW w:type="dxa" w:w="3456"/>
          </w:tcPr>
          <w:p>
            <w:pPr>
              <w:spacing w:after="40"/>
            </w:pPr>
            <w:r/>
            <w:r>
              <w:rPr>
                <w:rFonts w:ascii="Arial" w:hAnsi="Arial"/>
                <w:b w:val="0"/>
                <w:color w:val="1A1410"/>
                <w:sz w:val="20"/>
              </w:rPr>
              <w:t>Partner-facing link labels should say what the link is for</w:t>
            </w:r>
          </w:p>
        </w:tc>
        <w:tc>
          <w:tcPr>
            <w:tcW w:type="dxa" w:w="1440"/>
          </w:tcPr>
          <w:p>
            <w:pPr>
              <w:spacing w:after="40"/>
            </w:pPr>
            <w:r/>
            <w:r>
              <w:rPr>
                <w:rFonts w:ascii="Arial" w:hAnsi="Arial"/>
                <w:b/>
                <w:color w:val="1B7A3D"/>
                <w:sz w:val="20"/>
              </w:rPr>
              <w:t>Already live</w:t>
            </w:r>
          </w:p>
        </w:tc>
        <w:tc>
          <w:tcPr>
            <w:tcW w:type="dxa" w:w="4896"/>
          </w:tcPr>
          <w:p>
            <w:pPr>
              <w:spacing w:after="40"/>
            </w:pPr>
            <w:r/>
            <w:r>
              <w:rPr>
                <w:rFonts w:ascii="Arial" w:hAnsi="Arial"/>
                <w:b w:val="0"/>
                <w:color w:val="1A1410"/>
                <w:sz w:val="20"/>
              </w:rPr>
              <w:t>The disbursement link reads “Copy report link” and only appears once a report is actually due.</w:t>
            </w:r>
          </w:p>
        </w:tc>
      </w:tr>
      <w:tr>
        <w:tc>
          <w:tcPr>
            <w:tcW w:type="dxa" w:w="3456"/>
          </w:tcPr>
          <w:p>
            <w:pPr>
              <w:spacing w:after="40"/>
            </w:pPr>
            <w:r/>
            <w:r>
              <w:rPr>
                <w:rFonts w:ascii="Arial" w:hAnsi="Arial"/>
                <w:b w:val="0"/>
                <w:color w:val="1A1410"/>
                <w:sz w:val="20"/>
              </w:rPr>
              <w:t>Nomination form should be staged / progressive, with no false hope</w:t>
            </w:r>
          </w:p>
        </w:tc>
        <w:tc>
          <w:tcPr>
            <w:tcW w:type="dxa" w:w="1440"/>
          </w:tcPr>
          <w:p>
            <w:pPr>
              <w:spacing w:after="40"/>
            </w:pPr>
            <w:r/>
            <w:r>
              <w:rPr>
                <w:rFonts w:ascii="Arial" w:hAnsi="Arial"/>
                <w:b/>
                <w:color w:val="1B7A3D"/>
                <w:sz w:val="20"/>
              </w:rPr>
              <w:t>Already live</w:t>
            </w:r>
          </w:p>
        </w:tc>
        <w:tc>
          <w:tcPr>
            <w:tcW w:type="dxa" w:w="4896"/>
          </w:tcPr>
          <w:p>
            <w:pPr>
              <w:spacing w:after="40"/>
            </w:pPr>
            <w:r/>
            <w:r>
              <w:rPr>
                <w:rFonts w:ascii="Arial" w:hAnsi="Arial"/>
                <w:b w:val="0"/>
                <w:color w:val="1A1410"/>
                <w:sz w:val="20"/>
              </w:rPr>
              <w:t>Sensitive fields are hidden until needed, and the partner-facing form reassures the applicant that submitting is not a promise of funding.</w:t>
            </w:r>
          </w:p>
        </w:tc>
      </w:tr>
    </w:tbl>
    <w:p>
      <w:pPr>
        <w:spacing w:after="40"/>
      </w:pPr>
    </w:p>
    <w:p>
      <w:pPr>
        <w:pStyle w:val="Heading1"/>
      </w:pPr>
      <w:r>
        <w:t>2. The two gaps we built today</w:t>
      </w:r>
    </w:p>
    <w:p>
      <w:pPr>
        <w:spacing w:after="160"/>
      </w:pPr>
      <w:r>
        <w:rPr>
          <w:rFonts w:ascii="Arial" w:hAnsi="Arial"/>
          <w:b w:val="0"/>
          <w:i w:val="0"/>
          <w:color w:val="1A1410"/>
          <w:sz w:val="21"/>
        </w:rPr>
        <w:t>Two things the review asked for were genuinely missing, both on the Partners page. Both are now built and live.</w:t>
      </w:r>
    </w:p>
    <w:p>
      <w:pPr>
        <w:pStyle w:val="Heading2"/>
      </w:pPr>
      <w:r>
        <w:t>The summary cards are now clickable filters</w:t>
      </w:r>
    </w:p>
    <w:p>
      <w:pPr>
        <w:spacing w:after="160"/>
      </w:pPr>
      <w:r>
        <w:rPr>
          <w:rFonts w:ascii="Arial" w:hAnsi="Arial"/>
          <w:b w:val="0"/>
          <w:i w:val="0"/>
          <w:color w:val="1A1410"/>
          <w:sz w:val="21"/>
        </w:rPr>
        <w:t>The four cards at the top of the Partners page — Total, Cleared, In review, Sanctions flags — now filter the list when you click them, with the active card outlined so it is obvious which slice you are looking at. Clicking Total clears back to everyone. This is the “summary cards should be clickable filters” request, made real.</w:t>
      </w:r>
    </w:p>
    <w:p>
      <w:pPr>
        <w:pStyle w:val="Heading2"/>
      </w:pPr>
      <w:r>
        <w:t>Every partner row shows a clear next action</w:t>
      </w:r>
    </w:p>
    <w:p>
      <w:pPr>
        <w:spacing w:after="160"/>
      </w:pPr>
      <w:r>
        <w:rPr>
          <w:rFonts w:ascii="Arial" w:hAnsi="Arial"/>
          <w:b w:val="0"/>
          <w:i w:val="0"/>
          <w:color w:val="1A1410"/>
          <w:sz w:val="21"/>
        </w:rPr>
        <w:t>Each partner in the list now carries the one thing to do next, based on where they are: Start endorsements, Continue review, Complete due diligence, Ready for award, or Review suspension. The row reads as a step to take, not just a status to read — which is the “rows need clearer next-action guidance” point.</w:t>
      </w:r>
    </w:p>
    <w:p>
      <w:pPr>
        <w:pStyle w:val="Heading1"/>
      </w:pPr>
      <w:r>
        <w:t>3. One thing we need from you</w:t>
      </w:r>
    </w:p>
    <w:p>
      <w:pPr>
        <w:spacing w:after="160"/>
      </w:pPr>
      <w:r>
        <w:rPr>
          <w:rFonts w:ascii="Arial" w:hAnsi="Arial"/>
          <w:b w:val="0"/>
          <w:i w:val="0"/>
          <w:color w:val="1A1410"/>
          <w:sz w:val="21"/>
        </w:rPr>
        <w:t>The review asks that “detailed / payment links” be limited to partners who have passed due diligence — and the note itself says “confirm which link this refers to.” We are holding this one deliberately, because the answer changes what we do:</w:t>
      </w:r>
    </w:p>
    <w:p>
      <w:pPr>
        <w:pStyle w:val="ListBullet"/>
        <w:spacing w:after="80"/>
      </w:pPr>
      <w:r>
        <w:rPr>
          <w:rFonts w:ascii="Arial" w:hAnsi="Arial"/>
          <w:color w:val="1A1410"/>
          <w:sz w:val="21"/>
        </w:rPr>
        <w:t>The report-submission link is already restricted — it only appears after a disbursement has gone out, never at nomination.</w:t>
      </w:r>
    </w:p>
    <w:p>
      <w:pPr>
        <w:pStyle w:val="ListBullet"/>
        <w:spacing w:after="80"/>
      </w:pPr>
      <w:r>
        <w:rPr>
          <w:rFonts w:ascii="Arial" w:hAnsi="Arial"/>
          <w:color w:val="1A1410"/>
          <w:sz w:val="21"/>
        </w:rPr>
        <w:t>The public nomination link is open by design, so any community member can put a group forward.</w:t>
      </w:r>
    </w:p>
    <w:p>
      <w:pPr>
        <w:spacing w:after="160" w:before="40"/>
      </w:pPr>
      <w:r>
        <w:rPr>
          <w:rFonts w:ascii="Arial" w:hAnsi="Arial"/>
          <w:b w:val="0"/>
          <w:i w:val="0"/>
          <w:color w:val="1A1410"/>
          <w:sz w:val="21"/>
        </w:rPr>
        <w:t>So depending on which link Khalid / Marwa mean, this may already be satisfied. Tell us the specific link and we will apply the right rule the same day.</w:t>
      </w:r>
    </w:p>
    <w:p>
      <w:pPr>
        <w:pStyle w:val="Heading1"/>
      </w:pPr>
      <w:r>
        <w:t>4. What remains — sequenced, not blocking</w:t>
      </w:r>
    </w:p>
    <w:p>
      <w:pPr>
        <w:spacing w:after="160"/>
      </w:pPr>
      <w:r>
        <w:rPr>
          <w:rFonts w:ascii="Arial" w:hAnsi="Arial"/>
          <w:b w:val="0"/>
          <w:i w:val="0"/>
          <w:color w:val="1A1410"/>
          <w:sz w:val="21"/>
        </w:rPr>
        <w:t>With the above shipped, the review is essentially closed. The rest is a short list of further polish we have queued, plus the standing setup items that are not development work:</w:t>
      </w:r>
    </w:p>
    <w:p>
      <w:pPr>
        <w:pStyle w:val="ListBullet"/>
        <w:spacing w:after="80"/>
      </w:pPr>
      <w:r>
        <w:rPr>
          <w:rFonts w:ascii="Arial" w:hAnsi="Arial"/>
          <w:color w:val="1A1410"/>
          <w:sz w:val="21"/>
        </w:rPr>
        <w:t>Disbursements: add the same clickable summary cards and a “needs action first” ordering that the Partners and Dashboard pages now have.</w:t>
      </w:r>
    </w:p>
    <w:p>
      <w:pPr>
        <w:pStyle w:val="ListBullet"/>
        <w:spacing w:after="80"/>
      </w:pPr>
      <w:r>
        <w:rPr>
          <w:rFonts w:ascii="Arial" w:hAnsi="Arial"/>
          <w:color w:val="1A1410"/>
          <w:sz w:val="21"/>
        </w:rPr>
        <w:t>Dashboard: make the severity summary on the attention feed clickable, so you can jump straight to just the critical items.</w:t>
      </w:r>
    </w:p>
    <w:p>
      <w:pPr>
        <w:pStyle w:val="ListBullet"/>
        <w:spacing w:after="80"/>
      </w:pPr>
      <w:r>
        <w:rPr>
          <w:rFonts w:ascii="Arial" w:hAnsi="Arial"/>
          <w:color w:val="1A1410"/>
          <w:sz w:val="21"/>
        </w:rPr>
        <w:t>A proper “is-test” flag in the database to replace the current name-based rule for hiding fixtures — more robust, invisible to users.</w:t>
      </w:r>
    </w:p>
    <w:p>
      <w:pPr>
        <w:pStyle w:val="ListBullet"/>
        <w:spacing w:after="80"/>
      </w:pPr>
      <w:r>
        <w:rPr>
          <w:rFonts w:ascii="Arial" w:hAnsi="Arial"/>
          <w:color w:val="1A1410"/>
          <w:sz w:val="21"/>
        </w:rPr>
        <w:t>Native Sudanese-Arabic review of the remaining Arabic strings — the round-two pack is with the reviewers.</w:t>
      </w:r>
    </w:p>
    <w:p>
      <w:pPr>
        <w:pStyle w:val="ListBullet"/>
        <w:spacing w:after="80"/>
      </w:pPr>
      <w:r>
        <w:rPr>
          <w:rFonts w:ascii="Arial" w:hAnsi="Arial"/>
          <w:color w:val="1A1410"/>
          <w:sz w:val="21"/>
        </w:rPr>
        <w:t>Backups + object storage, outbound production email, uptime monitoring, the periodic sanctions sweep, and WhatsApp on Meta’s own channel (SMS fallback works today) — each an account, key or approval that sits with IT or Meta.</w:t>
      </w:r>
    </w:p>
    <w:p>
      <w:pPr>
        <w:pStyle w:val="Heading1"/>
      </w:pPr>
      <w:r>
        <w:t>How this was checked</w:t>
      </w:r>
    </w:p>
    <w:p>
      <w:pPr>
        <w:pStyle w:val="ListBullet"/>
        <w:spacing w:after="80"/>
      </w:pPr>
      <w:r>
        <w:rPr>
          <w:rFonts w:ascii="Arial" w:hAnsi="Arial"/>
          <w:color w:val="1A1410"/>
          <w:sz w:val="21"/>
        </w:rPr>
        <w:t>Every one of the twelve tickets was traced to the actual deployed code before being marked already-live, shipped, or needing input — not assumed.</w:t>
      </w:r>
    </w:p>
    <w:p>
      <w:pPr>
        <w:pStyle w:val="ListBullet"/>
        <w:spacing w:after="80"/>
      </w:pPr>
      <w:r>
        <w:rPr>
          <w:rFonts w:ascii="Arial" w:hAnsi="Arial"/>
          <w:color w:val="1A1410"/>
          <w:sz w:val="21"/>
        </w:rPr>
        <w:t>The two new Partners features were confirmed present in the live front-end bundle after deploy, on both proximate.kuja.org and the Railway host.</w:t>
      </w:r>
    </w:p>
    <w:p>
      <w:pPr>
        <w:pStyle w:val="ListBullet"/>
        <w:spacing w:after="80"/>
      </w:pPr>
      <w:r>
        <w:rPr>
          <w:rFonts w:ascii="Arial" w:hAnsi="Arial"/>
          <w:color w:val="1A1410"/>
          <w:sz w:val="21"/>
        </w:rPr>
        <w:t>The standing automated suite passed in full before release — 125 of 125 checks, the security matrix 29 of 29, and the navigation check 12 of 12.</w:t>
      </w:r>
    </w:p>
    <w:p>
      <w:pPr>
        <w:pStyle w:val="ListBullet"/>
        <w:spacing w:after="80"/>
      </w:pPr>
      <w:r>
        <w:rPr>
          <w:rFonts w:ascii="Arial" w:hAnsi="Arial"/>
          <w:color w:val="1A1410"/>
          <w:sz w:val="21"/>
        </w:rPr>
        <w:t>One honest limit: the Oversight-Body console is login-protected and we do not hold an operator password, so these were verified through the system’s own data interface and the deployed code rather than by us logging in as an operator. If anything looks different after a hard refresh, tell us what you see and we will adjust.</w:t>
      </w:r>
    </w:p>
    <w:p>
      <w:pPr>
        <w:spacing w:after="160" w:before="80"/>
      </w:pPr>
      <w:r>
        <w:rPr>
          <w:rFonts w:ascii="Arial" w:hAnsi="Arial"/>
          <w:b w:val="0"/>
          <w:i w:val="0"/>
          <w:color w:val="57534E"/>
          <w:sz w:val="20"/>
        </w:rPr>
        <w:t>Deployed and running as build ff230a81b — the clickable Partners filters and the per-row next actions; the dashboard de-clutter shipped earlier the same day as build 0c19aaa7f.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1A141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C2410C"/>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1A141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