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Georgia" w:hAnsi="Georgia"/>
          <w:b/>
          <w:i w:val="0"/>
          <w:color w:val="C2410C"/>
          <w:sz w:val="56"/>
        </w:rPr>
        <w:t>KUJA</w:t>
      </w:r>
    </w:p>
    <w:p>
      <w:pPr>
        <w:spacing w:after="40"/>
      </w:pPr>
      <w:r>
        <w:rPr>
          <w:rFonts w:ascii="Georgia" w:hAnsi="Georgia"/>
          <w:b/>
          <w:i w:val="0"/>
          <w:color w:val="1F3864"/>
          <w:sz w:val="32"/>
        </w:rPr>
        <w:t>Go-To-Market Strategy 2026–2028</w:t>
      </w:r>
    </w:p>
    <w:p>
      <w:pPr>
        <w:spacing w:after="160"/>
      </w:pPr>
      <w:r>
        <w:rPr>
          <w:rFonts w:ascii="Georgia" w:hAnsi="Georgia"/>
          <w:b w:val="0"/>
          <w:i/>
          <w:color w:val="1A1410"/>
          <w:sz w:val="22"/>
        </w:rPr>
        <w:t>Segments · seven motions · pricing · the 2026 pilot / 2027 conversion plan</w:t>
      </w:r>
    </w:p>
    <w:p>
      <w:pPr>
        <w:spacing w:after="40"/>
      </w:pPr>
      <w:r>
        <w:rPr>
          <w:rFonts w:ascii="Georgia" w:hAnsi="Georgia"/>
          <w:b w:val="0"/>
          <w:i w:val="0"/>
          <w:color w:val="57534E"/>
          <w:sz w:val="19"/>
        </w:rPr>
        <w:t>Version 2.1 · 17 August 2026 · companion to the Kuja Business Strategy V4.1. All pricing is a recommendation to validate in paid pilots — not a public rate card and not contractual until leadership approves it after the first pilots close.</w:t>
      </w:r>
    </w:p>
    <w:p>
      <w:pPr>
        <w:spacing w:after="40"/>
      </w:pPr>
      <w:r>
        <w:rPr>
          <w:rFonts w:ascii="Georgia" w:hAnsi="Georgia"/>
          <w:b w:val="0"/>
          <w:i w:val="0"/>
          <w:color w:val="57534E"/>
          <w:sz w:val="19"/>
        </w:rPr>
        <w:t>Adeso · Nairobi, Kenya · kuja@adeso.org · Confidential.</w:t>
      </w:r>
    </w:p>
    <w:p>
      <w:pPr>
        <w:pStyle w:val="Heading1"/>
      </w:pPr>
      <w:r>
        <w:t>1. The Headline: Pilot in 2026, Convert in 2027</w:t>
      </w:r>
    </w:p>
    <w:p>
      <w:pPr>
        <w:spacing w:after="120"/>
      </w:pPr>
      <w:r>
        <w:rPr>
          <w:rFonts w:ascii="Georgia" w:hAnsi="Georgia"/>
          <w:b w:val="0"/>
          <w:i w:val="0"/>
          <w:color w:val="1A1410"/>
          <w:sz w:val="20"/>
        </w:rPr>
        <w:t>Our focus this year is to land a pilot from every go-to-market motion and convert those pilots into paying annual contracts in 2027. 2026 is a pilot year — pilots are paid (never a free live-production deployment), but they are structured to prove value and secure a named buyer, not to hit a revenue number. The one motion that generates real revenue in 2026 is donor-sponsored Kuja Build: two to three donors sponsoring the operating system for roughly five grantees each (10–15 organizations funded). Everything else in 2026 is a reference-building pilot that converts in 2027.</w:t>
      </w:r>
    </w:p>
    <w:tbl>
      <w:tblPr>
        <w:tblStyle w:val="TableGrid"/>
        <w:tblW w:type="auto" w:w="0"/>
        <w:tblLook w:firstColumn="1" w:firstRow="1" w:lastColumn="0" w:lastRow="0" w:noHBand="0" w:noVBand="1" w:val="04A0"/>
      </w:tblPr>
      <w:tblGrid>
        <w:gridCol w:w="9792"/>
      </w:tblGrid>
      <w:tr>
        <w:tc>
          <w:tcPr>
            <w:tcW w:type="dxa" w:w="9792"/>
            <w:shd w:val="clear" w:fill="FBEDE6"/>
          </w:tcPr>
          <w:p>
            <w:r/>
            <w:r>
              <w:rPr>
                <w:rFonts w:ascii="Georgia" w:hAnsi="Georgia"/>
                <w:b/>
                <w:color w:val="C2410C"/>
                <w:sz w:val="19"/>
              </w:rPr>
              <w:t xml:space="preserve">The commercial decision, in one line:  </w:t>
            </w:r>
            <w:r>
              <w:rPr>
                <w:rFonts w:ascii="Georgia" w:hAnsi="Georgia"/>
                <w:color w:val="1A1410"/>
                <w:sz w:val="19"/>
              </w:rPr>
              <w:t>keep NGOs free, price each product on the value it manages (grant volume, organizations relied on, org size + modules), sell to the party that holds the budget, and bundle the products so each sale seeds the next.</w:t>
            </w:r>
          </w:p>
        </w:tc>
      </w:tr>
    </w:tbl>
    <w:p>
      <w:pPr>
        <w:spacing w:after="20"/>
      </w:pPr>
    </w:p>
    <w:p>
      <w:pPr>
        <w:spacing w:after="120"/>
      </w:pPr>
      <w:r>
        <w:rPr>
          <w:rFonts w:ascii="Georgia" w:hAnsi="Georgia"/>
          <w:b w:val="0"/>
          <w:i/>
          <w:color w:val="57534E"/>
          <w:sz w:val="20"/>
        </w:rPr>
        <w:t>This document is deliberately separate from the Business Strategy. The strategy explains the products and the market; this explains who buys, how they buy, what they pay, and when. The two are kept in sync but not merged, so each stays clean.</w:t>
      </w:r>
    </w:p>
    <w:p>
      <w:pPr>
        <w:pStyle w:val="Heading1"/>
      </w:pPr>
      <w:r>
        <w:t>2. Pricing Principles</w:t>
      </w:r>
    </w:p>
    <w:p>
      <w:pPr>
        <w:spacing w:after="120"/>
      </w:pPr>
      <w:r>
        <w:rPr>
          <w:rFonts w:ascii="Georgia" w:hAnsi="Georgia"/>
          <w:b w:val="0"/>
          <w:i w:val="0"/>
          <w:color w:val="1A1410"/>
          <w:sz w:val="20"/>
        </w:rPr>
        <w:t>Six rules govern every quote. They come from market convention and from the economics of our buyers, not from preference.</w:t>
      </w:r>
    </w:p>
    <w:tbl>
      <w:tblPr>
        <w:tblStyle w:val="TableGrid"/>
        <w:tblW w:type="auto" w:w="0"/>
        <w:tblLook w:firstColumn="1" w:firstRow="1" w:lastColumn="0" w:lastRow="0" w:noHBand="0" w:noVBand="1" w:val="04A0"/>
      </w:tblPr>
      <w:tblGrid>
        <w:gridCol w:w="3264"/>
        <w:gridCol w:w="3264"/>
        <w:gridCol w:w="3264"/>
      </w:tblGrid>
      <w:tr>
        <w:tc>
          <w:tcPr>
            <w:tcW w:type="dxa" w:w="2160"/>
            <w:shd w:val="clear" w:fill="1F3864"/>
          </w:tcPr>
          <w:p>
            <w:pPr>
              <w:spacing w:after="20" w:before="20"/>
            </w:pPr>
            <w:r/>
            <w:r>
              <w:rPr>
                <w:rFonts w:ascii="Georgia" w:hAnsi="Georgia"/>
                <w:b/>
                <w:color w:val="FFFFFF"/>
                <w:sz w:val="17"/>
              </w:rPr>
              <w:t>Principle</w:t>
            </w:r>
          </w:p>
        </w:tc>
        <w:tc>
          <w:tcPr>
            <w:tcW w:type="dxa" w:w="4320"/>
            <w:shd w:val="clear" w:fill="1F3864"/>
          </w:tcPr>
          <w:p>
            <w:pPr>
              <w:spacing w:after="20" w:before="20"/>
            </w:pPr>
            <w:r/>
            <w:r>
              <w:rPr>
                <w:rFonts w:ascii="Georgia" w:hAnsi="Georgia"/>
                <w:b/>
                <w:color w:val="FFFFFF"/>
                <w:sz w:val="17"/>
              </w:rPr>
              <w:t>Rule</w:t>
            </w:r>
          </w:p>
        </w:tc>
        <w:tc>
          <w:tcPr>
            <w:tcW w:type="dxa" w:w="3168"/>
            <w:shd w:val="clear" w:fill="1F3864"/>
          </w:tcPr>
          <w:p>
            <w:pPr>
              <w:spacing w:after="20" w:before="20"/>
            </w:pPr>
            <w:r/>
            <w:r>
              <w:rPr>
                <w:rFonts w:ascii="Georgia" w:hAnsi="Georgia"/>
                <w:b/>
                <w:color w:val="FFFFFF"/>
                <w:sz w:val="17"/>
              </w:rPr>
              <w:t>Why</w:t>
            </w:r>
          </w:p>
        </w:tc>
      </w:tr>
      <w:tr>
        <w:tc>
          <w:tcPr>
            <w:tcW w:type="dxa" w:w="2160"/>
          </w:tcPr>
          <w:p>
            <w:pPr>
              <w:spacing w:after="20" w:before="20"/>
            </w:pPr>
            <w:r/>
            <w:r>
              <w:rPr>
                <w:rFonts w:ascii="Georgia" w:hAnsi="Georgia"/>
                <w:b w:val="0"/>
                <w:color w:val="1A1410"/>
                <w:sz w:val="17"/>
              </w:rPr>
              <w:t>Follow the budget</w:t>
            </w:r>
          </w:p>
        </w:tc>
        <w:tc>
          <w:tcPr>
            <w:tcW w:type="dxa" w:w="4320"/>
          </w:tcPr>
          <w:p>
            <w:pPr>
              <w:spacing w:after="20" w:before="20"/>
            </w:pPr>
            <w:r/>
            <w:r>
              <w:rPr>
                <w:rFonts w:ascii="Georgia" w:hAnsi="Georgia"/>
                <w:b w:val="0"/>
                <w:color w:val="1A1410"/>
                <w:sz w:val="17"/>
              </w:rPr>
              <w:t>Sell to funders, networks and fund operators — they hold the software budget and capture the savings.</w:t>
            </w:r>
          </w:p>
        </w:tc>
        <w:tc>
          <w:tcPr>
            <w:tcW w:type="dxa" w:w="3168"/>
          </w:tcPr>
          <w:p>
            <w:pPr>
              <w:spacing w:after="20" w:before="20"/>
            </w:pPr>
            <w:r/>
            <w:r>
              <w:rPr>
                <w:rFonts w:ascii="Georgia" w:hAnsi="Georgia"/>
                <w:b w:val="0"/>
                <w:color w:val="1A1410"/>
                <w:sz w:val="17"/>
              </w:rPr>
              <w:t>The economic benefit rises with portfolio responsibility and duplicated work removed.</w:t>
            </w:r>
          </w:p>
        </w:tc>
      </w:tr>
      <w:tr>
        <w:tc>
          <w:tcPr>
            <w:tcW w:type="dxa" w:w="2160"/>
            <w:shd w:val="clear" w:fill="EEF2F8"/>
          </w:tcPr>
          <w:p>
            <w:pPr>
              <w:spacing w:after="20" w:before="20"/>
            </w:pPr>
            <w:r/>
            <w:r>
              <w:rPr>
                <w:rFonts w:ascii="Georgia" w:hAnsi="Georgia"/>
                <w:b w:val="0"/>
                <w:color w:val="1A1410"/>
                <w:sz w:val="17"/>
              </w:rPr>
              <w:t>Keep supply free</w:t>
            </w:r>
          </w:p>
        </w:tc>
        <w:tc>
          <w:tcPr>
            <w:tcW w:type="dxa" w:w="4320"/>
            <w:shd w:val="clear" w:fill="EEF2F8"/>
          </w:tcPr>
          <w:p>
            <w:pPr>
              <w:spacing w:after="20" w:before="20"/>
            </w:pPr>
            <w:r/>
            <w:r>
              <w:rPr>
                <w:rFonts w:ascii="Georgia" w:hAnsi="Georgia"/>
                <w:b w:val="0"/>
                <w:color w:val="1A1410"/>
                <w:sz w:val="17"/>
              </w:rPr>
              <w:t>NGOs never pay to apply, report, or hold a core Trust Passport. Applicants and grantees are always free.</w:t>
            </w:r>
          </w:p>
        </w:tc>
        <w:tc>
          <w:tcPr>
            <w:tcW w:type="dxa" w:w="3168"/>
            <w:shd w:val="clear" w:fill="EEF2F8"/>
          </w:tcPr>
          <w:p>
            <w:pPr>
              <w:spacing w:after="20" w:before="20"/>
            </w:pPr>
            <w:r/>
            <w:r>
              <w:rPr>
                <w:rFonts w:ascii="Georgia" w:hAnsi="Georgia"/>
                <w:b w:val="0"/>
                <w:color w:val="1A1410"/>
                <w:sz w:val="17"/>
              </w:rPr>
              <w:t>Charging the least-resourced actor slows the network and contradicts localization.</w:t>
            </w:r>
          </w:p>
        </w:tc>
      </w:tr>
      <w:tr>
        <w:tc>
          <w:tcPr>
            <w:tcW w:type="dxa" w:w="2160"/>
          </w:tcPr>
          <w:p>
            <w:pPr>
              <w:spacing w:after="20" w:before="20"/>
            </w:pPr>
            <w:r/>
            <w:r>
              <w:rPr>
                <w:rFonts w:ascii="Georgia" w:hAnsi="Georgia"/>
                <w:b w:val="0"/>
                <w:color w:val="1A1410"/>
                <w:sz w:val="17"/>
              </w:rPr>
              <w:t>Value, not seats</w:t>
            </w:r>
          </w:p>
        </w:tc>
        <w:tc>
          <w:tcPr>
            <w:tcW w:type="dxa" w:w="4320"/>
          </w:tcPr>
          <w:p>
            <w:pPr>
              <w:spacing w:after="20" w:before="20"/>
            </w:pPr>
            <w:r/>
            <w:r>
              <w:rPr>
                <w:rFonts w:ascii="Georgia" w:hAnsi="Georgia"/>
                <w:b w:val="0"/>
                <w:color w:val="1A1410"/>
                <w:sz w:val="17"/>
              </w:rPr>
              <w:t>Price on grant volume (Fund), organizations relied on (Trust), and org size + modules (Build). Users unlimited.</w:t>
            </w:r>
          </w:p>
        </w:tc>
        <w:tc>
          <w:tcPr>
            <w:tcW w:type="dxa" w:w="3168"/>
          </w:tcPr>
          <w:p>
            <w:pPr>
              <w:spacing w:after="20" w:before="20"/>
            </w:pPr>
            <w:r/>
            <w:r>
              <w:rPr>
                <w:rFonts w:ascii="Georgia" w:hAnsi="Georgia"/>
                <w:b w:val="0"/>
                <w:color w:val="1A1410"/>
                <w:sz w:val="17"/>
              </w:rPr>
              <w:t>Per-seat pricing punishes lean, high-volume local funds.</w:t>
            </w:r>
          </w:p>
        </w:tc>
      </w:tr>
      <w:tr>
        <w:tc>
          <w:tcPr>
            <w:tcW w:type="dxa" w:w="2160"/>
            <w:shd w:val="clear" w:fill="EEF2F8"/>
          </w:tcPr>
          <w:p>
            <w:pPr>
              <w:spacing w:after="20" w:before="20"/>
            </w:pPr>
            <w:r/>
            <w:r>
              <w:rPr>
                <w:rFonts w:ascii="Georgia" w:hAnsi="Georgia"/>
                <w:b w:val="0"/>
                <w:color w:val="1A1410"/>
                <w:sz w:val="17"/>
              </w:rPr>
              <w:t>Donor pays more than the NGO</w:t>
            </w:r>
          </w:p>
        </w:tc>
        <w:tc>
          <w:tcPr>
            <w:tcW w:type="dxa" w:w="4320"/>
            <w:shd w:val="clear" w:fill="EEF2F8"/>
          </w:tcPr>
          <w:p>
            <w:pPr>
              <w:spacing w:after="20" w:before="20"/>
            </w:pPr>
            <w:r/>
            <w:r>
              <w:rPr>
                <w:rFonts w:ascii="Georgia" w:hAnsi="Georgia"/>
                <w:b w:val="0"/>
                <w:color w:val="1A1410"/>
                <w:sz w:val="17"/>
              </w:rPr>
              <w:t>When a donor buys on an org’s behalf, that price is higher than the same org buying Build directly.</w:t>
            </w:r>
          </w:p>
        </w:tc>
        <w:tc>
          <w:tcPr>
            <w:tcW w:type="dxa" w:w="3168"/>
            <w:shd w:val="clear" w:fill="EEF2F8"/>
          </w:tcPr>
          <w:p>
            <w:pPr>
              <w:spacing w:after="20" w:before="20"/>
            </w:pPr>
            <w:r/>
            <w:r>
              <w:rPr>
                <w:rFonts w:ascii="Georgia" w:hAnsi="Georgia"/>
                <w:b w:val="0"/>
                <w:color w:val="1A1410"/>
                <w:sz w:val="17"/>
              </w:rPr>
              <w:t>Donors hold budget; direct NGO purchase must stay affordable.</w:t>
            </w:r>
          </w:p>
        </w:tc>
      </w:tr>
      <w:tr>
        <w:tc>
          <w:tcPr>
            <w:tcW w:type="dxa" w:w="2160"/>
          </w:tcPr>
          <w:p>
            <w:pPr>
              <w:spacing w:after="20" w:before="20"/>
            </w:pPr>
            <w:r/>
            <w:r>
              <w:rPr>
                <w:rFonts w:ascii="Georgia" w:hAnsi="Georgia"/>
                <w:b w:val="0"/>
                <w:color w:val="1A1410"/>
                <w:sz w:val="17"/>
              </w:rPr>
              <w:t>The 2%-of-budget ceiling</w:t>
            </w:r>
          </w:p>
        </w:tc>
        <w:tc>
          <w:tcPr>
            <w:tcW w:type="dxa" w:w="4320"/>
          </w:tcPr>
          <w:p>
            <w:pPr>
              <w:spacing w:after="20" w:before="20"/>
            </w:pPr>
            <w:r/>
            <w:r>
              <w:rPr>
                <w:rFonts w:ascii="Georgia" w:hAnsi="Georgia"/>
                <w:b w:val="0"/>
                <w:color w:val="1A1410"/>
                <w:sz w:val="17"/>
              </w:rPr>
              <w:t>An org should never be asked for more than ~2% of its annual budget for software — and Build must read as a deal versus buying separate systems.</w:t>
            </w:r>
          </w:p>
        </w:tc>
        <w:tc>
          <w:tcPr>
            <w:tcW w:type="dxa" w:w="3168"/>
          </w:tcPr>
          <w:p>
            <w:pPr>
              <w:spacing w:after="20" w:before="20"/>
            </w:pPr>
            <w:r/>
            <w:r>
              <w:rPr>
                <w:rFonts w:ascii="Georgia" w:hAnsi="Georgia"/>
                <w:b w:val="0"/>
                <w:color w:val="1A1410"/>
                <w:sz w:val="17"/>
              </w:rPr>
              <w:t>A $500k org’s ICR is ~10% and must cover all operations; software cannot crowd out program.</w:t>
            </w:r>
          </w:p>
        </w:tc>
      </w:tr>
      <w:tr>
        <w:tc>
          <w:tcPr>
            <w:tcW w:type="dxa" w:w="2160"/>
            <w:shd w:val="clear" w:fill="EEF2F8"/>
          </w:tcPr>
          <w:p>
            <w:pPr>
              <w:spacing w:after="20" w:before="20"/>
            </w:pPr>
            <w:r/>
            <w:r>
              <w:rPr>
                <w:rFonts w:ascii="Georgia" w:hAnsi="Georgia"/>
                <w:b w:val="0"/>
                <w:color w:val="1A1410"/>
                <w:sz w:val="17"/>
              </w:rPr>
              <w:t>Discount with rules</w:t>
            </w:r>
          </w:p>
        </w:tc>
        <w:tc>
          <w:tcPr>
            <w:tcW w:type="dxa" w:w="4320"/>
            <w:shd w:val="clear" w:fill="EEF2F8"/>
          </w:tcPr>
          <w:p>
            <w:pPr>
              <w:spacing w:after="20" w:before="20"/>
            </w:pPr>
            <w:r/>
            <w:r>
              <w:rPr>
                <w:rFonts w:ascii="Georgia" w:hAnsi="Georgia"/>
                <w:b w:val="0"/>
                <w:color w:val="1A1410"/>
                <w:sz w:val="17"/>
              </w:rPr>
              <w:t>Governed mission, term and bundle discounts with a cumulative cap — never ad-hoc negotiation.</w:t>
            </w:r>
          </w:p>
        </w:tc>
        <w:tc>
          <w:tcPr>
            <w:tcW w:type="dxa" w:w="3168"/>
            <w:shd w:val="clear" w:fill="EEF2F8"/>
          </w:tcPr>
          <w:p>
            <w:pPr>
              <w:spacing w:after="20" w:before="20"/>
            </w:pPr>
            <w:r/>
            <w:r>
              <w:rPr>
                <w:rFonts w:ascii="Georgia" w:hAnsi="Georgia"/>
                <w:b w:val="0"/>
                <w:color w:val="1A1410"/>
                <w:sz w:val="17"/>
              </w:rPr>
              <w:t>Mission alignment should be equitable and financially controlled.</w:t>
            </w:r>
          </w:p>
        </w:tc>
      </w:tr>
    </w:tbl>
    <w:p>
      <w:pPr>
        <w:spacing w:after="20"/>
      </w:pPr>
    </w:p>
    <w:p>
      <w:pPr>
        <w:spacing w:after="120" w:before="40"/>
      </w:pPr>
      <w:r>
        <w:rPr>
          <w:rFonts w:ascii="Georgia" w:hAnsi="Georgia"/>
          <w:b w:val="0"/>
          <w:i w:val="0"/>
          <w:color w:val="1A1410"/>
          <w:sz w:val="20"/>
        </w:rPr>
        <w:t>Value-metric hierarchy for a quote: (1) primary — annual grant volume or portfolio responsibility; (2) secondary — active organizations and applications; (3) complexity — programs, entities, countries, governance layers; (4) service — implementation, migration, SLA, residency. The primary and secondary metrics set the standard tier; complexity and service decide standard-tier versus enterprise quote.</w:t>
      </w:r>
    </w:p>
    <w:tbl>
      <w:tblPr>
        <w:tblStyle w:val="TableGrid"/>
        <w:tblW w:type="auto" w:w="0"/>
        <w:tblLook w:firstColumn="1" w:firstRow="1" w:lastColumn="0" w:lastRow="0" w:noHBand="0" w:noVBand="1" w:val="04A0"/>
      </w:tblPr>
      <w:tblGrid>
        <w:gridCol w:w="9792"/>
      </w:tblGrid>
      <w:tr>
        <w:tc>
          <w:tcPr>
            <w:tcW w:type="dxa" w:w="9792"/>
            <w:shd w:val="clear" w:fill="FBEDE6"/>
          </w:tcPr>
          <w:p>
            <w:r/>
            <w:r>
              <w:rPr>
                <w:rFonts w:ascii="Georgia" w:hAnsi="Georgia"/>
                <w:b/>
                <w:color w:val="C2410C"/>
                <w:sz w:val="19"/>
              </w:rPr>
              <w:t xml:space="preserve">How the customer is charged:  </w:t>
            </w:r>
            <w:r>
              <w:rPr>
                <w:rFonts w:ascii="Georgia" w:hAnsi="Georgia"/>
                <w:color w:val="1A1410"/>
                <w:sz w:val="19"/>
              </w:rPr>
              <w:t>a FLAT annual fee per tier — not a percentage of anything. Grant volume (or orgs relied on, or org size) only selects which tier the customer falls into; the price they pay is the fixed tier price. Kuja never charges a live percentage of grants or a percentage of disbursements — that would read as taxing the aid.</w:t>
            </w:r>
          </w:p>
        </w:tc>
      </w:tr>
    </w:tbl>
    <w:p>
      <w:pPr>
        <w:spacing w:after="20"/>
      </w:pPr>
    </w:p>
    <w:p>
      <w:pPr>
        <w:spacing w:after="120"/>
      </w:pPr>
      <w:r>
        <w:rPr>
          <w:rFonts w:ascii="Georgia" w:hAnsi="Georgia"/>
          <w:b w:val="0"/>
          <w:i w:val="0"/>
          <w:color w:val="57534E"/>
          <w:sz w:val="19"/>
        </w:rPr>
        <w:t>The one place a percentage appears is an internal proportionality check, NOT a charge: for standard tiers the flat fee should land between 0.10% and 0.50% of the grant volume it manages. Below that we are leaving value uncaptured; above it, a small fund perceives software as competing with program spend. We use it to sanity-check where a tier sits, not to bill the customer.</w:t>
      </w:r>
    </w:p>
    <w:p>
      <w:pPr>
        <w:pStyle w:val="Heading1"/>
      </w:pPr>
      <w:r>
        <w:t>3. Customer Segments</w:t>
      </w:r>
    </w:p>
    <w:p>
      <w:pPr>
        <w:spacing w:after="120"/>
      </w:pPr>
      <w:r>
        <w:rPr>
          <w:rFonts w:ascii="Georgia" w:hAnsi="Georgia"/>
          <w:b w:val="0"/>
          <w:i w:val="0"/>
          <w:color w:val="1A1410"/>
          <w:sz w:val="20"/>
        </w:rPr>
        <w:t>Six segments. The sub-classes marked PRIORITY are where the 2026–2027 pipeline is focused; the rest are served near-passively through the free tiers until the priority pipeline is converting. Budget bands are country-level (an INGO’s consolidated global budget overstates what a local buyer controls).</w:t>
      </w:r>
    </w:p>
    <w:tbl>
      <w:tblPr>
        <w:tblStyle w:val="TableGrid"/>
        <w:tblW w:type="auto" w:w="0"/>
        <w:tblLook w:firstColumn="1" w:firstRow="1" w:lastColumn="0" w:lastRow="0" w:noHBand="0" w:noVBand="1" w:val="04A0"/>
      </w:tblPr>
      <w:tblGrid>
        <w:gridCol w:w="2448"/>
        <w:gridCol w:w="2448"/>
        <w:gridCol w:w="2448"/>
        <w:gridCol w:w="2448"/>
      </w:tblGrid>
      <w:tr>
        <w:tc>
          <w:tcPr>
            <w:tcW w:type="dxa" w:w="432"/>
            <w:shd w:val="clear" w:fill="1F3864"/>
          </w:tcPr>
          <w:p>
            <w:pPr>
              <w:spacing w:after="20" w:before="20"/>
            </w:pPr>
            <w:r/>
            <w:r>
              <w:rPr>
                <w:rFonts w:ascii="Georgia" w:hAnsi="Georgia"/>
                <w:b/>
                <w:color w:val="FFFFFF"/>
                <w:sz w:val="17"/>
              </w:rPr>
              <w:t>#</w:t>
            </w:r>
          </w:p>
        </w:tc>
        <w:tc>
          <w:tcPr>
            <w:tcW w:type="dxa" w:w="2448"/>
            <w:shd w:val="clear" w:fill="1F3864"/>
          </w:tcPr>
          <w:p>
            <w:pPr>
              <w:spacing w:after="20" w:before="20"/>
            </w:pPr>
            <w:r/>
            <w:r>
              <w:rPr>
                <w:rFonts w:ascii="Georgia" w:hAnsi="Georgia"/>
                <w:b/>
                <w:color w:val="FFFFFF"/>
                <w:sz w:val="17"/>
              </w:rPr>
              <w:t>Segment</w:t>
            </w:r>
          </w:p>
        </w:tc>
        <w:tc>
          <w:tcPr>
            <w:tcW w:type="dxa" w:w="5040"/>
            <w:shd w:val="clear" w:fill="1F3864"/>
          </w:tcPr>
          <w:p>
            <w:pPr>
              <w:spacing w:after="20" w:before="20"/>
            </w:pPr>
            <w:r/>
            <w:r>
              <w:rPr>
                <w:rFonts w:ascii="Georgia" w:hAnsi="Georgia"/>
                <w:b/>
                <w:color w:val="FFFFFF"/>
                <w:sz w:val="17"/>
              </w:rPr>
              <w:t>Who</w:t>
            </w:r>
          </w:p>
        </w:tc>
        <w:tc>
          <w:tcPr>
            <w:tcW w:type="dxa" w:w="2016"/>
            <w:shd w:val="clear" w:fill="1F3864"/>
          </w:tcPr>
          <w:p>
            <w:pPr>
              <w:spacing w:after="20" w:before="20"/>
            </w:pPr>
            <w:r/>
            <w:r>
              <w:rPr>
                <w:rFonts w:ascii="Georgia" w:hAnsi="Georgia"/>
                <w:b/>
                <w:color w:val="FFFFFF"/>
                <w:sz w:val="17"/>
              </w:rPr>
              <w:t>Priority</w:t>
            </w:r>
          </w:p>
        </w:tc>
      </w:tr>
      <w:tr>
        <w:tc>
          <w:tcPr>
            <w:tcW w:type="dxa" w:w="432"/>
          </w:tcPr>
          <w:p>
            <w:pPr>
              <w:spacing w:after="20" w:before="20"/>
            </w:pPr>
            <w:r/>
            <w:r>
              <w:rPr>
                <w:rFonts w:ascii="Georgia" w:hAnsi="Georgia"/>
                <w:b w:val="0"/>
                <w:color w:val="1A1410"/>
                <w:sz w:val="17"/>
              </w:rPr>
              <w:t>1</w:t>
            </w:r>
          </w:p>
        </w:tc>
        <w:tc>
          <w:tcPr>
            <w:tcW w:type="dxa" w:w="2448"/>
          </w:tcPr>
          <w:p>
            <w:pPr>
              <w:spacing w:after="20" w:before="20"/>
            </w:pPr>
            <w:r/>
            <w:r>
              <w:rPr>
                <w:rFonts w:ascii="Georgia" w:hAnsi="Georgia"/>
                <w:b w:val="0"/>
                <w:color w:val="1A1410"/>
                <w:sz w:val="17"/>
              </w:rPr>
              <w:t>Intermediary re-granting funds</w:t>
            </w:r>
          </w:p>
        </w:tc>
        <w:tc>
          <w:tcPr>
            <w:tcW w:type="dxa" w:w="5040"/>
          </w:tcPr>
          <w:p>
            <w:pPr>
              <w:spacing w:after="20" w:before="20"/>
            </w:pPr>
            <w:r/>
            <w:r>
              <w:rPr>
                <w:rFonts w:ascii="Georgia" w:hAnsi="Georgia"/>
                <w:b w:val="0"/>
                <w:color w:val="1A1410"/>
                <w:sz w:val="17"/>
              </w:rPr>
              <w:t>INGOs (Oxfam, CARE); thematic funds (Global Fund for Women, Mama Cash, Kenya Community Development Fund); CSO networks running pooled funds (NEAR Change Fund, Start Network).</w:t>
            </w:r>
          </w:p>
        </w:tc>
        <w:tc>
          <w:tcPr>
            <w:tcW w:type="dxa" w:w="2016"/>
          </w:tcPr>
          <w:p>
            <w:pPr>
              <w:spacing w:after="20" w:before="20"/>
            </w:pPr>
            <w:r/>
            <w:r>
              <w:rPr>
                <w:rFonts w:ascii="Georgia" w:hAnsi="Georgia"/>
                <w:b w:val="0"/>
                <w:color w:val="1A1410"/>
                <w:sz w:val="17"/>
              </w:rPr>
              <w:t>PRIORITY</w:t>
            </w:r>
          </w:p>
        </w:tc>
      </w:tr>
      <w:tr>
        <w:tc>
          <w:tcPr>
            <w:tcW w:type="dxa" w:w="432"/>
            <w:shd w:val="clear" w:fill="EEF2F8"/>
          </w:tcPr>
          <w:p>
            <w:pPr>
              <w:spacing w:after="20" w:before="20"/>
            </w:pPr>
            <w:r/>
            <w:r>
              <w:rPr>
                <w:rFonts w:ascii="Georgia" w:hAnsi="Georgia"/>
                <w:b w:val="0"/>
                <w:color w:val="1A1410"/>
                <w:sz w:val="17"/>
              </w:rPr>
              <w:t>2</w:t>
            </w:r>
          </w:p>
        </w:tc>
        <w:tc>
          <w:tcPr>
            <w:tcW w:type="dxa" w:w="2448"/>
            <w:shd w:val="clear" w:fill="EEF2F8"/>
          </w:tcPr>
          <w:p>
            <w:pPr>
              <w:spacing w:after="20" w:before="20"/>
            </w:pPr>
            <w:r/>
            <w:r>
              <w:rPr>
                <w:rFonts w:ascii="Georgia" w:hAnsi="Georgia"/>
                <w:b w:val="0"/>
                <w:color w:val="1A1410"/>
                <w:sz w:val="17"/>
              </w:rPr>
              <w:t>Donors</w:t>
            </w:r>
          </w:p>
        </w:tc>
        <w:tc>
          <w:tcPr>
            <w:tcW w:type="dxa" w:w="5040"/>
            <w:shd w:val="clear" w:fill="EEF2F8"/>
          </w:tcPr>
          <w:p>
            <w:pPr>
              <w:spacing w:after="20" w:before="20"/>
            </w:pPr>
            <w:r/>
            <w:r>
              <w:rPr>
                <w:rFonts w:ascii="Georgia" w:hAnsi="Georgia"/>
                <w:b w:val="0"/>
                <w:color w:val="1A1410"/>
                <w:sz w:val="17"/>
              </w:rPr>
              <w:t>Philanthropic foundations (Hilton, Gates, Ford); corporate foundations (IKEA, Target, Google.org); DAFs and HNWIs (MacKenzie Scott-style); family offices; pooled funds. Bilateral/multilateral = 2028+.</w:t>
            </w:r>
          </w:p>
        </w:tc>
        <w:tc>
          <w:tcPr>
            <w:tcW w:type="dxa" w:w="2016"/>
            <w:shd w:val="clear" w:fill="EEF2F8"/>
          </w:tcPr>
          <w:p>
            <w:pPr>
              <w:spacing w:after="20" w:before="20"/>
            </w:pPr>
            <w:r/>
            <w:r>
              <w:rPr>
                <w:rFonts w:ascii="Georgia" w:hAnsi="Georgia"/>
                <w:b w:val="0"/>
                <w:color w:val="1A1410"/>
                <w:sz w:val="17"/>
              </w:rPr>
              <w:t>PRIORITY (foundations, corp. foundations, DAFs, pooled funds)</w:t>
            </w:r>
          </w:p>
        </w:tc>
      </w:tr>
      <w:tr>
        <w:tc>
          <w:tcPr>
            <w:tcW w:type="dxa" w:w="432"/>
          </w:tcPr>
          <w:p>
            <w:pPr>
              <w:spacing w:after="20" w:before="20"/>
            </w:pPr>
            <w:r/>
            <w:r>
              <w:rPr>
                <w:rFonts w:ascii="Georgia" w:hAnsi="Georgia"/>
                <w:b w:val="0"/>
                <w:color w:val="1A1410"/>
                <w:sz w:val="17"/>
              </w:rPr>
              <w:t>3</w:t>
            </w:r>
          </w:p>
        </w:tc>
        <w:tc>
          <w:tcPr>
            <w:tcW w:type="dxa" w:w="2448"/>
          </w:tcPr>
          <w:p>
            <w:pPr>
              <w:spacing w:after="20" w:before="20"/>
            </w:pPr>
            <w:r/>
            <w:r>
              <w:rPr>
                <w:rFonts w:ascii="Georgia" w:hAnsi="Georgia"/>
                <w:b w:val="0"/>
                <w:color w:val="1A1410"/>
                <w:sz w:val="17"/>
              </w:rPr>
              <w:t>CSOs by size</w:t>
            </w:r>
          </w:p>
        </w:tc>
        <w:tc>
          <w:tcPr>
            <w:tcW w:type="dxa" w:w="5040"/>
          </w:tcPr>
          <w:p>
            <w:pPr>
              <w:spacing w:after="20" w:before="20"/>
            </w:pPr>
            <w:r/>
            <w:r>
              <w:rPr>
                <w:rFonts w:ascii="Georgia" w:hAnsi="Georgia"/>
                <w:b w:val="0"/>
                <w:color w:val="1A1410"/>
                <w:sz w:val="17"/>
              </w:rPr>
              <w:t>Grassroots &lt;$500k; Small $500k–$2M; Medium $2M–$10M; Large $10M–$20M. Above ~$20M behave as re-granting intermediaries (segment 1).</w:t>
            </w:r>
          </w:p>
        </w:tc>
        <w:tc>
          <w:tcPr>
            <w:tcW w:type="dxa" w:w="2016"/>
          </w:tcPr>
          <w:p>
            <w:pPr>
              <w:spacing w:after="20" w:before="20"/>
            </w:pPr>
            <w:r/>
            <w:r>
              <w:rPr>
                <w:rFonts w:ascii="Georgia" w:hAnsi="Georgia"/>
                <w:b w:val="0"/>
                <w:color w:val="1A1410"/>
                <w:sz w:val="17"/>
              </w:rPr>
              <w:t>PRIORITY (Medium, Large)</w:t>
            </w:r>
          </w:p>
        </w:tc>
      </w:tr>
      <w:tr>
        <w:tc>
          <w:tcPr>
            <w:tcW w:type="dxa" w:w="432"/>
            <w:shd w:val="clear" w:fill="EEF2F8"/>
          </w:tcPr>
          <w:p>
            <w:pPr>
              <w:spacing w:after="20" w:before="20"/>
            </w:pPr>
            <w:r/>
            <w:r>
              <w:rPr>
                <w:rFonts w:ascii="Georgia" w:hAnsi="Georgia"/>
                <w:b w:val="0"/>
                <w:color w:val="1A1410"/>
                <w:sz w:val="17"/>
              </w:rPr>
              <w:t>4</w:t>
            </w:r>
          </w:p>
        </w:tc>
        <w:tc>
          <w:tcPr>
            <w:tcW w:type="dxa" w:w="2448"/>
            <w:shd w:val="clear" w:fill="EEF2F8"/>
          </w:tcPr>
          <w:p>
            <w:pPr>
              <w:spacing w:after="20" w:before="20"/>
            </w:pPr>
            <w:r/>
            <w:r>
              <w:rPr>
                <w:rFonts w:ascii="Georgia" w:hAnsi="Georgia"/>
                <w:b w:val="0"/>
                <w:color w:val="1A1410"/>
                <w:sz w:val="17"/>
              </w:rPr>
              <w:t>CSO networks (non-granting)</w:t>
            </w:r>
          </w:p>
        </w:tc>
        <w:tc>
          <w:tcPr>
            <w:tcW w:type="dxa" w:w="5040"/>
            <w:shd w:val="clear" w:fill="EEF2F8"/>
          </w:tcPr>
          <w:p>
            <w:pPr>
              <w:spacing w:after="20" w:before="20"/>
            </w:pPr>
            <w:r/>
            <w:r>
              <w:rPr>
                <w:rFonts w:ascii="Georgia" w:hAnsi="Georgia"/>
                <w:b w:val="0"/>
                <w:color w:val="1A1410"/>
                <w:sz w:val="17"/>
              </w:rPr>
              <w:t>Membership networks and consortia that convene and build capacity; same size bands. A network that starts a pooled fund moves to segment 1.</w:t>
            </w:r>
          </w:p>
        </w:tc>
        <w:tc>
          <w:tcPr>
            <w:tcW w:type="dxa" w:w="2016"/>
            <w:shd w:val="clear" w:fill="EEF2F8"/>
          </w:tcPr>
          <w:p>
            <w:pPr>
              <w:spacing w:after="20" w:before="20"/>
            </w:pPr>
            <w:r/>
            <w:r>
              <w:rPr>
                <w:rFonts w:ascii="Georgia" w:hAnsi="Georgia"/>
                <w:b w:val="0"/>
                <w:color w:val="1A1410"/>
                <w:sz w:val="17"/>
              </w:rPr>
              <w:t>—</w:t>
            </w:r>
          </w:p>
        </w:tc>
      </w:tr>
      <w:tr>
        <w:tc>
          <w:tcPr>
            <w:tcW w:type="dxa" w:w="432"/>
          </w:tcPr>
          <w:p>
            <w:pPr>
              <w:spacing w:after="20" w:before="20"/>
            </w:pPr>
            <w:r/>
            <w:r>
              <w:rPr>
                <w:rFonts w:ascii="Georgia" w:hAnsi="Georgia"/>
                <w:b w:val="0"/>
                <w:color w:val="1A1410"/>
                <w:sz w:val="17"/>
              </w:rPr>
              <w:t>5</w:t>
            </w:r>
          </w:p>
        </w:tc>
        <w:tc>
          <w:tcPr>
            <w:tcW w:type="dxa" w:w="2448"/>
          </w:tcPr>
          <w:p>
            <w:pPr>
              <w:spacing w:after="20" w:before="20"/>
            </w:pPr>
            <w:r/>
            <w:r>
              <w:rPr>
                <w:rFonts w:ascii="Georgia" w:hAnsi="Georgia"/>
                <w:b w:val="0"/>
                <w:color w:val="1A1410"/>
                <w:sz w:val="17"/>
              </w:rPr>
              <w:t>Due-diligence providers</w:t>
            </w:r>
          </w:p>
        </w:tc>
        <w:tc>
          <w:tcPr>
            <w:tcW w:type="dxa" w:w="5040"/>
          </w:tcPr>
          <w:p>
            <w:pPr>
              <w:spacing w:after="20" w:before="20"/>
            </w:pPr>
            <w:r/>
            <w:r>
              <w:rPr>
                <w:rFonts w:ascii="Georgia" w:hAnsi="Georgia"/>
                <w:b w:val="0"/>
                <w:color w:val="1A1410"/>
                <w:sz w:val="17"/>
              </w:rPr>
              <w:t>Capacity-assessment and DD providers — the NGOsource, TechSoup, GlobalGiving class.</w:t>
            </w:r>
          </w:p>
        </w:tc>
        <w:tc>
          <w:tcPr>
            <w:tcW w:type="dxa" w:w="2016"/>
          </w:tcPr>
          <w:p>
            <w:pPr>
              <w:spacing w:after="20" w:before="20"/>
            </w:pPr>
            <w:r/>
            <w:r>
              <w:rPr>
                <w:rFonts w:ascii="Georgia" w:hAnsi="Georgia"/>
                <w:b w:val="0"/>
                <w:color w:val="1A1410"/>
                <w:sz w:val="17"/>
              </w:rPr>
              <w:t>Motion E</w:t>
            </w:r>
          </w:p>
        </w:tc>
      </w:tr>
      <w:tr>
        <w:tc>
          <w:tcPr>
            <w:tcW w:type="dxa" w:w="432"/>
            <w:shd w:val="clear" w:fill="EEF2F8"/>
          </w:tcPr>
          <w:p>
            <w:pPr>
              <w:spacing w:after="20" w:before="20"/>
            </w:pPr>
            <w:r/>
            <w:r>
              <w:rPr>
                <w:rFonts w:ascii="Georgia" w:hAnsi="Georgia"/>
                <w:b w:val="0"/>
                <w:color w:val="1A1410"/>
                <w:sz w:val="17"/>
              </w:rPr>
              <w:t>6</w:t>
            </w:r>
          </w:p>
        </w:tc>
        <w:tc>
          <w:tcPr>
            <w:tcW w:type="dxa" w:w="2448"/>
            <w:shd w:val="clear" w:fill="EEF2F8"/>
          </w:tcPr>
          <w:p>
            <w:pPr>
              <w:spacing w:after="20" w:before="20"/>
            </w:pPr>
            <w:r/>
            <w:r>
              <w:rPr>
                <w:rFonts w:ascii="Georgia" w:hAnsi="Georgia"/>
                <w:b w:val="0"/>
                <w:color w:val="1A1410"/>
                <w:sz w:val="17"/>
              </w:rPr>
              <w:t>BPO providers, fund managers, fiscal sponsors</w:t>
            </w:r>
          </w:p>
        </w:tc>
        <w:tc>
          <w:tcPr>
            <w:tcW w:type="dxa" w:w="5040"/>
            <w:shd w:val="clear" w:fill="EEF2F8"/>
          </w:tcPr>
          <w:p>
            <w:pPr>
              <w:spacing w:after="20" w:before="20"/>
            </w:pPr>
            <w:r/>
            <w:r>
              <w:rPr>
                <w:rFonts w:ascii="Georgia" w:hAnsi="Georgia"/>
                <w:b w:val="0"/>
                <w:color w:val="1A1410"/>
                <w:sz w:val="17"/>
              </w:rPr>
              <w:t>Regional advisory firms; fund administrators; fiscal sponsors hosting early-stage orgs.</w:t>
            </w:r>
          </w:p>
        </w:tc>
        <w:tc>
          <w:tcPr>
            <w:tcW w:type="dxa" w:w="2016"/>
            <w:shd w:val="clear" w:fill="EEF2F8"/>
          </w:tcPr>
          <w:p>
            <w:pPr>
              <w:spacing w:after="20" w:before="20"/>
            </w:pPr>
            <w:r/>
            <w:r>
              <w:rPr>
                <w:rFonts w:ascii="Georgia" w:hAnsi="Georgia"/>
                <w:b w:val="0"/>
                <w:color w:val="1A1410"/>
                <w:sz w:val="17"/>
              </w:rPr>
              <w:t>Channel + Motion D</w:t>
            </w:r>
          </w:p>
        </w:tc>
      </w:tr>
    </w:tbl>
    <w:p>
      <w:pPr>
        <w:spacing w:after="20"/>
      </w:pPr>
    </w:p>
    <w:p>
      <w:pPr>
        <w:pStyle w:val="Heading1"/>
      </w:pPr>
      <w:r>
        <w:t>4. The Seven Go-To-Market Motions</w:t>
      </w:r>
    </w:p>
    <w:p>
      <w:pPr>
        <w:spacing w:after="120"/>
      </w:pPr>
      <w:r>
        <w:rPr>
          <w:rFonts w:ascii="Georgia" w:hAnsi="Georgia"/>
          <w:b w:val="0"/>
          <w:i w:val="0"/>
          <w:color w:val="1A1410"/>
          <w:sz w:val="20"/>
        </w:rPr>
        <w:t>One platform, four products, seven distinct ways they get bought. The architecture never changes; what changes is who signs, what they pay for, and which product they land on. The previous strategy listed five motions and buried ERP sales inside the grant ladder — this version gives Kuja Build its own two motions (F and G), because there are donors who will sponsor the operating system for their grantees without ever using Kuja Fund.</w:t>
      </w:r>
    </w:p>
    <w:tbl>
      <w:tblPr>
        <w:tblStyle w:val="TableGrid"/>
        <w:tblW w:type="auto" w:w="0"/>
        <w:tblLook w:firstColumn="1" w:firstRow="1" w:lastColumn="0" w:lastRow="0" w:noHBand="0" w:noVBand="1" w:val="04A0"/>
      </w:tblPr>
      <w:tblGrid>
        <w:gridCol w:w="2448"/>
        <w:gridCol w:w="2448"/>
        <w:gridCol w:w="2448"/>
        <w:gridCol w:w="2448"/>
      </w:tblGrid>
      <w:tr>
        <w:tc>
          <w:tcPr>
            <w:tcW w:type="dxa" w:w="720"/>
            <w:shd w:val="clear" w:fill="1F3864"/>
          </w:tcPr>
          <w:p>
            <w:pPr>
              <w:spacing w:after="20" w:before="20"/>
            </w:pPr>
            <w:r/>
            <w:r>
              <w:rPr>
                <w:rFonts w:ascii="Georgia" w:hAnsi="Georgia"/>
                <w:b/>
                <w:color w:val="FFFFFF"/>
                <w:sz w:val="17"/>
              </w:rPr>
              <w:t>Motion</w:t>
            </w:r>
          </w:p>
        </w:tc>
        <w:tc>
          <w:tcPr>
            <w:tcW w:type="dxa" w:w="2592"/>
            <w:shd w:val="clear" w:fill="1F3864"/>
          </w:tcPr>
          <w:p>
            <w:pPr>
              <w:spacing w:after="20" w:before="20"/>
            </w:pPr>
            <w:r/>
            <w:r>
              <w:rPr>
                <w:rFonts w:ascii="Georgia" w:hAnsi="Georgia"/>
                <w:b/>
                <w:color w:val="FFFFFF"/>
                <w:sz w:val="17"/>
              </w:rPr>
              <w:t>Name</w:t>
            </w:r>
          </w:p>
        </w:tc>
        <w:tc>
          <w:tcPr>
            <w:tcW w:type="dxa" w:w="3456"/>
            <w:shd w:val="clear" w:fill="1F3864"/>
          </w:tcPr>
          <w:p>
            <w:pPr>
              <w:spacing w:after="20" w:before="20"/>
            </w:pPr>
            <w:r/>
            <w:r>
              <w:rPr>
                <w:rFonts w:ascii="Georgia" w:hAnsi="Georgia"/>
                <w:b/>
                <w:color w:val="FFFFFF"/>
                <w:sz w:val="17"/>
              </w:rPr>
              <w:t>Who buys</w:t>
            </w:r>
          </w:p>
        </w:tc>
        <w:tc>
          <w:tcPr>
            <w:tcW w:type="dxa" w:w="3168"/>
            <w:shd w:val="clear" w:fill="1F3864"/>
          </w:tcPr>
          <w:p>
            <w:pPr>
              <w:spacing w:after="20" w:before="20"/>
            </w:pPr>
            <w:r/>
            <w:r>
              <w:rPr>
                <w:rFonts w:ascii="Georgia" w:hAnsi="Georgia"/>
                <w:b/>
                <w:color w:val="FFFFFF"/>
                <w:sz w:val="17"/>
              </w:rPr>
              <w:t>Lands on</w:t>
            </w:r>
          </w:p>
        </w:tc>
      </w:tr>
      <w:tr>
        <w:tc>
          <w:tcPr>
            <w:tcW w:type="dxa" w:w="720"/>
          </w:tcPr>
          <w:p>
            <w:pPr>
              <w:spacing w:after="20" w:before="20"/>
            </w:pPr>
            <w:r/>
            <w:r>
              <w:rPr>
                <w:rFonts w:ascii="Georgia" w:hAnsi="Georgia"/>
                <w:b w:val="0"/>
                <w:color w:val="1A1410"/>
                <w:sz w:val="17"/>
              </w:rPr>
              <w:t>A</w:t>
            </w:r>
          </w:p>
        </w:tc>
        <w:tc>
          <w:tcPr>
            <w:tcW w:type="dxa" w:w="2592"/>
          </w:tcPr>
          <w:p>
            <w:pPr>
              <w:spacing w:after="20" w:before="20"/>
            </w:pPr>
            <w:r/>
            <w:r>
              <w:rPr>
                <w:rFonts w:ascii="Georgia" w:hAnsi="Georgia"/>
                <w:b w:val="0"/>
                <w:color w:val="1A1410"/>
                <w:sz w:val="17"/>
              </w:rPr>
              <w:t>Kuja Link for orgs &amp; networks</w:t>
            </w:r>
          </w:p>
        </w:tc>
        <w:tc>
          <w:tcPr>
            <w:tcW w:type="dxa" w:w="3456"/>
          </w:tcPr>
          <w:p>
            <w:pPr>
              <w:spacing w:after="20" w:before="20"/>
            </w:pPr>
            <w:r/>
            <w:r>
              <w:rPr>
                <w:rFonts w:ascii="Georgia" w:hAnsi="Georgia"/>
                <w:b w:val="0"/>
                <w:color w:val="1A1410"/>
                <w:sz w:val="17"/>
              </w:rPr>
              <w:t>Medium/large CSOs and networks (seg. 3, 4)</w:t>
            </w:r>
          </w:p>
        </w:tc>
        <w:tc>
          <w:tcPr>
            <w:tcW w:type="dxa" w:w="3168"/>
          </w:tcPr>
          <w:p>
            <w:pPr>
              <w:spacing w:after="20" w:before="20"/>
            </w:pPr>
            <w:r/>
            <w:r>
              <w:rPr>
                <w:rFonts w:ascii="Georgia" w:hAnsi="Georgia"/>
                <w:b w:val="0"/>
                <w:color w:val="1A1410"/>
                <w:sz w:val="17"/>
              </w:rPr>
              <w:t>Link freemium + paid Trust Rating</w:t>
            </w:r>
          </w:p>
        </w:tc>
      </w:tr>
      <w:tr>
        <w:tc>
          <w:tcPr>
            <w:tcW w:type="dxa" w:w="720"/>
            <w:shd w:val="clear" w:fill="EEF2F8"/>
          </w:tcPr>
          <w:p>
            <w:pPr>
              <w:spacing w:after="20" w:before="20"/>
            </w:pPr>
            <w:r/>
            <w:r>
              <w:rPr>
                <w:rFonts w:ascii="Georgia" w:hAnsi="Georgia"/>
                <w:b w:val="0"/>
                <w:color w:val="1A1410"/>
                <w:sz w:val="17"/>
              </w:rPr>
              <w:t>B</w:t>
            </w:r>
          </w:p>
        </w:tc>
        <w:tc>
          <w:tcPr>
            <w:tcW w:type="dxa" w:w="2592"/>
            <w:shd w:val="clear" w:fill="EEF2F8"/>
          </w:tcPr>
          <w:p>
            <w:pPr>
              <w:spacing w:after="20" w:before="20"/>
            </w:pPr>
            <w:r/>
            <w:r>
              <w:rPr>
                <w:rFonts w:ascii="Georgia" w:hAnsi="Georgia"/>
                <w:b w:val="0"/>
                <w:color w:val="1A1410"/>
                <w:sz w:val="17"/>
              </w:rPr>
              <w:t>Kuja Link for donors &amp; intermediaries</w:t>
            </w:r>
          </w:p>
        </w:tc>
        <w:tc>
          <w:tcPr>
            <w:tcW w:type="dxa" w:w="3456"/>
            <w:shd w:val="clear" w:fill="EEF2F8"/>
          </w:tcPr>
          <w:p>
            <w:pPr>
              <w:spacing w:after="20" w:before="20"/>
            </w:pPr>
            <w:r/>
            <w:r>
              <w:rPr>
                <w:rFonts w:ascii="Georgia" w:hAnsi="Georgia"/>
                <w:b w:val="0"/>
                <w:color w:val="1A1410"/>
                <w:sz w:val="17"/>
              </w:rPr>
              <w:t>Granting/sub-granting institutions (seg. 1, 2)</w:t>
            </w:r>
          </w:p>
        </w:tc>
        <w:tc>
          <w:tcPr>
            <w:tcW w:type="dxa" w:w="3168"/>
            <w:shd w:val="clear" w:fill="EEF2F8"/>
          </w:tcPr>
          <w:p>
            <w:pPr>
              <w:spacing w:after="20" w:before="20"/>
            </w:pPr>
            <w:r/>
            <w:r>
              <w:rPr>
                <w:rFonts w:ascii="Georgia" w:hAnsi="Georgia"/>
                <w:b w:val="0"/>
                <w:color w:val="1A1410"/>
                <w:sz w:val="17"/>
              </w:rPr>
              <w:t>Link freemium + paid AI discovery + trust data</w:t>
            </w:r>
          </w:p>
        </w:tc>
      </w:tr>
      <w:tr>
        <w:tc>
          <w:tcPr>
            <w:tcW w:type="dxa" w:w="720"/>
          </w:tcPr>
          <w:p>
            <w:pPr>
              <w:spacing w:after="20" w:before="20"/>
            </w:pPr>
            <w:r/>
            <w:r>
              <w:rPr>
                <w:rFonts w:ascii="Georgia" w:hAnsi="Georgia"/>
                <w:b w:val="0"/>
                <w:color w:val="1A1410"/>
                <w:sz w:val="17"/>
              </w:rPr>
              <w:t>C</w:t>
            </w:r>
          </w:p>
        </w:tc>
        <w:tc>
          <w:tcPr>
            <w:tcW w:type="dxa" w:w="2592"/>
          </w:tcPr>
          <w:p>
            <w:pPr>
              <w:spacing w:after="20" w:before="20"/>
            </w:pPr>
            <w:r/>
            <w:r>
              <w:rPr>
                <w:rFonts w:ascii="Georgia" w:hAnsi="Georgia"/>
                <w:b w:val="0"/>
                <w:color w:val="1A1410"/>
                <w:sz w:val="17"/>
              </w:rPr>
              <w:t>Kuja Link + Fund (the revenue ladder)</w:t>
            </w:r>
          </w:p>
        </w:tc>
        <w:tc>
          <w:tcPr>
            <w:tcW w:type="dxa" w:w="3456"/>
          </w:tcPr>
          <w:p>
            <w:pPr>
              <w:spacing w:after="20" w:before="20"/>
            </w:pPr>
            <w:r/>
            <w:r>
              <w:rPr>
                <w:rFonts w:ascii="Georgia" w:hAnsi="Georgia"/>
                <w:b w:val="0"/>
                <w:color w:val="1A1410"/>
                <w:sz w:val="17"/>
              </w:rPr>
              <w:t>Donors &amp; intermediaries (seg. 1, 2)</w:t>
            </w:r>
          </w:p>
        </w:tc>
        <w:tc>
          <w:tcPr>
            <w:tcW w:type="dxa" w:w="3168"/>
          </w:tcPr>
          <w:p>
            <w:pPr>
              <w:spacing w:after="20" w:before="20"/>
            </w:pPr>
            <w:r/>
            <w:r>
              <w:rPr>
                <w:rFonts w:ascii="Georgia" w:hAnsi="Georgia"/>
                <w:b w:val="0"/>
                <w:color w:val="1A1410"/>
                <w:sz w:val="17"/>
              </w:rPr>
              <w:t>C1 Link+Fund · C2 +Build sponsorship · C3 +Build for self · C4 both</w:t>
            </w:r>
          </w:p>
        </w:tc>
      </w:tr>
      <w:tr>
        <w:tc>
          <w:tcPr>
            <w:tcW w:type="dxa" w:w="720"/>
            <w:shd w:val="clear" w:fill="EEF2F8"/>
          </w:tcPr>
          <w:p>
            <w:pPr>
              <w:spacing w:after="20" w:before="20"/>
            </w:pPr>
            <w:r/>
            <w:r>
              <w:rPr>
                <w:rFonts w:ascii="Georgia" w:hAnsi="Georgia"/>
                <w:b w:val="0"/>
                <w:color w:val="1A1410"/>
                <w:sz w:val="17"/>
              </w:rPr>
              <w:t>D</w:t>
            </w:r>
          </w:p>
        </w:tc>
        <w:tc>
          <w:tcPr>
            <w:tcW w:type="dxa" w:w="2592"/>
            <w:shd w:val="clear" w:fill="EEF2F8"/>
          </w:tcPr>
          <w:p>
            <w:pPr>
              <w:spacing w:after="20" w:before="20"/>
            </w:pPr>
            <w:r/>
            <w:r>
              <w:rPr>
                <w:rFonts w:ascii="Georgia" w:hAnsi="Georgia"/>
                <w:b w:val="0"/>
                <w:color w:val="1A1410"/>
                <w:sz w:val="17"/>
              </w:rPr>
              <w:t>Closed, white-labeled tenants</w:t>
            </w:r>
          </w:p>
        </w:tc>
        <w:tc>
          <w:tcPr>
            <w:tcW w:type="dxa" w:w="3456"/>
            <w:shd w:val="clear" w:fill="EEF2F8"/>
          </w:tcPr>
          <w:p>
            <w:pPr>
              <w:spacing w:after="20" w:before="20"/>
            </w:pPr>
            <w:r/>
            <w:r>
              <w:rPr>
                <w:rFonts w:ascii="Georgia" w:hAnsi="Georgia"/>
                <w:b w:val="0"/>
                <w:color w:val="1A1410"/>
                <w:sz w:val="17"/>
              </w:rPr>
              <w:t>Networks, pooled funds, INGO partner programs, BPO, fiscal sponsors (seg. 1, 4, 6)</w:t>
            </w:r>
          </w:p>
        </w:tc>
        <w:tc>
          <w:tcPr>
            <w:tcW w:type="dxa" w:w="3168"/>
            <w:shd w:val="clear" w:fill="EEF2F8"/>
          </w:tcPr>
          <w:p>
            <w:pPr>
              <w:spacing w:after="20" w:before="20"/>
            </w:pPr>
            <w:r/>
            <w:r>
              <w:rPr>
                <w:rFonts w:ascii="Georgia" w:hAnsi="Georgia"/>
                <w:b w:val="0"/>
                <w:color w:val="1A1410"/>
                <w:sz w:val="17"/>
              </w:rPr>
              <w:t>D1 Link · D2 Link+Fund · D3 +Build</w:t>
            </w:r>
          </w:p>
        </w:tc>
      </w:tr>
      <w:tr>
        <w:tc>
          <w:tcPr>
            <w:tcW w:type="dxa" w:w="720"/>
          </w:tcPr>
          <w:p>
            <w:pPr>
              <w:spacing w:after="20" w:before="20"/>
            </w:pPr>
            <w:r/>
            <w:r>
              <w:rPr>
                <w:rFonts w:ascii="Georgia" w:hAnsi="Georgia"/>
                <w:b w:val="0"/>
                <w:color w:val="1A1410"/>
                <w:sz w:val="17"/>
              </w:rPr>
              <w:t>E</w:t>
            </w:r>
          </w:p>
        </w:tc>
        <w:tc>
          <w:tcPr>
            <w:tcW w:type="dxa" w:w="2592"/>
          </w:tcPr>
          <w:p>
            <w:pPr>
              <w:spacing w:after="20" w:before="20"/>
            </w:pPr>
            <w:r/>
            <w:r>
              <w:rPr>
                <w:rFonts w:ascii="Georgia" w:hAnsi="Georgia"/>
                <w:b w:val="0"/>
                <w:color w:val="1A1410"/>
                <w:sz w:val="17"/>
              </w:rPr>
              <w:t>Kuja Trust licensing</w:t>
            </w:r>
          </w:p>
        </w:tc>
        <w:tc>
          <w:tcPr>
            <w:tcW w:type="dxa" w:w="3456"/>
          </w:tcPr>
          <w:p>
            <w:pPr>
              <w:spacing w:after="20" w:before="20"/>
            </w:pPr>
            <w:r/>
            <w:r>
              <w:rPr>
                <w:rFonts w:ascii="Georgia" w:hAnsi="Georgia"/>
                <w:b w:val="0"/>
                <w:color w:val="1A1410"/>
                <w:sz w:val="17"/>
              </w:rPr>
              <w:t>Due-diligence providers (seg. 5)</w:t>
            </w:r>
          </w:p>
        </w:tc>
        <w:tc>
          <w:tcPr>
            <w:tcW w:type="dxa" w:w="3168"/>
          </w:tcPr>
          <w:p>
            <w:pPr>
              <w:spacing w:after="20" w:before="20"/>
            </w:pPr>
            <w:r/>
            <w:r>
              <w:rPr>
                <w:rFonts w:ascii="Georgia" w:hAnsi="Georgia"/>
                <w:b w:val="0"/>
                <w:color w:val="1A1410"/>
                <w:sz w:val="17"/>
              </w:rPr>
              <w:t>Licensed / white-label Trust Rating or AI assessment</w:t>
            </w:r>
          </w:p>
        </w:tc>
      </w:tr>
      <w:tr>
        <w:tc>
          <w:tcPr>
            <w:tcW w:type="dxa" w:w="720"/>
            <w:shd w:val="clear" w:fill="EEF2F8"/>
          </w:tcPr>
          <w:p>
            <w:pPr>
              <w:spacing w:after="20" w:before="20"/>
            </w:pPr>
            <w:r/>
            <w:r>
              <w:rPr>
                <w:rFonts w:ascii="Georgia" w:hAnsi="Georgia"/>
                <w:b w:val="0"/>
                <w:color w:val="1A1410"/>
                <w:sz w:val="17"/>
              </w:rPr>
              <w:t>F</w:t>
            </w:r>
          </w:p>
        </w:tc>
        <w:tc>
          <w:tcPr>
            <w:tcW w:type="dxa" w:w="2592"/>
            <w:shd w:val="clear" w:fill="EEF2F8"/>
          </w:tcPr>
          <w:p>
            <w:pPr>
              <w:spacing w:after="20" w:before="20"/>
            </w:pPr>
            <w:r/>
            <w:r>
              <w:rPr>
                <w:rFonts w:ascii="Georgia" w:hAnsi="Georgia"/>
                <w:b w:val="0"/>
                <w:color w:val="1A1410"/>
                <w:sz w:val="17"/>
              </w:rPr>
              <w:t>Kuja Build direct to NGO</w:t>
            </w:r>
          </w:p>
        </w:tc>
        <w:tc>
          <w:tcPr>
            <w:tcW w:type="dxa" w:w="3456"/>
            <w:shd w:val="clear" w:fill="EEF2F8"/>
          </w:tcPr>
          <w:p>
            <w:pPr>
              <w:spacing w:after="20" w:before="20"/>
            </w:pPr>
            <w:r/>
            <w:r>
              <w:rPr>
                <w:rFonts w:ascii="Georgia" w:hAnsi="Georgia"/>
                <w:b w:val="0"/>
                <w:color w:val="1A1410"/>
                <w:sz w:val="17"/>
              </w:rPr>
              <w:t>CSOs that buy the operating system themselves (seg. 3)</w:t>
            </w:r>
          </w:p>
        </w:tc>
        <w:tc>
          <w:tcPr>
            <w:tcW w:type="dxa" w:w="3168"/>
            <w:shd w:val="clear" w:fill="EEF2F8"/>
          </w:tcPr>
          <w:p>
            <w:pPr>
              <w:spacing w:after="20" w:before="20"/>
            </w:pPr>
            <w:r/>
            <w:r>
              <w:rPr>
                <w:rFonts w:ascii="Georgia" w:hAnsi="Georgia"/>
                <w:b w:val="0"/>
                <w:color w:val="1A1410"/>
                <w:sz w:val="17"/>
              </w:rPr>
              <w:t>Build modules, org-paid</w:t>
            </w:r>
          </w:p>
        </w:tc>
      </w:tr>
      <w:tr>
        <w:tc>
          <w:tcPr>
            <w:tcW w:type="dxa" w:w="720"/>
          </w:tcPr>
          <w:p>
            <w:pPr>
              <w:spacing w:after="20" w:before="20"/>
            </w:pPr>
            <w:r/>
            <w:r>
              <w:rPr>
                <w:rFonts w:ascii="Georgia" w:hAnsi="Georgia"/>
                <w:b w:val="0"/>
                <w:color w:val="1A1410"/>
                <w:sz w:val="17"/>
              </w:rPr>
              <w:t>G</w:t>
            </w:r>
          </w:p>
        </w:tc>
        <w:tc>
          <w:tcPr>
            <w:tcW w:type="dxa" w:w="2592"/>
          </w:tcPr>
          <w:p>
            <w:pPr>
              <w:spacing w:after="20" w:before="20"/>
            </w:pPr>
            <w:r/>
            <w:r>
              <w:rPr>
                <w:rFonts w:ascii="Georgia" w:hAnsi="Georgia"/>
                <w:b w:val="0"/>
                <w:color w:val="1A1410"/>
                <w:sz w:val="17"/>
              </w:rPr>
              <w:t>Kuja Build donor-sponsored</w:t>
            </w:r>
          </w:p>
        </w:tc>
        <w:tc>
          <w:tcPr>
            <w:tcW w:type="dxa" w:w="3456"/>
          </w:tcPr>
          <w:p>
            <w:pPr>
              <w:spacing w:after="20" w:before="20"/>
            </w:pPr>
            <w:r/>
            <w:r>
              <w:rPr>
                <w:rFonts w:ascii="Georgia" w:hAnsi="Georgia"/>
                <w:b w:val="0"/>
                <w:color w:val="1A1410"/>
                <w:sz w:val="17"/>
              </w:rPr>
              <w:t>Donors sponsoring grantees’ operating system — even without Kuja Fund (seg. 1, 2)</w:t>
            </w:r>
          </w:p>
        </w:tc>
        <w:tc>
          <w:tcPr>
            <w:tcW w:type="dxa" w:w="3168"/>
          </w:tcPr>
          <w:p>
            <w:pPr>
              <w:spacing w:after="20" w:before="20"/>
            </w:pPr>
            <w:r/>
            <w:r>
              <w:rPr>
                <w:rFonts w:ascii="Georgia" w:hAnsi="Georgia"/>
                <w:b w:val="0"/>
                <w:color w:val="1A1410"/>
                <w:sz w:val="17"/>
              </w:rPr>
              <w:t>Build modules, donor-paid</w:t>
            </w:r>
          </w:p>
        </w:tc>
      </w:tr>
    </w:tbl>
    <w:p>
      <w:pPr>
        <w:spacing w:after="20"/>
      </w:pPr>
    </w:p>
    <w:p>
      <w:pPr>
        <w:pStyle w:val="Heading2"/>
      </w:pPr>
      <w:r>
        <w:t>4.1 Motions A &amp; B — Kuja Link (build the two-sided network)</w:t>
      </w:r>
    </w:p>
    <w:p>
      <w:pPr>
        <w:spacing w:after="120"/>
      </w:pPr>
      <w:r>
        <w:rPr>
          <w:rFonts w:ascii="Georgia" w:hAnsi="Georgia"/>
          <w:b w:val="0"/>
          <w:i w:val="0"/>
          <w:color w:val="1A1410"/>
          <w:sz w:val="20"/>
        </w:rPr>
        <w:t>Motion A (supply): free networking for any org — profile, forums, resources, free grant listings, and a basic Trust Rating — with a paid full Trust Rating (blue-tick verification, improvement guidance, active surfacing to good-fit donors). Near-passive, product-led; every verified org makes the demand side more valuable. Motion B (demand): free networking for donors, plus paid AI-driven portfolio discovery and full trust/due-diligence data on candidate organizations — something available nowhere else. Motion B does not start selling until the Link pool is deep (roughly 5,000+ organizations), which realistically means H2 2027.</w:t>
      </w:r>
    </w:p>
    <w:p>
      <w:pPr>
        <w:pStyle w:val="Heading2"/>
      </w:pPr>
      <w:r>
        <w:t>4.2 Motion C — Kuja Link + Fund (the core revenue ladder)</w:t>
      </w:r>
    </w:p>
    <w:p>
      <w:pPr>
        <w:spacing w:after="120"/>
      </w:pPr>
      <w:r>
        <w:rPr>
          <w:rFonts w:ascii="Georgia" w:hAnsi="Georgia"/>
          <w:b w:val="0"/>
          <w:i w:val="0"/>
          <w:color w:val="1A1410"/>
          <w:sz w:val="20"/>
        </w:rPr>
        <w:t>The land-and-expand engine for donors and intermediaries. Four rungs, each a separate buying decision, each fully usable on its own: C1 Link + Fund (run calls, review, award, compliance); C2 adds Build sponsorship of selected grantees (real-time, grant-scoped financial visibility for the donor via API); C3 adds a Build subscription for the customer’s own organization; C4 is both. Land with a 90-day Fund pilot, then climb. NGOs never pay on this motion — the funder posting the grant is the customer.</w:t>
      </w:r>
    </w:p>
    <w:p>
      <w:pPr>
        <w:pStyle w:val="Heading2"/>
      </w:pPr>
      <w:r>
        <w:t>4.3 Motion D — Closed, white-labeled tenants</w:t>
      </w:r>
    </w:p>
    <w:p>
      <w:pPr>
        <w:spacing w:after="120"/>
      </w:pPr>
      <w:r>
        <w:rPr>
          <w:rFonts w:ascii="Georgia" w:hAnsi="Georgia"/>
          <w:b w:val="0"/>
          <w:i w:val="0"/>
          <w:color w:val="1A1410"/>
          <w:sz w:val="20"/>
        </w:rPr>
        <w:t>A branded, closed ecosystem for a network, pooled fund, INGO partner program, BPO firm or fiscal sponsor: D1 Link only, D2 adds Fund (including peer-governed pooled funds with multi-sig, COI recusal and audit chain), D3 adds Build. Organizations in a closed tenant can opt into a public Link listing — every closed tenant grows the open supply side. The primary customer here is a network or fund operator, not a foundation. Priced as the underlying products for that tenant plus a modest hosting/white-label fee — deliberately lower than the earlier strategy’s $60–150k, which the team correctly judged too high for a network.</w:t>
      </w:r>
    </w:p>
    <w:p>
      <w:pPr>
        <w:pStyle w:val="Heading2"/>
      </w:pPr>
      <w:r>
        <w:t>4.4 Motion E — Kuja Trust licensing to DD providers</w:t>
      </w:r>
    </w:p>
    <w:p>
      <w:pPr>
        <w:spacing w:after="120"/>
      </w:pPr>
      <w:r>
        <w:rPr>
          <w:rFonts w:ascii="Georgia" w:hAnsi="Georgia"/>
          <w:b w:val="0"/>
          <w:i w:val="0"/>
          <w:color w:val="1A1410"/>
          <w:sz w:val="20"/>
        </w:rPr>
        <w:t>License the Trust Rating — white-labeled as the provider’s own tool, or as AI-assessment access — to the NGOsource / TechSoup / GlobalGiving class. This requires Trust to be a separable product (it is). Treat as exploratory and validate carefully: the standalone donor-pays-for-a-compliance-pass market is unproven (NGOsource’s own model has struggled), so this is a reach motion, not a core bet — API access is preferred over handing over the asset.</w:t>
      </w:r>
    </w:p>
    <w:p>
      <w:pPr>
        <w:pStyle w:val="Heading2"/>
      </w:pPr>
      <w:r>
        <w:t>4.5 Motions F &amp; G — Kuja Build (the operating system)</w:t>
      </w:r>
    </w:p>
    <w:p>
      <w:pPr>
        <w:spacing w:after="120"/>
      </w:pPr>
      <w:r>
        <w:rPr>
          <w:rFonts w:ascii="Georgia" w:hAnsi="Georgia"/>
          <w:b w:val="0"/>
          <w:i w:val="0"/>
          <w:color w:val="1A1410"/>
          <w:sz w:val="20"/>
        </w:rPr>
        <w:t>Motion F (direct): a CSO buys Build for itself, in modules, priced as a deal against the multi-system alternative and kept under the 2%-of-budget ceiling. Motion G (donor-sponsored): a donor pays for its grantees’ Build — independent of Kuja Fund. This is the important one the earlier strategy missed: many donors will fund grantee operational strengthening without adopting a grant workflow. Donor-sponsored pricing sits above the direct-NGO price (the donor holds budget), typically Year 1 donor-paid and tapering to grantee-paid as eligibility uplift unlocks new funding. This is the realistic 2026 revenue motion.</w:t>
      </w:r>
    </w:p>
    <w:p>
      <w:pPr>
        <w:spacing w:after="120"/>
      </w:pPr>
      <w:r>
        <w:rPr>
          <w:rFonts w:ascii="Georgia" w:hAnsi="Georgia"/>
          <w:b w:val="0"/>
          <w:i w:val="0"/>
          <w:color w:val="57534E"/>
          <w:sz w:val="19"/>
        </w:rPr>
        <w:t>Cross-cutting channel — partner-led delivery: regional BPO/advisory firms deliver implementation using Kuja software under a software-layer non-compete, keep the services revenue, and pay Kuja a referral share on software (a modest but real revenue line). This is a channel, not a standalone motion.</w:t>
      </w:r>
    </w:p>
    <w:p>
      <w:pPr>
        <w:pStyle w:val="Heading1"/>
      </w:pPr>
      <w:r>
        <w:t>5. Pricing — Kuja Fund</w:t>
      </w:r>
    </w:p>
    <w:p>
      <w:pPr>
        <w:spacing w:after="120"/>
      </w:pPr>
      <w:r>
        <w:rPr>
          <w:rFonts w:ascii="Georgia" w:hAnsi="Georgia"/>
          <w:b w:val="0"/>
          <w:i w:val="0"/>
          <w:color w:val="1A1410"/>
          <w:sz w:val="20"/>
        </w:rPr>
        <w:t>USD, annual, unlimited users, funder-paid, NGOs free. The customer pays the FLAT price of the tier they fall into — grant volume selects the tier, it is not a percentage they are billed. Anchored to Plinth (~£2.5k/£7.5k/£15k) and Foundant GLM ($6.5k/$9.9k/$13.9k); Kuja enters near their lower/middle bands and charges more only as portfolio complexity and network value rise. Example: a fund managing ~$4M lands in Growth and pays a flat $16,000 — and moves to Portfolio ($32,000) at renewal only if it grows past the Growth ceiling.</w:t>
      </w:r>
    </w:p>
    <w:tbl>
      <w:tblPr>
        <w:tblStyle w:val="TableGrid"/>
        <w:tblW w:type="auto" w:w="0"/>
        <w:tblLook w:firstColumn="1" w:firstRow="1" w:lastColumn="0" w:lastRow="0" w:noHBand="0" w:noVBand="1" w:val="04A0"/>
      </w:tblPr>
      <w:tblGrid>
        <w:gridCol w:w="2448"/>
        <w:gridCol w:w="2448"/>
        <w:gridCol w:w="2448"/>
        <w:gridCol w:w="2448"/>
      </w:tblGrid>
      <w:tr>
        <w:tc>
          <w:tcPr>
            <w:tcW w:type="dxa" w:w="1584"/>
            <w:shd w:val="clear" w:fill="1F3864"/>
          </w:tcPr>
          <w:p>
            <w:pPr>
              <w:spacing w:after="20" w:before="20"/>
            </w:pPr>
            <w:r/>
            <w:r>
              <w:rPr>
                <w:rFonts w:ascii="Georgia" w:hAnsi="Georgia"/>
                <w:b/>
                <w:color w:val="FFFFFF"/>
                <w:sz w:val="17"/>
              </w:rPr>
              <w:t>Plan</w:t>
            </w:r>
          </w:p>
        </w:tc>
        <w:tc>
          <w:tcPr>
            <w:tcW w:type="dxa" w:w="1584"/>
            <w:shd w:val="clear" w:fill="1F3864"/>
          </w:tcPr>
          <w:p>
            <w:pPr>
              <w:spacing w:after="20" w:before="20"/>
            </w:pPr>
            <w:r/>
            <w:r>
              <w:rPr>
                <w:rFonts w:ascii="Georgia" w:hAnsi="Georgia"/>
                <w:b/>
                <w:color w:val="FFFFFF"/>
                <w:sz w:val="17"/>
              </w:rPr>
              <w:t>Annual</w:t>
            </w:r>
          </w:p>
        </w:tc>
        <w:tc>
          <w:tcPr>
            <w:tcW w:type="dxa" w:w="4608"/>
            <w:shd w:val="clear" w:fill="1F3864"/>
          </w:tcPr>
          <w:p>
            <w:pPr>
              <w:spacing w:after="20" w:before="20"/>
            </w:pPr>
            <w:r/>
            <w:r>
              <w:rPr>
                <w:rFonts w:ascii="Georgia" w:hAnsi="Georgia"/>
                <w:b/>
                <w:color w:val="FFFFFF"/>
                <w:sz w:val="17"/>
              </w:rPr>
              <w:t>Operating envelope</w:t>
            </w:r>
          </w:p>
        </w:tc>
        <w:tc>
          <w:tcPr>
            <w:tcW w:type="dxa" w:w="2304"/>
            <w:shd w:val="clear" w:fill="1F3864"/>
          </w:tcPr>
          <w:p>
            <w:pPr>
              <w:spacing w:after="20" w:before="20"/>
            </w:pPr>
            <w:r/>
            <w:r>
              <w:rPr>
                <w:rFonts w:ascii="Georgia" w:hAnsi="Georgia"/>
                <w:b/>
                <w:color w:val="FFFFFF"/>
                <w:sz w:val="17"/>
              </w:rPr>
              <w:t>Best for</w:t>
            </w:r>
          </w:p>
        </w:tc>
      </w:tr>
      <w:tr>
        <w:tc>
          <w:tcPr>
            <w:tcW w:type="dxa" w:w="1584"/>
          </w:tcPr>
          <w:p>
            <w:pPr>
              <w:spacing w:after="20" w:before="20"/>
            </w:pPr>
            <w:r/>
            <w:r>
              <w:rPr>
                <w:rFonts w:ascii="Georgia" w:hAnsi="Georgia"/>
                <w:b w:val="0"/>
                <w:color w:val="1A1410"/>
                <w:sz w:val="17"/>
              </w:rPr>
              <w:t>Community</w:t>
            </w:r>
          </w:p>
        </w:tc>
        <w:tc>
          <w:tcPr>
            <w:tcW w:type="dxa" w:w="1584"/>
          </w:tcPr>
          <w:p>
            <w:pPr>
              <w:spacing w:after="20" w:before="20"/>
            </w:pPr>
            <w:r/>
            <w:r>
              <w:rPr>
                <w:rFonts w:ascii="Georgia" w:hAnsi="Georgia"/>
                <w:b w:val="0"/>
                <w:color w:val="1A1410"/>
                <w:sz w:val="17"/>
              </w:rPr>
              <w:t>$4,000</w:t>
            </w:r>
          </w:p>
        </w:tc>
        <w:tc>
          <w:tcPr>
            <w:tcW w:type="dxa" w:w="4608"/>
          </w:tcPr>
          <w:p>
            <w:pPr>
              <w:spacing w:after="20" w:before="20"/>
            </w:pPr>
            <w:r/>
            <w:r>
              <w:rPr>
                <w:rFonts w:ascii="Georgia" w:hAnsi="Georgia"/>
                <w:b w:val="0"/>
                <w:color w:val="1A1410"/>
                <w:sz w:val="17"/>
              </w:rPr>
              <w:t>Up to $250k grants · 1 program · 50 applications · 25 partners</w:t>
            </w:r>
          </w:p>
        </w:tc>
        <w:tc>
          <w:tcPr>
            <w:tcW w:type="dxa" w:w="2304"/>
          </w:tcPr>
          <w:p>
            <w:pPr>
              <w:spacing w:after="20" w:before="20"/>
            </w:pPr>
            <w:r/>
            <w:r>
              <w:rPr>
                <w:rFonts w:ascii="Georgia" w:hAnsi="Georgia"/>
                <w:b w:val="0"/>
                <w:color w:val="1A1410"/>
                <w:sz w:val="17"/>
              </w:rPr>
              <w:t>Community-led, diaspora, micro-grant funds</w:t>
            </w:r>
          </w:p>
        </w:tc>
      </w:tr>
      <w:tr>
        <w:tc>
          <w:tcPr>
            <w:tcW w:type="dxa" w:w="1584"/>
            <w:shd w:val="clear" w:fill="EEF2F8"/>
          </w:tcPr>
          <w:p>
            <w:pPr>
              <w:spacing w:after="20" w:before="20"/>
            </w:pPr>
            <w:r/>
            <w:r>
              <w:rPr>
                <w:rFonts w:ascii="Georgia" w:hAnsi="Georgia"/>
                <w:b w:val="0"/>
                <w:color w:val="1A1410"/>
                <w:sz w:val="17"/>
              </w:rPr>
              <w:t>Core</w:t>
            </w:r>
          </w:p>
        </w:tc>
        <w:tc>
          <w:tcPr>
            <w:tcW w:type="dxa" w:w="1584"/>
            <w:shd w:val="clear" w:fill="EEF2F8"/>
          </w:tcPr>
          <w:p>
            <w:pPr>
              <w:spacing w:after="20" w:before="20"/>
            </w:pPr>
            <w:r/>
            <w:r>
              <w:rPr>
                <w:rFonts w:ascii="Georgia" w:hAnsi="Georgia"/>
                <w:b w:val="0"/>
                <w:color w:val="1A1410"/>
                <w:sz w:val="17"/>
              </w:rPr>
              <w:t>$8,000</w:t>
            </w:r>
          </w:p>
        </w:tc>
        <w:tc>
          <w:tcPr>
            <w:tcW w:type="dxa" w:w="4608"/>
            <w:shd w:val="clear" w:fill="EEF2F8"/>
          </w:tcPr>
          <w:p>
            <w:pPr>
              <w:spacing w:after="20" w:before="20"/>
            </w:pPr>
            <w:r/>
            <w:r>
              <w:rPr>
                <w:rFonts w:ascii="Georgia" w:hAnsi="Georgia"/>
                <w:b w:val="0"/>
                <w:color w:val="1A1410"/>
                <w:sz w:val="17"/>
              </w:rPr>
              <w:t>Up to $1M · 3 programs · 250 applications · 100 partners</w:t>
            </w:r>
          </w:p>
        </w:tc>
        <w:tc>
          <w:tcPr>
            <w:tcW w:type="dxa" w:w="2304"/>
            <w:shd w:val="clear" w:fill="EEF2F8"/>
          </w:tcPr>
          <w:p>
            <w:pPr>
              <w:spacing w:after="20" w:before="20"/>
            </w:pPr>
            <w:r/>
            <w:r>
              <w:rPr>
                <w:rFonts w:ascii="Georgia" w:hAnsi="Georgia"/>
                <w:b w:val="0"/>
                <w:color w:val="1A1410"/>
                <w:sz w:val="17"/>
              </w:rPr>
              <w:t>Small foundations and local re-granters</w:t>
            </w:r>
          </w:p>
        </w:tc>
      </w:tr>
      <w:tr>
        <w:tc>
          <w:tcPr>
            <w:tcW w:type="dxa" w:w="1584"/>
          </w:tcPr>
          <w:p>
            <w:pPr>
              <w:spacing w:after="20" w:before="20"/>
            </w:pPr>
            <w:r/>
            <w:r>
              <w:rPr>
                <w:rFonts w:ascii="Georgia" w:hAnsi="Georgia"/>
                <w:b w:val="0"/>
                <w:color w:val="1A1410"/>
                <w:sz w:val="17"/>
              </w:rPr>
              <w:t>Growth</w:t>
            </w:r>
          </w:p>
        </w:tc>
        <w:tc>
          <w:tcPr>
            <w:tcW w:type="dxa" w:w="1584"/>
          </w:tcPr>
          <w:p>
            <w:pPr>
              <w:spacing w:after="20" w:before="20"/>
            </w:pPr>
            <w:r/>
            <w:r>
              <w:rPr>
                <w:rFonts w:ascii="Georgia" w:hAnsi="Georgia"/>
                <w:b w:val="0"/>
                <w:color w:val="1A1410"/>
                <w:sz w:val="17"/>
              </w:rPr>
              <w:t>$16,000</w:t>
            </w:r>
          </w:p>
        </w:tc>
        <w:tc>
          <w:tcPr>
            <w:tcW w:type="dxa" w:w="4608"/>
          </w:tcPr>
          <w:p>
            <w:pPr>
              <w:spacing w:after="20" w:before="20"/>
            </w:pPr>
            <w:r/>
            <w:r>
              <w:rPr>
                <w:rFonts w:ascii="Georgia" w:hAnsi="Georgia"/>
                <w:b w:val="0"/>
                <w:color w:val="1A1410"/>
                <w:sz w:val="17"/>
              </w:rPr>
              <w:t>Up to $5M · 10 programs · 1,000 applications · 300 partners</w:t>
            </w:r>
          </w:p>
        </w:tc>
        <w:tc>
          <w:tcPr>
            <w:tcW w:type="dxa" w:w="2304"/>
          </w:tcPr>
          <w:p>
            <w:pPr>
              <w:spacing w:after="20" w:before="20"/>
            </w:pPr>
            <w:r/>
            <w:r>
              <w:rPr>
                <w:rFonts w:ascii="Georgia" w:hAnsi="Georgia"/>
                <w:b w:val="0"/>
                <w:color w:val="1A1410"/>
                <w:sz w:val="17"/>
              </w:rPr>
              <w:t>Foundations and direct-compliance portfolios</w:t>
            </w:r>
          </w:p>
        </w:tc>
      </w:tr>
      <w:tr>
        <w:tc>
          <w:tcPr>
            <w:tcW w:type="dxa" w:w="1584"/>
            <w:shd w:val="clear" w:fill="EEF2F8"/>
          </w:tcPr>
          <w:p>
            <w:pPr>
              <w:spacing w:after="20" w:before="20"/>
            </w:pPr>
            <w:r/>
            <w:r>
              <w:rPr>
                <w:rFonts w:ascii="Georgia" w:hAnsi="Georgia"/>
                <w:b w:val="0"/>
                <w:color w:val="1A1410"/>
                <w:sz w:val="17"/>
              </w:rPr>
              <w:t>Portfolio</w:t>
            </w:r>
          </w:p>
        </w:tc>
        <w:tc>
          <w:tcPr>
            <w:tcW w:type="dxa" w:w="1584"/>
            <w:shd w:val="clear" w:fill="EEF2F8"/>
          </w:tcPr>
          <w:p>
            <w:pPr>
              <w:spacing w:after="20" w:before="20"/>
            </w:pPr>
            <w:r/>
            <w:r>
              <w:rPr>
                <w:rFonts w:ascii="Georgia" w:hAnsi="Georgia"/>
                <w:b w:val="0"/>
                <w:color w:val="1A1410"/>
                <w:sz w:val="17"/>
              </w:rPr>
              <w:t>$32,000</w:t>
            </w:r>
          </w:p>
        </w:tc>
        <w:tc>
          <w:tcPr>
            <w:tcW w:type="dxa" w:w="4608"/>
            <w:shd w:val="clear" w:fill="EEF2F8"/>
          </w:tcPr>
          <w:p>
            <w:pPr>
              <w:spacing w:after="20" w:before="20"/>
            </w:pPr>
            <w:r/>
            <w:r>
              <w:rPr>
                <w:rFonts w:ascii="Georgia" w:hAnsi="Georgia"/>
                <w:b w:val="0"/>
                <w:color w:val="1A1410"/>
                <w:sz w:val="17"/>
              </w:rPr>
              <w:t>Up to $15M · unlimited programs · 3,000 applications · 1,000 partners</w:t>
            </w:r>
          </w:p>
        </w:tc>
        <w:tc>
          <w:tcPr>
            <w:tcW w:type="dxa" w:w="2304"/>
            <w:shd w:val="clear" w:fill="EEF2F8"/>
          </w:tcPr>
          <w:p>
            <w:pPr>
              <w:spacing w:after="20" w:before="20"/>
            </w:pPr>
            <w:r/>
            <w:r>
              <w:rPr>
                <w:rFonts w:ascii="Georgia" w:hAnsi="Georgia"/>
                <w:b w:val="0"/>
                <w:color w:val="1A1410"/>
                <w:sz w:val="17"/>
              </w:rPr>
              <w:t>Regional and multi-country funds</w:t>
            </w:r>
          </w:p>
        </w:tc>
      </w:tr>
      <w:tr>
        <w:tc>
          <w:tcPr>
            <w:tcW w:type="dxa" w:w="1584"/>
          </w:tcPr>
          <w:p>
            <w:pPr>
              <w:spacing w:after="20" w:before="20"/>
            </w:pPr>
            <w:r/>
            <w:r>
              <w:rPr>
                <w:rFonts w:ascii="Georgia" w:hAnsi="Georgia"/>
                <w:b w:val="0"/>
                <w:color w:val="1A1410"/>
                <w:sz w:val="17"/>
              </w:rPr>
              <w:t>Network</w:t>
            </w:r>
          </w:p>
        </w:tc>
        <w:tc>
          <w:tcPr>
            <w:tcW w:type="dxa" w:w="1584"/>
          </w:tcPr>
          <w:p>
            <w:pPr>
              <w:spacing w:after="20" w:before="20"/>
            </w:pPr>
            <w:r/>
            <w:r>
              <w:rPr>
                <w:rFonts w:ascii="Georgia" w:hAnsi="Georgia"/>
                <w:b w:val="0"/>
                <w:color w:val="1A1410"/>
                <w:sz w:val="17"/>
              </w:rPr>
              <w:t>$60,000</w:t>
            </w:r>
          </w:p>
        </w:tc>
        <w:tc>
          <w:tcPr>
            <w:tcW w:type="dxa" w:w="4608"/>
          </w:tcPr>
          <w:p>
            <w:pPr>
              <w:spacing w:after="20" w:before="20"/>
            </w:pPr>
            <w:r/>
            <w:r>
              <w:rPr>
                <w:rFonts w:ascii="Georgia" w:hAnsi="Georgia"/>
                <w:b w:val="0"/>
                <w:color w:val="1A1410"/>
                <w:sz w:val="17"/>
              </w:rPr>
              <w:t>Up to $50M · multi-entity governance · 5,000 applications</w:t>
            </w:r>
          </w:p>
        </w:tc>
        <w:tc>
          <w:tcPr>
            <w:tcW w:type="dxa" w:w="2304"/>
          </w:tcPr>
          <w:p>
            <w:pPr>
              <w:spacing w:after="20" w:before="20"/>
            </w:pPr>
            <w:r/>
            <w:r>
              <w:rPr>
                <w:rFonts w:ascii="Georgia" w:hAnsi="Georgia"/>
                <w:b w:val="0"/>
                <w:color w:val="1A1410"/>
                <w:sz w:val="17"/>
              </w:rPr>
              <w:t>Networks, pooled funds, INGOs</w:t>
            </w:r>
          </w:p>
        </w:tc>
      </w:tr>
      <w:tr>
        <w:tc>
          <w:tcPr>
            <w:tcW w:type="dxa" w:w="1584"/>
            <w:shd w:val="clear" w:fill="EEF2F8"/>
          </w:tcPr>
          <w:p>
            <w:pPr>
              <w:spacing w:after="20" w:before="20"/>
            </w:pPr>
            <w:r/>
            <w:r>
              <w:rPr>
                <w:rFonts w:ascii="Georgia" w:hAnsi="Georgia"/>
                <w:b w:val="0"/>
                <w:color w:val="1A1410"/>
                <w:sz w:val="17"/>
              </w:rPr>
              <w:t>Enterprise</w:t>
            </w:r>
          </w:p>
        </w:tc>
        <w:tc>
          <w:tcPr>
            <w:tcW w:type="dxa" w:w="1584"/>
            <w:shd w:val="clear" w:fill="EEF2F8"/>
          </w:tcPr>
          <w:p>
            <w:pPr>
              <w:spacing w:after="20" w:before="20"/>
            </w:pPr>
            <w:r/>
            <w:r>
              <w:rPr>
                <w:rFonts w:ascii="Georgia" w:hAnsi="Georgia"/>
                <w:b w:val="0"/>
                <w:color w:val="1A1410"/>
                <w:sz w:val="17"/>
              </w:rPr>
              <w:t>From $100,000</w:t>
            </w:r>
          </w:p>
        </w:tc>
        <w:tc>
          <w:tcPr>
            <w:tcW w:type="dxa" w:w="4608"/>
            <w:shd w:val="clear" w:fill="EEF2F8"/>
          </w:tcPr>
          <w:p>
            <w:pPr>
              <w:spacing w:after="20" w:before="20"/>
            </w:pPr>
            <w:r/>
            <w:r>
              <w:rPr>
                <w:rFonts w:ascii="Georgia" w:hAnsi="Georgia"/>
                <w:b w:val="0"/>
                <w:color w:val="1A1410"/>
                <w:sz w:val="17"/>
              </w:rPr>
              <w:t>Above standard limits; dedicated environment / residency / SLA</w:t>
            </w:r>
          </w:p>
        </w:tc>
        <w:tc>
          <w:tcPr>
            <w:tcW w:type="dxa" w:w="2304"/>
            <w:shd w:val="clear" w:fill="EEF2F8"/>
          </w:tcPr>
          <w:p>
            <w:pPr>
              <w:spacing w:after="20" w:before="20"/>
            </w:pPr>
            <w:r/>
            <w:r>
              <w:rPr>
                <w:rFonts w:ascii="Georgia" w:hAnsi="Georgia"/>
                <w:b w:val="0"/>
                <w:color w:val="1A1410"/>
                <w:sz w:val="17"/>
              </w:rPr>
              <w:t>Bilaterals, multilaterals, global institutions</w:t>
            </w:r>
          </w:p>
        </w:tc>
      </w:tr>
    </w:tbl>
    <w:p>
      <w:pPr>
        <w:spacing w:after="20"/>
      </w:pPr>
    </w:p>
    <w:p>
      <w:pPr>
        <w:spacing w:after="120"/>
      </w:pPr>
      <w:r>
        <w:rPr>
          <w:rFonts w:ascii="Georgia" w:hAnsi="Georgia"/>
          <w:b w:val="0"/>
          <w:i w:val="0"/>
          <w:color w:val="57534E"/>
          <w:sz w:val="19"/>
        </w:rPr>
        <w:t>Included in every plan: full lifecycle and reviewer workflows; sanctions/PEP and registration checks where data exists (human review stays accountable); AI drafting, extraction and report-against-agreement evaluation under reasonable use; multilingual, mobile access; audit records and exports; and free applicant/grantee access including a core Trust Passport. Kuja never charges a percentage of disbursements.</w:t>
      </w:r>
    </w:p>
    <w:p>
      <w:pPr>
        <w:pStyle w:val="Heading1"/>
      </w:pPr>
      <w:r>
        <w:t>6. Pricing — Kuja Trust Passport</w:t>
      </w:r>
    </w:p>
    <w:p>
      <w:pPr>
        <w:spacing w:after="120"/>
      </w:pPr>
      <w:r>
        <w:rPr>
          <w:rFonts w:ascii="Georgia" w:hAnsi="Georgia"/>
          <w:b w:val="0"/>
          <w:i w:val="0"/>
          <w:color w:val="1A1410"/>
          <w:sz w:val="20"/>
        </w:rPr>
        <w:t>The NGO core is permanently free. The paid side is for organizations that consume, monitor, evaluate or govern passports across a portfolio. Exactly as with Fund, the funder pays a FLAT annual fee for the tier they fall into — the number of organizations they rely on only selects the tier; it is never a per-organization or per-check charge, and never a percentage of anything (sanctions queries are a cost input at ~€0.10; the value is the governed sequence around them). Lead with the bundle and with sponsor-funding; treat the standalone donor subscription as the least-proven line and validate it before leaning on it.</w:t>
      </w:r>
    </w:p>
    <w:tbl>
      <w:tblPr>
        <w:tblStyle w:val="TableGrid"/>
        <w:tblW w:type="auto" w:w="0"/>
        <w:tblLook w:firstColumn="1" w:firstRow="1" w:lastColumn="0" w:lastRow="0" w:noHBand="0" w:noVBand="1" w:val="04A0"/>
      </w:tblPr>
      <w:tblGrid>
        <w:gridCol w:w="2448"/>
        <w:gridCol w:w="2448"/>
        <w:gridCol w:w="2448"/>
        <w:gridCol w:w="2448"/>
      </w:tblGrid>
      <w:tr>
        <w:tc>
          <w:tcPr>
            <w:tcW w:type="dxa" w:w="2160"/>
            <w:shd w:val="clear" w:fill="1F3864"/>
          </w:tcPr>
          <w:p>
            <w:pPr>
              <w:spacing w:after="20" w:before="20"/>
            </w:pPr>
            <w:r/>
            <w:r>
              <w:rPr>
                <w:rFonts w:ascii="Georgia" w:hAnsi="Georgia"/>
                <w:b/>
                <w:color w:val="FFFFFF"/>
                <w:sz w:val="17"/>
              </w:rPr>
              <w:t>Plan</w:t>
            </w:r>
          </w:p>
        </w:tc>
        <w:tc>
          <w:tcPr>
            <w:tcW w:type="dxa" w:w="1728"/>
            <w:shd w:val="clear" w:fill="1F3864"/>
          </w:tcPr>
          <w:p>
            <w:pPr>
              <w:spacing w:after="20" w:before="20"/>
            </w:pPr>
            <w:r/>
            <w:r>
              <w:rPr>
                <w:rFonts w:ascii="Georgia" w:hAnsi="Georgia"/>
                <w:b/>
                <w:color w:val="FFFFFF"/>
                <w:sz w:val="17"/>
              </w:rPr>
              <w:t>Annual</w:t>
            </w:r>
          </w:p>
        </w:tc>
        <w:tc>
          <w:tcPr>
            <w:tcW w:type="dxa" w:w="2160"/>
            <w:shd w:val="clear" w:fill="1F3864"/>
          </w:tcPr>
          <w:p>
            <w:pPr>
              <w:spacing w:after="20" w:before="20"/>
            </w:pPr>
            <w:r/>
            <w:r>
              <w:rPr>
                <w:rFonts w:ascii="Georgia" w:hAnsi="Georgia"/>
                <w:b/>
                <w:color w:val="FFFFFF"/>
                <w:sz w:val="17"/>
              </w:rPr>
              <w:t>Portfolio allowance</w:t>
            </w:r>
          </w:p>
        </w:tc>
        <w:tc>
          <w:tcPr>
            <w:tcW w:type="dxa" w:w="3600"/>
            <w:shd w:val="clear" w:fill="1F3864"/>
          </w:tcPr>
          <w:p>
            <w:pPr>
              <w:spacing w:after="20" w:before="20"/>
            </w:pPr>
            <w:r/>
            <w:r>
              <w:rPr>
                <w:rFonts w:ascii="Georgia" w:hAnsi="Georgia"/>
                <w:b/>
                <w:color w:val="FFFFFF"/>
                <w:sz w:val="17"/>
              </w:rPr>
              <w:t>Who / value</w:t>
            </w:r>
          </w:p>
        </w:tc>
      </w:tr>
      <w:tr>
        <w:tc>
          <w:tcPr>
            <w:tcW w:type="dxa" w:w="2160"/>
          </w:tcPr>
          <w:p>
            <w:pPr>
              <w:spacing w:after="20" w:before="20"/>
            </w:pPr>
            <w:r/>
            <w:r>
              <w:rPr>
                <w:rFonts w:ascii="Georgia" w:hAnsi="Georgia"/>
                <w:b w:val="0"/>
                <w:color w:val="1A1410"/>
                <w:sz w:val="17"/>
              </w:rPr>
              <w:t>NGO Core</w:t>
            </w:r>
          </w:p>
        </w:tc>
        <w:tc>
          <w:tcPr>
            <w:tcW w:type="dxa" w:w="1728"/>
          </w:tcPr>
          <w:p>
            <w:pPr>
              <w:spacing w:after="20" w:before="20"/>
            </w:pPr>
            <w:r/>
            <w:r>
              <w:rPr>
                <w:rFonts w:ascii="Georgia" w:hAnsi="Georgia"/>
                <w:b w:val="0"/>
                <w:color w:val="1A1410"/>
                <w:sz w:val="17"/>
              </w:rPr>
              <w:t>$0</w:t>
            </w:r>
          </w:p>
        </w:tc>
        <w:tc>
          <w:tcPr>
            <w:tcW w:type="dxa" w:w="2160"/>
          </w:tcPr>
          <w:p>
            <w:pPr>
              <w:spacing w:after="20" w:before="20"/>
            </w:pPr>
            <w:r/>
            <w:r>
              <w:rPr>
                <w:rFonts w:ascii="Georgia" w:hAnsi="Georgia"/>
                <w:b w:val="0"/>
                <w:color w:val="1A1410"/>
                <w:sz w:val="17"/>
              </w:rPr>
              <w:t>Unlimited creation &amp; sharing</w:t>
            </w:r>
          </w:p>
        </w:tc>
        <w:tc>
          <w:tcPr>
            <w:tcW w:type="dxa" w:w="3600"/>
          </w:tcPr>
          <w:p>
            <w:pPr>
              <w:spacing w:after="20" w:before="20"/>
            </w:pPr>
            <w:r/>
            <w:r>
              <w:rPr>
                <w:rFonts w:ascii="Georgia" w:hAnsi="Georgia"/>
                <w:b w:val="0"/>
                <w:color w:val="1A1410"/>
                <w:sz w:val="17"/>
              </w:rPr>
              <w:t>Complete, hold, update, share a passport; control evidence consent — always free</w:t>
            </w:r>
          </w:p>
        </w:tc>
      </w:tr>
      <w:tr>
        <w:tc>
          <w:tcPr>
            <w:tcW w:type="dxa" w:w="2160"/>
            <w:shd w:val="clear" w:fill="EEF2F8"/>
          </w:tcPr>
          <w:p>
            <w:pPr>
              <w:spacing w:after="20" w:before="20"/>
            </w:pPr>
            <w:r/>
            <w:r>
              <w:rPr>
                <w:rFonts w:ascii="Georgia" w:hAnsi="Georgia"/>
                <w:b w:val="0"/>
                <w:color w:val="1A1410"/>
                <w:sz w:val="17"/>
              </w:rPr>
              <w:t>Paid Trust Rating (org)</w:t>
            </w:r>
          </w:p>
        </w:tc>
        <w:tc>
          <w:tcPr>
            <w:tcW w:type="dxa" w:w="1728"/>
            <w:shd w:val="clear" w:fill="EEF2F8"/>
          </w:tcPr>
          <w:p>
            <w:pPr>
              <w:spacing w:after="20" w:before="20"/>
            </w:pPr>
            <w:r/>
            <w:r>
              <w:rPr>
                <w:rFonts w:ascii="Georgia" w:hAnsi="Georgia"/>
                <w:b w:val="0"/>
                <w:color w:val="1A1410"/>
                <w:sz w:val="17"/>
              </w:rPr>
              <w:t>$250–$1,500</w:t>
            </w:r>
          </w:p>
        </w:tc>
        <w:tc>
          <w:tcPr>
            <w:tcW w:type="dxa" w:w="2160"/>
            <w:shd w:val="clear" w:fill="EEF2F8"/>
          </w:tcPr>
          <w:p>
            <w:pPr>
              <w:spacing w:after="20" w:before="20"/>
            </w:pPr>
            <w:r/>
            <w:r>
              <w:rPr>
                <w:rFonts w:ascii="Georgia" w:hAnsi="Georgia"/>
                <w:b w:val="0"/>
                <w:color w:val="1A1410"/>
                <w:sz w:val="17"/>
              </w:rPr>
              <w:t>One org, by size band</w:t>
            </w:r>
          </w:p>
        </w:tc>
        <w:tc>
          <w:tcPr>
            <w:tcW w:type="dxa" w:w="3600"/>
            <w:shd w:val="clear" w:fill="EEF2F8"/>
          </w:tcPr>
          <w:p>
            <w:pPr>
              <w:spacing w:after="20" w:before="20"/>
            </w:pPr>
            <w:r/>
            <w:r>
              <w:rPr>
                <w:rFonts w:ascii="Georgia" w:hAnsi="Georgia"/>
                <w:b w:val="0"/>
                <w:color w:val="1A1410"/>
                <w:sz w:val="17"/>
              </w:rPr>
              <w:t>Verified standing / blue-tick on a Link profile; often sponsor-funded (Motion A)</w:t>
            </w:r>
          </w:p>
        </w:tc>
      </w:tr>
      <w:tr>
        <w:tc>
          <w:tcPr>
            <w:tcW w:type="dxa" w:w="2160"/>
          </w:tcPr>
          <w:p>
            <w:pPr>
              <w:spacing w:after="20" w:before="20"/>
            </w:pPr>
            <w:r/>
            <w:r>
              <w:rPr>
                <w:rFonts w:ascii="Georgia" w:hAnsi="Georgia"/>
                <w:b w:val="0"/>
                <w:color w:val="1A1410"/>
                <w:sz w:val="17"/>
              </w:rPr>
              <w:t>Pay-as-you-go (funder)</w:t>
            </w:r>
          </w:p>
        </w:tc>
        <w:tc>
          <w:tcPr>
            <w:tcW w:type="dxa" w:w="1728"/>
          </w:tcPr>
          <w:p>
            <w:pPr>
              <w:spacing w:after="20" w:before="20"/>
            </w:pPr>
            <w:r/>
            <w:r>
              <w:rPr>
                <w:rFonts w:ascii="Georgia" w:hAnsi="Georgia"/>
                <w:b w:val="0"/>
                <w:color w:val="1A1410"/>
                <w:sz w:val="17"/>
              </w:rPr>
              <w:t>$35 / reliance decision</w:t>
            </w:r>
          </w:p>
        </w:tc>
        <w:tc>
          <w:tcPr>
            <w:tcW w:type="dxa" w:w="2160"/>
          </w:tcPr>
          <w:p>
            <w:pPr>
              <w:spacing w:after="20" w:before="20"/>
            </w:pPr>
            <w:r/>
            <w:r>
              <w:rPr>
                <w:rFonts w:ascii="Georgia" w:hAnsi="Georgia"/>
                <w:b w:val="0"/>
                <w:color w:val="1A1410"/>
                <w:sz w:val="17"/>
              </w:rPr>
              <w:t>$500 min. prepaid</w:t>
            </w:r>
          </w:p>
        </w:tc>
        <w:tc>
          <w:tcPr>
            <w:tcW w:type="dxa" w:w="3600"/>
          </w:tcPr>
          <w:p>
            <w:pPr>
              <w:spacing w:after="20" w:before="20"/>
            </w:pPr>
            <w:r/>
            <w:r>
              <w:rPr>
                <w:rFonts w:ascii="Georgia" w:hAnsi="Georgia"/>
                <w:b w:val="0"/>
                <w:color w:val="1A1410"/>
                <w:sz w:val="17"/>
              </w:rPr>
              <w:t>Occasional funders; screening alone does not consume a paid decision</w:t>
            </w:r>
          </w:p>
        </w:tc>
      </w:tr>
      <w:tr>
        <w:tc>
          <w:tcPr>
            <w:tcW w:type="dxa" w:w="2160"/>
            <w:shd w:val="clear" w:fill="EEF2F8"/>
          </w:tcPr>
          <w:p>
            <w:pPr>
              <w:spacing w:after="20" w:before="20"/>
            </w:pPr>
            <w:r/>
            <w:r>
              <w:rPr>
                <w:rFonts w:ascii="Georgia" w:hAnsi="Georgia"/>
                <w:b w:val="0"/>
                <w:color w:val="1A1410"/>
                <w:sz w:val="17"/>
              </w:rPr>
              <w:t>Essentials (funder)</w:t>
            </w:r>
          </w:p>
        </w:tc>
        <w:tc>
          <w:tcPr>
            <w:tcW w:type="dxa" w:w="1728"/>
            <w:shd w:val="clear" w:fill="EEF2F8"/>
          </w:tcPr>
          <w:p>
            <w:pPr>
              <w:spacing w:after="20" w:before="20"/>
            </w:pPr>
            <w:r/>
            <w:r>
              <w:rPr>
                <w:rFonts w:ascii="Georgia" w:hAnsi="Georgia"/>
                <w:b w:val="0"/>
                <w:color w:val="1A1410"/>
                <w:sz w:val="17"/>
              </w:rPr>
              <w:t>$3,000</w:t>
            </w:r>
          </w:p>
        </w:tc>
        <w:tc>
          <w:tcPr>
            <w:tcW w:type="dxa" w:w="2160"/>
            <w:shd w:val="clear" w:fill="EEF2F8"/>
          </w:tcPr>
          <w:p>
            <w:pPr>
              <w:spacing w:after="20" w:before="20"/>
            </w:pPr>
            <w:r/>
            <w:r>
              <w:rPr>
                <w:rFonts w:ascii="Georgia" w:hAnsi="Georgia"/>
                <w:b w:val="0"/>
                <w:color w:val="1A1410"/>
                <w:sz w:val="17"/>
              </w:rPr>
              <w:t>100 organizations</w:t>
            </w:r>
          </w:p>
        </w:tc>
        <w:tc>
          <w:tcPr>
            <w:tcW w:type="dxa" w:w="3600"/>
            <w:shd w:val="clear" w:fill="EEF2F8"/>
          </w:tcPr>
          <w:p>
            <w:pPr>
              <w:spacing w:after="20" w:before="20"/>
            </w:pPr>
            <w:r/>
            <w:r>
              <w:rPr>
                <w:rFonts w:ascii="Georgia" w:hAnsi="Georgia"/>
                <w:b w:val="0"/>
                <w:color w:val="1A1410"/>
                <w:sz w:val="17"/>
              </w:rPr>
              <w:t>Search, monitor, one acceptance policy, re-verification alerts, reliance records</w:t>
            </w:r>
          </w:p>
        </w:tc>
      </w:tr>
      <w:tr>
        <w:tc>
          <w:tcPr>
            <w:tcW w:type="dxa" w:w="2160"/>
          </w:tcPr>
          <w:p>
            <w:pPr>
              <w:spacing w:after="20" w:before="20"/>
            </w:pPr>
            <w:r/>
            <w:r>
              <w:rPr>
                <w:rFonts w:ascii="Georgia" w:hAnsi="Georgia"/>
                <w:b w:val="0"/>
                <w:color w:val="1A1410"/>
                <w:sz w:val="17"/>
              </w:rPr>
              <w:t>Growth (funder)</w:t>
            </w:r>
          </w:p>
        </w:tc>
        <w:tc>
          <w:tcPr>
            <w:tcW w:type="dxa" w:w="1728"/>
          </w:tcPr>
          <w:p>
            <w:pPr>
              <w:spacing w:after="20" w:before="20"/>
            </w:pPr>
            <w:r/>
            <w:r>
              <w:rPr>
                <w:rFonts w:ascii="Georgia" w:hAnsi="Georgia"/>
                <w:b w:val="0"/>
                <w:color w:val="1A1410"/>
                <w:sz w:val="17"/>
              </w:rPr>
              <w:t>$9,000</w:t>
            </w:r>
          </w:p>
        </w:tc>
        <w:tc>
          <w:tcPr>
            <w:tcW w:type="dxa" w:w="2160"/>
          </w:tcPr>
          <w:p>
            <w:pPr>
              <w:spacing w:after="20" w:before="20"/>
            </w:pPr>
            <w:r/>
            <w:r>
              <w:rPr>
                <w:rFonts w:ascii="Georgia" w:hAnsi="Georgia"/>
                <w:b w:val="0"/>
                <w:color w:val="1A1410"/>
                <w:sz w:val="17"/>
              </w:rPr>
              <w:t>500 organizations</w:t>
            </w:r>
          </w:p>
        </w:tc>
        <w:tc>
          <w:tcPr>
            <w:tcW w:type="dxa" w:w="3600"/>
          </w:tcPr>
          <w:p>
            <w:pPr>
              <w:spacing w:after="20" w:before="20"/>
            </w:pPr>
            <w:r/>
            <w:r>
              <w:rPr>
                <w:rFonts w:ascii="Georgia" w:hAnsi="Georgia"/>
                <w:b w:val="0"/>
                <w:color w:val="1A1410"/>
                <w:sz w:val="17"/>
              </w:rPr>
              <w:t>Multiple policies, delta review, portfolio analytics, priority support</w:t>
            </w:r>
          </w:p>
        </w:tc>
      </w:tr>
      <w:tr>
        <w:tc>
          <w:tcPr>
            <w:tcW w:type="dxa" w:w="2160"/>
            <w:shd w:val="clear" w:fill="EEF2F8"/>
          </w:tcPr>
          <w:p>
            <w:pPr>
              <w:spacing w:after="20" w:before="20"/>
            </w:pPr>
            <w:r/>
            <w:r>
              <w:rPr>
                <w:rFonts w:ascii="Georgia" w:hAnsi="Georgia"/>
                <w:b w:val="0"/>
                <w:color w:val="1A1410"/>
                <w:sz w:val="17"/>
              </w:rPr>
              <w:t>Portfolio (funder)</w:t>
            </w:r>
          </w:p>
        </w:tc>
        <w:tc>
          <w:tcPr>
            <w:tcW w:type="dxa" w:w="1728"/>
            <w:shd w:val="clear" w:fill="EEF2F8"/>
          </w:tcPr>
          <w:p>
            <w:pPr>
              <w:spacing w:after="20" w:before="20"/>
            </w:pPr>
            <w:r/>
            <w:r>
              <w:rPr>
                <w:rFonts w:ascii="Georgia" w:hAnsi="Georgia"/>
                <w:b w:val="0"/>
                <w:color w:val="1A1410"/>
                <w:sz w:val="17"/>
              </w:rPr>
              <w:t>$20,000</w:t>
            </w:r>
          </w:p>
        </w:tc>
        <w:tc>
          <w:tcPr>
            <w:tcW w:type="dxa" w:w="2160"/>
            <w:shd w:val="clear" w:fill="EEF2F8"/>
          </w:tcPr>
          <w:p>
            <w:pPr>
              <w:spacing w:after="20" w:before="20"/>
            </w:pPr>
            <w:r/>
            <w:r>
              <w:rPr>
                <w:rFonts w:ascii="Georgia" w:hAnsi="Georgia"/>
                <w:b w:val="0"/>
                <w:color w:val="1A1410"/>
                <w:sz w:val="17"/>
              </w:rPr>
              <w:t>2,000 organizations</w:t>
            </w:r>
          </w:p>
        </w:tc>
        <w:tc>
          <w:tcPr>
            <w:tcW w:type="dxa" w:w="3600"/>
            <w:shd w:val="clear" w:fill="EEF2F8"/>
          </w:tcPr>
          <w:p>
            <w:pPr>
              <w:spacing w:after="20" w:before="20"/>
            </w:pPr>
            <w:r/>
            <w:r>
              <w:rPr>
                <w:rFonts w:ascii="Georgia" w:hAnsi="Georgia"/>
                <w:b w:val="0"/>
                <w:color w:val="1A1410"/>
                <w:sz w:val="17"/>
              </w:rPr>
              <w:t>SSO, API, signed reliance receipts, bulk monitoring</w:t>
            </w:r>
          </w:p>
        </w:tc>
      </w:tr>
      <w:tr>
        <w:tc>
          <w:tcPr>
            <w:tcW w:type="dxa" w:w="2160"/>
          </w:tcPr>
          <w:p>
            <w:pPr>
              <w:spacing w:after="20" w:before="20"/>
            </w:pPr>
            <w:r/>
            <w:r>
              <w:rPr>
                <w:rFonts w:ascii="Georgia" w:hAnsi="Georgia"/>
                <w:b w:val="0"/>
                <w:color w:val="1A1410"/>
                <w:sz w:val="17"/>
              </w:rPr>
              <w:t>Network / Enterprise</w:t>
            </w:r>
          </w:p>
        </w:tc>
        <w:tc>
          <w:tcPr>
            <w:tcW w:type="dxa" w:w="1728"/>
          </w:tcPr>
          <w:p>
            <w:pPr>
              <w:spacing w:after="20" w:before="20"/>
            </w:pPr>
            <w:r/>
            <w:r>
              <w:rPr>
                <w:rFonts w:ascii="Georgia" w:hAnsi="Georgia"/>
                <w:b w:val="0"/>
                <w:color w:val="1A1410"/>
                <w:sz w:val="17"/>
              </w:rPr>
              <w:t>$40,000+ / custom</w:t>
            </w:r>
          </w:p>
        </w:tc>
        <w:tc>
          <w:tcPr>
            <w:tcW w:type="dxa" w:w="2160"/>
          </w:tcPr>
          <w:p>
            <w:pPr>
              <w:spacing w:after="20" w:before="20"/>
            </w:pPr>
            <w:r/>
            <w:r>
              <w:rPr>
                <w:rFonts w:ascii="Georgia" w:hAnsi="Georgia"/>
                <w:b w:val="0"/>
                <w:color w:val="1A1410"/>
                <w:sz w:val="17"/>
              </w:rPr>
              <w:t>5,000+ / bespoke</w:t>
            </w:r>
          </w:p>
        </w:tc>
        <w:tc>
          <w:tcPr>
            <w:tcW w:type="dxa" w:w="3600"/>
          </w:tcPr>
          <w:p>
            <w:pPr>
              <w:spacing w:after="20" w:before="20"/>
            </w:pPr>
            <w:r/>
            <w:r>
              <w:rPr>
                <w:rFonts w:ascii="Georgia" w:hAnsi="Georgia"/>
                <w:b w:val="0"/>
                <w:color w:val="1A1410"/>
                <w:sz w:val="17"/>
              </w:rPr>
              <w:t>Consortium governance, shared directory, policy federation, residency</w:t>
            </w:r>
          </w:p>
        </w:tc>
      </w:tr>
    </w:tbl>
    <w:p>
      <w:pPr>
        <w:spacing w:after="20"/>
      </w:pPr>
    </w:p>
    <w:tbl>
      <w:tblPr>
        <w:tblStyle w:val="TableGrid"/>
        <w:tblW w:type="auto" w:w="0"/>
        <w:tblLook w:firstColumn="1" w:firstRow="1" w:lastColumn="0" w:lastRow="0" w:noHBand="0" w:noVBand="1" w:val="04A0"/>
      </w:tblPr>
      <w:tblGrid>
        <w:gridCol w:w="9792"/>
      </w:tblGrid>
      <w:tr>
        <w:tc>
          <w:tcPr>
            <w:tcW w:type="dxa" w:w="9792"/>
            <w:shd w:val="clear" w:fill="FBEDE6"/>
          </w:tcPr>
          <w:p>
            <w:r/>
            <w:r>
              <w:rPr>
                <w:rFonts w:ascii="Georgia" w:hAnsi="Georgia"/>
                <w:b/>
                <w:color w:val="C2410C"/>
                <w:sz w:val="19"/>
              </w:rPr>
              <w:t xml:space="preserve">A deliberate caution:  </w:t>
            </w:r>
            <w:r>
              <w:rPr>
                <w:rFonts w:ascii="Georgia" w:hAnsi="Georgia"/>
                <w:color w:val="1A1410"/>
                <w:sz w:val="19"/>
              </w:rPr>
              <w:t>the market for a standalone, donor-paid "compliance passport" is unproven — NGOsource proves reuse across grantmakers is real, but its own economics have struggled. So Kuja monetizes Trust primarily three ways: (1) the paid Trust Rating an org or its sponsor buys for verified standing, (2) bundled into Fund, and (3) licensed to DD providers (Motion E). The standalone funder subscription tiers above are a validate-carefully upside, not the core bet.</w:t>
            </w:r>
          </w:p>
        </w:tc>
      </w:tr>
    </w:tbl>
    <w:p>
      <w:pPr>
        <w:spacing w:after="20"/>
      </w:pPr>
    </w:p>
    <w:p>
      <w:pPr>
        <w:pStyle w:val="Heading1"/>
      </w:pPr>
      <w:r>
        <w:t>7. Pricing — Kuja Build</w:t>
      </w:r>
    </w:p>
    <w:p>
      <w:pPr>
        <w:spacing w:after="120"/>
      </w:pPr>
      <w:r>
        <w:rPr>
          <w:rFonts w:ascii="Georgia" w:hAnsi="Georgia"/>
          <w:b w:val="0"/>
          <w:i w:val="0"/>
          <w:color w:val="1A1410"/>
          <w:sz w:val="20"/>
        </w:rPr>
        <w:t>Sold in modules, unlimited users, priced by organization size and module set — kept well under 2% of an org’s budget and positioned as a deal against buying separate accounting, HR, procurement and governance systems (Sage Intacct alone is $15k–$50k/yr plus $30k–$75k implementation; NetSuite 1.5–2.5× that). The earlier strategy’s ERP pricing was too high; these numbers are lower and should still be reconciled against James’s NEAR RFP costing before they are quoted externally.</w:t>
      </w:r>
    </w:p>
    <w:tbl>
      <w:tblPr>
        <w:tblStyle w:val="TableGrid"/>
        <w:tblW w:type="auto" w:w="0"/>
        <w:tblLook w:firstColumn="1" w:firstRow="1" w:lastColumn="0" w:lastRow="0" w:noHBand="0" w:noVBand="1" w:val="04A0"/>
      </w:tblPr>
      <w:tblGrid>
        <w:gridCol w:w="2448"/>
        <w:gridCol w:w="2448"/>
        <w:gridCol w:w="2448"/>
        <w:gridCol w:w="2448"/>
      </w:tblGrid>
      <w:tr>
        <w:tc>
          <w:tcPr>
            <w:tcW w:type="dxa" w:w="1872"/>
            <w:shd w:val="clear" w:fill="1F3864"/>
          </w:tcPr>
          <w:p>
            <w:pPr>
              <w:spacing w:after="20" w:before="20"/>
            </w:pPr>
            <w:r/>
            <w:r>
              <w:rPr>
                <w:rFonts w:ascii="Georgia" w:hAnsi="Georgia"/>
                <w:b/>
                <w:color w:val="FFFFFF"/>
                <w:sz w:val="17"/>
              </w:rPr>
              <w:t>Plan</w:t>
            </w:r>
          </w:p>
        </w:tc>
        <w:tc>
          <w:tcPr>
            <w:tcW w:type="dxa" w:w="2736"/>
            <w:shd w:val="clear" w:fill="1F3864"/>
          </w:tcPr>
          <w:p>
            <w:pPr>
              <w:spacing w:after="20" w:before="20"/>
            </w:pPr>
            <w:r/>
            <w:r>
              <w:rPr>
                <w:rFonts w:ascii="Georgia" w:hAnsi="Georgia"/>
                <w:b/>
                <w:color w:val="FFFFFF"/>
                <w:sz w:val="17"/>
              </w:rPr>
              <w:t>Annual (direct / Motion F)</w:t>
            </w:r>
          </w:p>
        </w:tc>
        <w:tc>
          <w:tcPr>
            <w:tcW w:type="dxa" w:w="2736"/>
            <w:shd w:val="clear" w:fill="1F3864"/>
          </w:tcPr>
          <w:p>
            <w:pPr>
              <w:spacing w:after="20" w:before="20"/>
            </w:pPr>
            <w:r/>
            <w:r>
              <w:rPr>
                <w:rFonts w:ascii="Georgia" w:hAnsi="Georgia"/>
                <w:b/>
                <w:color w:val="FFFFFF"/>
                <w:sz w:val="17"/>
              </w:rPr>
              <w:t>Donor-sponsored (Motion G)</w:t>
            </w:r>
          </w:p>
        </w:tc>
        <w:tc>
          <w:tcPr>
            <w:tcW w:type="dxa" w:w="2880"/>
            <w:shd w:val="clear" w:fill="1F3864"/>
          </w:tcPr>
          <w:p>
            <w:pPr>
              <w:spacing w:after="20" w:before="20"/>
            </w:pPr>
            <w:r/>
            <w:r>
              <w:rPr>
                <w:rFonts w:ascii="Georgia" w:hAnsi="Georgia"/>
                <w:b/>
                <w:color w:val="FFFFFF"/>
                <w:sz w:val="17"/>
              </w:rPr>
              <w:t>Modules</w:t>
            </w:r>
          </w:p>
        </w:tc>
      </w:tr>
      <w:tr>
        <w:tc>
          <w:tcPr>
            <w:tcW w:type="dxa" w:w="1872"/>
          </w:tcPr>
          <w:p>
            <w:pPr>
              <w:spacing w:after="20" w:before="20"/>
            </w:pPr>
            <w:r/>
            <w:r>
              <w:rPr>
                <w:rFonts w:ascii="Georgia" w:hAnsi="Georgia"/>
                <w:b w:val="0"/>
                <w:color w:val="1A1410"/>
                <w:sz w:val="17"/>
              </w:rPr>
              <w:t>Build Starter</w:t>
            </w:r>
          </w:p>
        </w:tc>
        <w:tc>
          <w:tcPr>
            <w:tcW w:type="dxa" w:w="2736"/>
          </w:tcPr>
          <w:p>
            <w:pPr>
              <w:spacing w:after="20" w:before="20"/>
            </w:pPr>
            <w:r/>
            <w:r>
              <w:rPr>
                <w:rFonts w:ascii="Georgia" w:hAnsi="Georgia"/>
                <w:b w:val="0"/>
                <w:color w:val="1A1410"/>
                <w:sz w:val="17"/>
              </w:rPr>
              <w:t>$4,000–$6,000</w:t>
            </w:r>
          </w:p>
        </w:tc>
        <w:tc>
          <w:tcPr>
            <w:tcW w:type="dxa" w:w="2736"/>
          </w:tcPr>
          <w:p>
            <w:pPr>
              <w:spacing w:after="20" w:before="20"/>
            </w:pPr>
            <w:r/>
            <w:r>
              <w:rPr>
                <w:rFonts w:ascii="Georgia" w:hAnsi="Georgia"/>
                <w:b w:val="0"/>
                <w:color w:val="1A1410"/>
                <w:sz w:val="17"/>
              </w:rPr>
              <w:t>From $8,000 all-in Year 1</w:t>
            </w:r>
          </w:p>
        </w:tc>
        <w:tc>
          <w:tcPr>
            <w:tcW w:type="dxa" w:w="2880"/>
          </w:tcPr>
          <w:p>
            <w:pPr>
              <w:spacing w:after="20" w:before="20"/>
            </w:pPr>
            <w:r/>
            <w:r>
              <w:rPr>
                <w:rFonts w:ascii="Georgia" w:hAnsi="Georgia"/>
                <w:b w:val="0"/>
                <w:color w:val="1A1410"/>
                <w:sz w:val="17"/>
              </w:rPr>
              <w:t>Admin + Core (governance, contracts, grants-compliance, CRM, M&amp;E)</w:t>
            </w:r>
          </w:p>
        </w:tc>
      </w:tr>
      <w:tr>
        <w:tc>
          <w:tcPr>
            <w:tcW w:type="dxa" w:w="1872"/>
            <w:shd w:val="clear" w:fill="EEF2F8"/>
          </w:tcPr>
          <w:p>
            <w:pPr>
              <w:spacing w:after="20" w:before="20"/>
            </w:pPr>
            <w:r/>
            <w:r>
              <w:rPr>
                <w:rFonts w:ascii="Georgia" w:hAnsi="Georgia"/>
                <w:b w:val="0"/>
                <w:color w:val="1A1410"/>
                <w:sz w:val="17"/>
              </w:rPr>
              <w:t>Build Growth</w:t>
            </w:r>
          </w:p>
        </w:tc>
        <w:tc>
          <w:tcPr>
            <w:tcW w:type="dxa" w:w="2736"/>
            <w:shd w:val="clear" w:fill="EEF2F8"/>
          </w:tcPr>
          <w:p>
            <w:pPr>
              <w:spacing w:after="20" w:before="20"/>
            </w:pPr>
            <w:r/>
            <w:r>
              <w:rPr>
                <w:rFonts w:ascii="Georgia" w:hAnsi="Georgia"/>
                <w:b w:val="0"/>
                <w:color w:val="1A1410"/>
                <w:sz w:val="17"/>
              </w:rPr>
              <w:t>$10,000–$16,000</w:t>
            </w:r>
          </w:p>
        </w:tc>
        <w:tc>
          <w:tcPr>
            <w:tcW w:type="dxa" w:w="2736"/>
            <w:shd w:val="clear" w:fill="EEF2F8"/>
          </w:tcPr>
          <w:p>
            <w:pPr>
              <w:spacing w:after="20" w:before="20"/>
            </w:pPr>
            <w:r/>
            <w:r>
              <w:rPr>
                <w:rFonts w:ascii="Georgia" w:hAnsi="Georgia"/>
                <w:b w:val="0"/>
                <w:color w:val="1A1410"/>
                <w:sz w:val="17"/>
              </w:rPr>
              <w:t>From $16,000 all-in Year 1</w:t>
            </w:r>
          </w:p>
        </w:tc>
        <w:tc>
          <w:tcPr>
            <w:tcW w:type="dxa" w:w="2880"/>
            <w:shd w:val="clear" w:fill="EEF2F8"/>
          </w:tcPr>
          <w:p>
            <w:pPr>
              <w:spacing w:after="20" w:before="20"/>
            </w:pPr>
            <w:r/>
            <w:r>
              <w:rPr>
                <w:rFonts w:ascii="Georgia" w:hAnsi="Georgia"/>
                <w:b w:val="0"/>
                <w:color w:val="1A1410"/>
                <w:sz w:val="17"/>
              </w:rPr>
              <w:t>Adds Professional — finance, accounting, procurement, HR, payroll</w:t>
            </w:r>
          </w:p>
        </w:tc>
      </w:tr>
      <w:tr>
        <w:tc>
          <w:tcPr>
            <w:tcW w:type="dxa" w:w="1872"/>
          </w:tcPr>
          <w:p>
            <w:pPr>
              <w:spacing w:after="20" w:before="20"/>
            </w:pPr>
            <w:r/>
            <w:r>
              <w:rPr>
                <w:rFonts w:ascii="Georgia" w:hAnsi="Georgia"/>
                <w:b w:val="0"/>
                <w:color w:val="1A1410"/>
                <w:sz w:val="17"/>
              </w:rPr>
              <w:t>Build Enterprise</w:t>
            </w:r>
          </w:p>
        </w:tc>
        <w:tc>
          <w:tcPr>
            <w:tcW w:type="dxa" w:w="2736"/>
          </w:tcPr>
          <w:p>
            <w:pPr>
              <w:spacing w:after="20" w:before="20"/>
            </w:pPr>
            <w:r/>
            <w:r>
              <w:rPr>
                <w:rFonts w:ascii="Georgia" w:hAnsi="Georgia"/>
                <w:b w:val="0"/>
                <w:color w:val="1A1410"/>
                <w:sz w:val="17"/>
              </w:rPr>
              <w:t>$24,000–$40,000</w:t>
            </w:r>
          </w:p>
        </w:tc>
        <w:tc>
          <w:tcPr>
            <w:tcW w:type="dxa" w:w="2736"/>
          </w:tcPr>
          <w:p>
            <w:pPr>
              <w:spacing w:after="20" w:before="20"/>
            </w:pPr>
            <w:r/>
            <w:r>
              <w:rPr>
                <w:rFonts w:ascii="Georgia" w:hAnsi="Georgia"/>
                <w:b w:val="0"/>
                <w:color w:val="1A1410"/>
                <w:sz w:val="17"/>
              </w:rPr>
              <w:t>Scoped</w:t>
            </w:r>
          </w:p>
        </w:tc>
        <w:tc>
          <w:tcPr>
            <w:tcW w:type="dxa" w:w="2880"/>
          </w:tcPr>
          <w:p>
            <w:pPr>
              <w:spacing w:after="20" w:before="20"/>
            </w:pPr>
            <w:r/>
            <w:r>
              <w:rPr>
                <w:rFonts w:ascii="Georgia" w:hAnsi="Georgia"/>
                <w:b w:val="0"/>
                <w:color w:val="1A1410"/>
                <w:sz w:val="17"/>
              </w:rPr>
              <w:t>Full stack, multi-entity, country payroll modules, integrations</w:t>
            </w:r>
          </w:p>
        </w:tc>
      </w:tr>
    </w:tbl>
    <w:p>
      <w:pPr>
        <w:spacing w:after="20"/>
      </w:pPr>
    </w:p>
    <w:p>
      <w:pPr>
        <w:spacing w:after="120"/>
      </w:pPr>
      <w:r>
        <w:rPr>
          <w:rFonts w:ascii="Georgia" w:hAnsi="Georgia"/>
          <w:b w:val="0"/>
          <w:i w:val="0"/>
          <w:color w:val="57534E"/>
          <w:sz w:val="19"/>
        </w:rPr>
        <w:t>Implementation is light and mostly partner-delivered: roughly $3,000 (Starter), $7,500 (Growth), $15,000+ (Enterprise). Donor-sponsored deals are Year-1 donor-paid and taper to grantee-paid by Year 3 as eligibility uplift unlocks new funding. Donor-sponsored price sits above direct-NGO price by design.</w:t>
      </w:r>
    </w:p>
    <w:p>
      <w:pPr>
        <w:pStyle w:val="Heading1"/>
      </w:pPr>
      <w:r>
        <w:t>8. The Bundles — Kuja Suite</w:t>
      </w:r>
    </w:p>
    <w:p>
      <w:pPr>
        <w:spacing w:after="120"/>
      </w:pPr>
      <w:r>
        <w:rPr>
          <w:rFonts w:ascii="Georgia" w:hAnsi="Georgia"/>
          <w:b w:val="0"/>
          <w:i w:val="0"/>
          <w:color w:val="1A1410"/>
          <w:sz w:val="20"/>
        </w:rPr>
        <w:t>Every product lands on its own, but each sale should seed the next. Bundles reward integrated adoption at a disciplined discount without erasing any product’s standalone value. Every bundle price is still a FLAT annual fee — the discount is applied once to the combined tier, never a running percentage.</w:t>
      </w:r>
    </w:p>
    <w:p>
      <w:pPr>
        <w:pStyle w:val="Heading2"/>
      </w:pPr>
      <w:r>
        <w:t>8.1 Trust &amp; Grant Suite (Fund + Trust) — the funder loop</w:t>
      </w:r>
    </w:p>
    <w:p>
      <w:pPr>
        <w:spacing w:after="120"/>
      </w:pPr>
      <w:r>
        <w:rPr>
          <w:rFonts w:ascii="Georgia" w:hAnsi="Georgia"/>
          <w:b w:val="0"/>
          <w:i w:val="0"/>
          <w:color w:val="1A1410"/>
          <w:sz w:val="20"/>
        </w:rPr>
        <w:t>When a funder manages recurring grants and a broader partner pipeline, this is the default recommendation. It pairs a Fund plan with a Trust plan at a disciplined 7–15% discount — enough to reward integrated adoption without erasing the passport’s persistent portfolio value. Not "two apps for less"; it is one operating loop from discovery to funding to reusable trust.</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872"/>
            <w:shd w:val="clear" w:fill="1F3864"/>
          </w:tcPr>
          <w:p>
            <w:pPr>
              <w:spacing w:after="20" w:before="20"/>
            </w:pPr>
            <w:r/>
            <w:r>
              <w:rPr>
                <w:rFonts w:ascii="Georgia" w:hAnsi="Georgia"/>
                <w:b/>
                <w:color w:val="FFFFFF"/>
                <w:sz w:val="17"/>
              </w:rPr>
              <w:t>Suite</w:t>
            </w:r>
          </w:p>
        </w:tc>
        <w:tc>
          <w:tcPr>
            <w:tcW w:type="dxa" w:w="2736"/>
            <w:shd w:val="clear" w:fill="1F3864"/>
          </w:tcPr>
          <w:p>
            <w:pPr>
              <w:spacing w:after="20" w:before="20"/>
            </w:pPr>
            <w:r/>
            <w:r>
              <w:rPr>
                <w:rFonts w:ascii="Georgia" w:hAnsi="Georgia"/>
                <w:b/>
                <w:color w:val="FFFFFF"/>
                <w:sz w:val="17"/>
              </w:rPr>
              <w:t>Fund + Trust</w:t>
            </w:r>
          </w:p>
        </w:tc>
        <w:tc>
          <w:tcPr>
            <w:tcW w:type="dxa" w:w="1584"/>
            <w:shd w:val="clear" w:fill="1F3864"/>
          </w:tcPr>
          <w:p>
            <w:pPr>
              <w:spacing w:after="20" w:before="20"/>
            </w:pPr>
            <w:r/>
            <w:r>
              <w:rPr>
                <w:rFonts w:ascii="Georgia" w:hAnsi="Georgia"/>
                <w:b/>
                <w:color w:val="FFFFFF"/>
                <w:sz w:val="17"/>
              </w:rPr>
              <w:t>Standalone</w:t>
            </w:r>
          </w:p>
        </w:tc>
        <w:tc>
          <w:tcPr>
            <w:tcW w:type="dxa" w:w="1584"/>
            <w:shd w:val="clear" w:fill="1F3864"/>
          </w:tcPr>
          <w:p>
            <w:pPr>
              <w:spacing w:after="20" w:before="20"/>
            </w:pPr>
            <w:r/>
            <w:r>
              <w:rPr>
                <w:rFonts w:ascii="Georgia" w:hAnsi="Georgia"/>
                <w:b/>
                <w:color w:val="FFFFFF"/>
                <w:sz w:val="17"/>
              </w:rPr>
              <w:t>Suite price</w:t>
            </w:r>
          </w:p>
        </w:tc>
        <w:tc>
          <w:tcPr>
            <w:tcW w:type="dxa" w:w="1152"/>
            <w:shd w:val="clear" w:fill="1F3864"/>
          </w:tcPr>
          <w:p>
            <w:pPr>
              <w:spacing w:after="20" w:before="20"/>
            </w:pPr>
            <w:r/>
            <w:r>
              <w:rPr>
                <w:rFonts w:ascii="Georgia" w:hAnsi="Georgia"/>
                <w:b/>
                <w:color w:val="FFFFFF"/>
                <w:sz w:val="17"/>
              </w:rPr>
              <w:t>Saving</w:t>
            </w:r>
          </w:p>
        </w:tc>
      </w:tr>
      <w:tr>
        <w:tc>
          <w:tcPr>
            <w:tcW w:type="dxa" w:w="1872"/>
          </w:tcPr>
          <w:p>
            <w:pPr>
              <w:spacing w:after="20" w:before="20"/>
            </w:pPr>
            <w:r/>
            <w:r>
              <w:rPr>
                <w:rFonts w:ascii="Georgia" w:hAnsi="Georgia"/>
                <w:b w:val="0"/>
                <w:color w:val="1A1410"/>
                <w:sz w:val="17"/>
              </w:rPr>
              <w:t>Community Suite</w:t>
            </w:r>
          </w:p>
        </w:tc>
        <w:tc>
          <w:tcPr>
            <w:tcW w:type="dxa" w:w="2736"/>
          </w:tcPr>
          <w:p>
            <w:pPr>
              <w:spacing w:after="20" w:before="20"/>
            </w:pPr>
            <w:r/>
            <w:r>
              <w:rPr>
                <w:rFonts w:ascii="Georgia" w:hAnsi="Georgia"/>
                <w:b w:val="0"/>
                <w:color w:val="1A1410"/>
                <w:sz w:val="17"/>
              </w:rPr>
              <w:t>Community + Essentials</w:t>
            </w:r>
          </w:p>
        </w:tc>
        <w:tc>
          <w:tcPr>
            <w:tcW w:type="dxa" w:w="1584"/>
          </w:tcPr>
          <w:p>
            <w:pPr>
              <w:spacing w:after="20" w:before="20"/>
            </w:pPr>
            <w:r/>
            <w:r>
              <w:rPr>
                <w:rFonts w:ascii="Georgia" w:hAnsi="Georgia"/>
                <w:b w:val="0"/>
                <w:color w:val="1A1410"/>
                <w:sz w:val="17"/>
              </w:rPr>
              <w:t>$7,000</w:t>
            </w:r>
          </w:p>
        </w:tc>
        <w:tc>
          <w:tcPr>
            <w:tcW w:type="dxa" w:w="1584"/>
          </w:tcPr>
          <w:p>
            <w:pPr>
              <w:spacing w:after="20" w:before="20"/>
            </w:pPr>
            <w:r/>
            <w:r>
              <w:rPr>
                <w:rFonts w:ascii="Georgia" w:hAnsi="Georgia"/>
                <w:b w:val="0"/>
                <w:color w:val="1A1410"/>
                <w:sz w:val="17"/>
              </w:rPr>
              <w:t>$6,500</w:t>
            </w:r>
          </w:p>
        </w:tc>
        <w:tc>
          <w:tcPr>
            <w:tcW w:type="dxa" w:w="1152"/>
          </w:tcPr>
          <w:p>
            <w:pPr>
              <w:spacing w:after="20" w:before="20"/>
            </w:pPr>
            <w:r/>
            <w:r>
              <w:rPr>
                <w:rFonts w:ascii="Georgia" w:hAnsi="Georgia"/>
                <w:b w:val="0"/>
                <w:color w:val="1A1410"/>
                <w:sz w:val="17"/>
              </w:rPr>
              <w:t>7%</w:t>
            </w:r>
          </w:p>
        </w:tc>
      </w:tr>
      <w:tr>
        <w:tc>
          <w:tcPr>
            <w:tcW w:type="dxa" w:w="1872"/>
            <w:shd w:val="clear" w:fill="EEF2F8"/>
          </w:tcPr>
          <w:p>
            <w:pPr>
              <w:spacing w:after="20" w:before="20"/>
            </w:pPr>
            <w:r/>
            <w:r>
              <w:rPr>
                <w:rFonts w:ascii="Georgia" w:hAnsi="Georgia"/>
                <w:b w:val="0"/>
                <w:color w:val="1A1410"/>
                <w:sz w:val="17"/>
              </w:rPr>
              <w:t>Core Suite</w:t>
            </w:r>
          </w:p>
        </w:tc>
        <w:tc>
          <w:tcPr>
            <w:tcW w:type="dxa" w:w="2736"/>
            <w:shd w:val="clear" w:fill="EEF2F8"/>
          </w:tcPr>
          <w:p>
            <w:pPr>
              <w:spacing w:after="20" w:before="20"/>
            </w:pPr>
            <w:r/>
            <w:r>
              <w:rPr>
                <w:rFonts w:ascii="Georgia" w:hAnsi="Georgia"/>
                <w:b w:val="0"/>
                <w:color w:val="1A1410"/>
                <w:sz w:val="17"/>
              </w:rPr>
              <w:t>Core + Growth</w:t>
            </w:r>
          </w:p>
        </w:tc>
        <w:tc>
          <w:tcPr>
            <w:tcW w:type="dxa" w:w="1584"/>
            <w:shd w:val="clear" w:fill="EEF2F8"/>
          </w:tcPr>
          <w:p>
            <w:pPr>
              <w:spacing w:after="20" w:before="20"/>
            </w:pPr>
            <w:r/>
            <w:r>
              <w:rPr>
                <w:rFonts w:ascii="Georgia" w:hAnsi="Georgia"/>
                <w:b w:val="0"/>
                <w:color w:val="1A1410"/>
                <w:sz w:val="17"/>
              </w:rPr>
              <w:t>$17,000</w:t>
            </w:r>
          </w:p>
        </w:tc>
        <w:tc>
          <w:tcPr>
            <w:tcW w:type="dxa" w:w="1584"/>
            <w:shd w:val="clear" w:fill="EEF2F8"/>
          </w:tcPr>
          <w:p>
            <w:pPr>
              <w:spacing w:after="20" w:before="20"/>
            </w:pPr>
            <w:r/>
            <w:r>
              <w:rPr>
                <w:rFonts w:ascii="Georgia" w:hAnsi="Georgia"/>
                <w:b w:val="0"/>
                <w:color w:val="1A1410"/>
                <w:sz w:val="17"/>
              </w:rPr>
              <w:t>$15,000</w:t>
            </w:r>
          </w:p>
        </w:tc>
        <w:tc>
          <w:tcPr>
            <w:tcW w:type="dxa" w:w="1152"/>
            <w:shd w:val="clear" w:fill="EEF2F8"/>
          </w:tcPr>
          <w:p>
            <w:pPr>
              <w:spacing w:after="20" w:before="20"/>
            </w:pPr>
            <w:r/>
            <w:r>
              <w:rPr>
                <w:rFonts w:ascii="Georgia" w:hAnsi="Georgia"/>
                <w:b w:val="0"/>
                <w:color w:val="1A1410"/>
                <w:sz w:val="17"/>
              </w:rPr>
              <w:t>12%</w:t>
            </w:r>
          </w:p>
        </w:tc>
      </w:tr>
      <w:tr>
        <w:tc>
          <w:tcPr>
            <w:tcW w:type="dxa" w:w="1872"/>
          </w:tcPr>
          <w:p>
            <w:pPr>
              <w:spacing w:after="20" w:before="20"/>
            </w:pPr>
            <w:r/>
            <w:r>
              <w:rPr>
                <w:rFonts w:ascii="Georgia" w:hAnsi="Georgia"/>
                <w:b w:val="0"/>
                <w:color w:val="1A1410"/>
                <w:sz w:val="17"/>
              </w:rPr>
              <w:t>Growth Suite</w:t>
            </w:r>
          </w:p>
        </w:tc>
        <w:tc>
          <w:tcPr>
            <w:tcW w:type="dxa" w:w="2736"/>
          </w:tcPr>
          <w:p>
            <w:pPr>
              <w:spacing w:after="20" w:before="20"/>
            </w:pPr>
            <w:r/>
            <w:r>
              <w:rPr>
                <w:rFonts w:ascii="Georgia" w:hAnsi="Georgia"/>
                <w:b w:val="0"/>
                <w:color w:val="1A1410"/>
                <w:sz w:val="17"/>
              </w:rPr>
              <w:t>Growth + Portfolio</w:t>
            </w:r>
          </w:p>
        </w:tc>
        <w:tc>
          <w:tcPr>
            <w:tcW w:type="dxa" w:w="1584"/>
          </w:tcPr>
          <w:p>
            <w:pPr>
              <w:spacing w:after="20" w:before="20"/>
            </w:pPr>
            <w:r/>
            <w:r>
              <w:rPr>
                <w:rFonts w:ascii="Georgia" w:hAnsi="Georgia"/>
                <w:b w:val="0"/>
                <w:color w:val="1A1410"/>
                <w:sz w:val="17"/>
              </w:rPr>
              <w:t>$36,000</w:t>
            </w:r>
          </w:p>
        </w:tc>
        <w:tc>
          <w:tcPr>
            <w:tcW w:type="dxa" w:w="1584"/>
          </w:tcPr>
          <w:p>
            <w:pPr>
              <w:spacing w:after="20" w:before="20"/>
            </w:pPr>
            <w:r/>
            <w:r>
              <w:rPr>
                <w:rFonts w:ascii="Georgia" w:hAnsi="Georgia"/>
                <w:b w:val="0"/>
                <w:color w:val="1A1410"/>
                <w:sz w:val="17"/>
              </w:rPr>
              <w:t>$31,000</w:t>
            </w:r>
          </w:p>
        </w:tc>
        <w:tc>
          <w:tcPr>
            <w:tcW w:type="dxa" w:w="1152"/>
          </w:tcPr>
          <w:p>
            <w:pPr>
              <w:spacing w:after="20" w:before="20"/>
            </w:pPr>
            <w:r/>
            <w:r>
              <w:rPr>
                <w:rFonts w:ascii="Georgia" w:hAnsi="Georgia"/>
                <w:b w:val="0"/>
                <w:color w:val="1A1410"/>
                <w:sz w:val="17"/>
              </w:rPr>
              <w:t>14%</w:t>
            </w:r>
          </w:p>
        </w:tc>
      </w:tr>
      <w:tr>
        <w:tc>
          <w:tcPr>
            <w:tcW w:type="dxa" w:w="1872"/>
            <w:shd w:val="clear" w:fill="EEF2F8"/>
          </w:tcPr>
          <w:p>
            <w:pPr>
              <w:spacing w:after="20" w:before="20"/>
            </w:pPr>
            <w:r/>
            <w:r>
              <w:rPr>
                <w:rFonts w:ascii="Georgia" w:hAnsi="Georgia"/>
                <w:b w:val="0"/>
                <w:color w:val="1A1410"/>
                <w:sz w:val="17"/>
              </w:rPr>
              <w:t>Portfolio Suite</w:t>
            </w:r>
          </w:p>
        </w:tc>
        <w:tc>
          <w:tcPr>
            <w:tcW w:type="dxa" w:w="2736"/>
            <w:shd w:val="clear" w:fill="EEF2F8"/>
          </w:tcPr>
          <w:p>
            <w:pPr>
              <w:spacing w:after="20" w:before="20"/>
            </w:pPr>
            <w:r/>
            <w:r>
              <w:rPr>
                <w:rFonts w:ascii="Georgia" w:hAnsi="Georgia"/>
                <w:b w:val="0"/>
                <w:color w:val="1A1410"/>
                <w:sz w:val="17"/>
              </w:rPr>
              <w:t>Portfolio + Network</w:t>
            </w:r>
          </w:p>
        </w:tc>
        <w:tc>
          <w:tcPr>
            <w:tcW w:type="dxa" w:w="1584"/>
            <w:shd w:val="clear" w:fill="EEF2F8"/>
          </w:tcPr>
          <w:p>
            <w:pPr>
              <w:spacing w:after="20" w:before="20"/>
            </w:pPr>
            <w:r/>
            <w:r>
              <w:rPr>
                <w:rFonts w:ascii="Georgia" w:hAnsi="Georgia"/>
                <w:b w:val="0"/>
                <w:color w:val="1A1410"/>
                <w:sz w:val="17"/>
              </w:rPr>
              <w:t>$72,000</w:t>
            </w:r>
          </w:p>
        </w:tc>
        <w:tc>
          <w:tcPr>
            <w:tcW w:type="dxa" w:w="1584"/>
            <w:shd w:val="clear" w:fill="EEF2F8"/>
          </w:tcPr>
          <w:p>
            <w:pPr>
              <w:spacing w:after="20" w:before="20"/>
            </w:pPr>
            <w:r/>
            <w:r>
              <w:rPr>
                <w:rFonts w:ascii="Georgia" w:hAnsi="Georgia"/>
                <w:b w:val="0"/>
                <w:color w:val="1A1410"/>
                <w:sz w:val="17"/>
              </w:rPr>
              <w:t>$61,000</w:t>
            </w:r>
          </w:p>
        </w:tc>
        <w:tc>
          <w:tcPr>
            <w:tcW w:type="dxa" w:w="1152"/>
            <w:shd w:val="clear" w:fill="EEF2F8"/>
          </w:tcPr>
          <w:p>
            <w:pPr>
              <w:spacing w:after="20" w:before="20"/>
            </w:pPr>
            <w:r/>
            <w:r>
              <w:rPr>
                <w:rFonts w:ascii="Georgia" w:hAnsi="Georgia"/>
                <w:b w:val="0"/>
                <w:color w:val="1A1410"/>
                <w:sz w:val="17"/>
              </w:rPr>
              <w:t>15%</w:t>
            </w:r>
          </w:p>
        </w:tc>
      </w:tr>
      <w:tr>
        <w:tc>
          <w:tcPr>
            <w:tcW w:type="dxa" w:w="1872"/>
          </w:tcPr>
          <w:p>
            <w:pPr>
              <w:spacing w:after="20" w:before="20"/>
            </w:pPr>
            <w:r/>
            <w:r>
              <w:rPr>
                <w:rFonts w:ascii="Georgia" w:hAnsi="Georgia"/>
                <w:b w:val="0"/>
                <w:color w:val="1A1410"/>
                <w:sz w:val="17"/>
              </w:rPr>
              <w:t>Network Suite</w:t>
            </w:r>
          </w:p>
        </w:tc>
        <w:tc>
          <w:tcPr>
            <w:tcW w:type="dxa" w:w="2736"/>
          </w:tcPr>
          <w:p>
            <w:pPr>
              <w:spacing w:after="20" w:before="20"/>
            </w:pPr>
            <w:r/>
            <w:r>
              <w:rPr>
                <w:rFonts w:ascii="Georgia" w:hAnsi="Georgia"/>
                <w:b w:val="0"/>
                <w:color w:val="1A1410"/>
                <w:sz w:val="17"/>
              </w:rPr>
              <w:t>Network + Network</w:t>
            </w:r>
          </w:p>
        </w:tc>
        <w:tc>
          <w:tcPr>
            <w:tcW w:type="dxa" w:w="1584"/>
          </w:tcPr>
          <w:p>
            <w:pPr>
              <w:spacing w:after="20" w:before="20"/>
            </w:pPr>
            <w:r/>
            <w:r>
              <w:rPr>
                <w:rFonts w:ascii="Georgia" w:hAnsi="Georgia"/>
                <w:b w:val="0"/>
                <w:color w:val="1A1410"/>
                <w:sz w:val="17"/>
              </w:rPr>
              <w:t>$100,000</w:t>
            </w:r>
          </w:p>
        </w:tc>
        <w:tc>
          <w:tcPr>
            <w:tcW w:type="dxa" w:w="1584"/>
          </w:tcPr>
          <w:p>
            <w:pPr>
              <w:spacing w:after="20" w:before="20"/>
            </w:pPr>
            <w:r/>
            <w:r>
              <w:rPr>
                <w:rFonts w:ascii="Georgia" w:hAnsi="Georgia"/>
                <w:b w:val="0"/>
                <w:color w:val="1A1410"/>
                <w:sz w:val="17"/>
              </w:rPr>
              <w:t>$85,000</w:t>
            </w:r>
          </w:p>
        </w:tc>
        <w:tc>
          <w:tcPr>
            <w:tcW w:type="dxa" w:w="1152"/>
          </w:tcPr>
          <w:p>
            <w:pPr>
              <w:spacing w:after="20" w:before="20"/>
            </w:pPr>
            <w:r/>
            <w:r>
              <w:rPr>
                <w:rFonts w:ascii="Georgia" w:hAnsi="Georgia"/>
                <w:b w:val="0"/>
                <w:color w:val="1A1410"/>
                <w:sz w:val="17"/>
              </w:rPr>
              <w:t>15%</w:t>
            </w:r>
          </w:p>
        </w:tc>
      </w:tr>
    </w:tbl>
    <w:p>
      <w:pPr>
        <w:spacing w:after="20"/>
      </w:pPr>
    </w:p>
    <w:p>
      <w:pPr>
        <w:spacing w:after="120" w:before="40"/>
      </w:pPr>
      <w:r>
        <w:rPr>
          <w:rFonts w:ascii="Georgia" w:hAnsi="Georgia"/>
          <w:b w:val="0"/>
          <w:i w:val="0"/>
          <w:color w:val="1A1410"/>
          <w:sz w:val="20"/>
        </w:rPr>
        <w:t>The flywheel: a funder opens a grant cycle and every applicant can create a free passport (supply grows at no acquisition cost) → the funder converts selected and prospective partners into a monitored portfolio (due diligence reused, not restarted) → staff record decisions and issue reliance receipts (Kuja becomes the system of record) → other funders accept the same passports (network value rises, switching gets harder). Grant distributes passports; Trust makes Grant harder to replace.</w:t>
      </w:r>
    </w:p>
    <w:p>
      <w:pPr>
        <w:pStyle w:val="Heading2"/>
      </w:pPr>
      <w:r>
        <w:t>8.2 Build-inclusive bundles — because Build feeds Trust and Fund</w:t>
      </w:r>
    </w:p>
    <w:p>
      <w:pPr>
        <w:spacing w:after="120"/>
      </w:pPr>
      <w:r>
        <w:rPr>
          <w:rFonts w:ascii="Georgia" w:hAnsi="Georgia"/>
          <w:b w:val="0"/>
          <w:i w:val="0"/>
          <w:color w:val="1A1410"/>
          <w:sz w:val="20"/>
        </w:rPr>
        <w:t>Kuja Build is the operating system, and its live operational and financial data is exactly what keeps a Trust Passport current and what gives a funder grant-scoped visibility. That technical link (API sharing, not multi-tenancy) is the commercial link too: any organization running on Build carries a live, self-updating Trust Rating. So we include the org’s Trust Rating with every Build plan at no extra charge — near-zero marginal cost to us, and a real differentiator for the customer: your passport stays current because your books are live. Three Build-inclusive bundles follow from that:</w:t>
      </w:r>
    </w:p>
    <w:tbl>
      <w:tblPr>
        <w:tblStyle w:val="TableGrid"/>
        <w:tblW w:type="auto" w:w="0"/>
        <w:tblLook w:firstColumn="1" w:firstRow="1" w:lastColumn="0" w:lastRow="0" w:noHBand="0" w:noVBand="1" w:val="04A0"/>
      </w:tblPr>
      <w:tblGrid>
        <w:gridCol w:w="2448"/>
        <w:gridCol w:w="2448"/>
        <w:gridCol w:w="2448"/>
        <w:gridCol w:w="2448"/>
      </w:tblGrid>
      <w:tr>
        <w:tc>
          <w:tcPr>
            <w:tcW w:type="dxa" w:w="1872"/>
            <w:shd w:val="clear" w:fill="1F3864"/>
          </w:tcPr>
          <w:p>
            <w:pPr>
              <w:spacing w:after="20" w:before="20"/>
            </w:pPr>
            <w:r/>
            <w:r>
              <w:rPr>
                <w:rFonts w:ascii="Georgia" w:hAnsi="Georgia"/>
                <w:b/>
                <w:color w:val="FFFFFF"/>
                <w:sz w:val="17"/>
              </w:rPr>
              <w:t>Bundle</w:t>
            </w:r>
          </w:p>
        </w:tc>
        <w:tc>
          <w:tcPr>
            <w:tcW w:type="dxa" w:w="2736"/>
            <w:shd w:val="clear" w:fill="1F3864"/>
          </w:tcPr>
          <w:p>
            <w:pPr>
              <w:spacing w:after="20" w:before="20"/>
            </w:pPr>
            <w:r/>
            <w:r>
              <w:rPr>
                <w:rFonts w:ascii="Georgia" w:hAnsi="Georgia"/>
                <w:b/>
                <w:color w:val="FFFFFF"/>
                <w:sz w:val="17"/>
              </w:rPr>
              <w:t>What it combines</w:t>
            </w:r>
          </w:p>
        </w:tc>
        <w:tc>
          <w:tcPr>
            <w:tcW w:type="dxa" w:w="2880"/>
            <w:shd w:val="clear" w:fill="1F3864"/>
          </w:tcPr>
          <w:p>
            <w:pPr>
              <w:spacing w:after="20" w:before="20"/>
            </w:pPr>
            <w:r/>
            <w:r>
              <w:rPr>
                <w:rFonts w:ascii="Georgia" w:hAnsi="Georgia"/>
                <w:b/>
                <w:color w:val="FFFFFF"/>
                <w:sz w:val="17"/>
              </w:rPr>
              <w:t>For</w:t>
            </w:r>
          </w:p>
        </w:tc>
        <w:tc>
          <w:tcPr>
            <w:tcW w:type="dxa" w:w="2880"/>
            <w:shd w:val="clear" w:fill="1F3864"/>
          </w:tcPr>
          <w:p>
            <w:pPr>
              <w:spacing w:after="20" w:before="20"/>
            </w:pPr>
            <w:r/>
            <w:r>
              <w:rPr>
                <w:rFonts w:ascii="Georgia" w:hAnsi="Georgia"/>
                <w:b/>
                <w:color w:val="FFFFFF"/>
                <w:sz w:val="17"/>
              </w:rPr>
              <w:t>How it is priced (flat annual)</w:t>
            </w:r>
          </w:p>
        </w:tc>
      </w:tr>
      <w:tr>
        <w:tc>
          <w:tcPr>
            <w:tcW w:type="dxa" w:w="1872"/>
          </w:tcPr>
          <w:p>
            <w:pPr>
              <w:spacing w:after="20" w:before="20"/>
            </w:pPr>
            <w:r/>
            <w:r>
              <w:rPr>
                <w:rFonts w:ascii="Georgia" w:hAnsi="Georgia"/>
                <w:b w:val="0"/>
                <w:color w:val="1A1410"/>
                <w:sz w:val="17"/>
              </w:rPr>
              <w:t>Operate &amp; Prove</w:t>
            </w:r>
          </w:p>
        </w:tc>
        <w:tc>
          <w:tcPr>
            <w:tcW w:type="dxa" w:w="2736"/>
          </w:tcPr>
          <w:p>
            <w:pPr>
              <w:spacing w:after="20" w:before="20"/>
            </w:pPr>
            <w:r/>
            <w:r>
              <w:rPr>
                <w:rFonts w:ascii="Georgia" w:hAnsi="Georgia"/>
                <w:b w:val="0"/>
                <w:color w:val="1A1410"/>
                <w:sz w:val="17"/>
              </w:rPr>
              <w:t>Build (any tier) + the org’s live Trust Rating</w:t>
            </w:r>
          </w:p>
        </w:tc>
        <w:tc>
          <w:tcPr>
            <w:tcW w:type="dxa" w:w="2880"/>
          </w:tcPr>
          <w:p>
            <w:pPr>
              <w:spacing w:after="20" w:before="20"/>
            </w:pPr>
            <w:r/>
            <w:r>
              <w:rPr>
                <w:rFonts w:ascii="Georgia" w:hAnsi="Georgia"/>
                <w:b w:val="0"/>
                <w:color w:val="1A1410"/>
                <w:sz w:val="17"/>
              </w:rPr>
              <w:t>An NGO running its back office on Build — bought directly (Motion F) or donor-sponsored (Motion G)</w:t>
            </w:r>
          </w:p>
        </w:tc>
        <w:tc>
          <w:tcPr>
            <w:tcW w:type="dxa" w:w="2880"/>
          </w:tcPr>
          <w:p>
            <w:pPr>
              <w:spacing w:after="20" w:before="20"/>
            </w:pPr>
            <w:r/>
            <w:r>
              <w:rPr>
                <w:rFonts w:ascii="Georgia" w:hAnsi="Georgia"/>
                <w:b w:val="0"/>
                <w:color w:val="1A1410"/>
                <w:sz w:val="17"/>
              </w:rPr>
              <w:t>The Build tier price; the Trust Rating (normally $250–$1,500) is included at $0 extra</w:t>
            </w:r>
          </w:p>
        </w:tc>
      </w:tr>
      <w:tr>
        <w:tc>
          <w:tcPr>
            <w:tcW w:type="dxa" w:w="1872"/>
            <w:shd w:val="clear" w:fill="EEF2F8"/>
          </w:tcPr>
          <w:p>
            <w:pPr>
              <w:spacing w:after="20" w:before="20"/>
            </w:pPr>
            <w:r/>
            <w:r>
              <w:rPr>
                <w:rFonts w:ascii="Georgia" w:hAnsi="Georgia"/>
                <w:b w:val="0"/>
                <w:color w:val="1A1410"/>
                <w:sz w:val="17"/>
              </w:rPr>
              <w:t>Full Platform Suite</w:t>
            </w:r>
          </w:p>
        </w:tc>
        <w:tc>
          <w:tcPr>
            <w:tcW w:type="dxa" w:w="2736"/>
            <w:shd w:val="clear" w:fill="EEF2F8"/>
          </w:tcPr>
          <w:p>
            <w:pPr>
              <w:spacing w:after="20" w:before="20"/>
            </w:pPr>
            <w:r/>
            <w:r>
              <w:rPr>
                <w:rFonts w:ascii="Georgia" w:hAnsi="Georgia"/>
                <w:b w:val="0"/>
                <w:color w:val="1A1410"/>
                <w:sz w:val="17"/>
              </w:rPr>
              <w:t>Fund + Trust + Build, for the customer’s own organization</w:t>
            </w:r>
          </w:p>
        </w:tc>
        <w:tc>
          <w:tcPr>
            <w:tcW w:type="dxa" w:w="2880"/>
            <w:shd w:val="clear" w:fill="EEF2F8"/>
          </w:tcPr>
          <w:p>
            <w:pPr>
              <w:spacing w:after="20" w:before="20"/>
            </w:pPr>
            <w:r/>
            <w:r>
              <w:rPr>
                <w:rFonts w:ascii="Georgia" w:hAnsi="Georgia"/>
                <w:b w:val="0"/>
                <w:color w:val="1A1410"/>
                <w:sz w:val="17"/>
              </w:rPr>
              <w:t>A fund operator, INGO or network running the whole loop for itself (Motions C3/C4, D3)</w:t>
            </w:r>
          </w:p>
        </w:tc>
        <w:tc>
          <w:tcPr>
            <w:tcW w:type="dxa" w:w="2880"/>
            <w:shd w:val="clear" w:fill="EEF2F8"/>
          </w:tcPr>
          <w:p>
            <w:pPr>
              <w:spacing w:after="20" w:before="20"/>
            </w:pPr>
            <w:r/>
            <w:r>
              <w:rPr>
                <w:rFonts w:ascii="Georgia" w:hAnsi="Georgia"/>
                <w:b w:val="0"/>
                <w:color w:val="1A1410"/>
                <w:sz w:val="17"/>
              </w:rPr>
              <w:t>15–20% off the three standalone tiers — e.g. Core + Growth-funder + Build Growth (~$38k) → ~$31k</w:t>
            </w:r>
          </w:p>
        </w:tc>
      </w:tr>
      <w:tr>
        <w:tc>
          <w:tcPr>
            <w:tcW w:type="dxa" w:w="1872"/>
          </w:tcPr>
          <w:p>
            <w:pPr>
              <w:spacing w:after="20" w:before="20"/>
            </w:pPr>
            <w:r/>
            <w:r>
              <w:rPr>
                <w:rFonts w:ascii="Georgia" w:hAnsi="Georgia"/>
                <w:b w:val="0"/>
                <w:color w:val="1A1410"/>
                <w:sz w:val="17"/>
              </w:rPr>
              <w:t>Donor Impact Suite</w:t>
            </w:r>
          </w:p>
        </w:tc>
        <w:tc>
          <w:tcPr>
            <w:tcW w:type="dxa" w:w="2736"/>
          </w:tcPr>
          <w:p>
            <w:pPr>
              <w:spacing w:after="20" w:before="20"/>
            </w:pPr>
            <w:r/>
            <w:r>
              <w:rPr>
                <w:rFonts w:ascii="Georgia" w:hAnsi="Georgia"/>
                <w:b w:val="0"/>
                <w:color w:val="1A1410"/>
                <w:sz w:val="17"/>
              </w:rPr>
              <w:t>Fund + Trust + sponsored grantee Build</w:t>
            </w:r>
          </w:p>
        </w:tc>
        <w:tc>
          <w:tcPr>
            <w:tcW w:type="dxa" w:w="2880"/>
          </w:tcPr>
          <w:p>
            <w:pPr>
              <w:spacing w:after="20" w:before="20"/>
            </w:pPr>
            <w:r/>
            <w:r>
              <w:rPr>
                <w:rFonts w:ascii="Georgia" w:hAnsi="Georgia"/>
                <w:b w:val="0"/>
                <w:color w:val="1A1410"/>
                <w:sz w:val="17"/>
              </w:rPr>
              <w:t>A donor that funds, verifies and strengthens its grantees in one motion (C2/C4)</w:t>
            </w:r>
          </w:p>
        </w:tc>
        <w:tc>
          <w:tcPr>
            <w:tcW w:type="dxa" w:w="2880"/>
          </w:tcPr>
          <w:p>
            <w:pPr>
              <w:spacing w:after="20" w:before="20"/>
            </w:pPr>
            <w:r/>
            <w:r>
              <w:rPr>
                <w:rFonts w:ascii="Georgia" w:hAnsi="Georgia"/>
                <w:b w:val="0"/>
                <w:color w:val="1A1410"/>
                <w:sz w:val="17"/>
              </w:rPr>
              <w:t>Fund + Trust tiers, plus N × donor-sponsored Build, bundled ~15% off</w:t>
            </w:r>
          </w:p>
        </w:tc>
      </w:tr>
    </w:tbl>
    <w:p>
      <w:pPr>
        <w:spacing w:after="20"/>
      </w:pPr>
    </w:p>
    <w:p>
      <w:pPr>
        <w:spacing w:after="120" w:before="40"/>
      </w:pPr>
      <w:r>
        <w:rPr>
          <w:rFonts w:ascii="Georgia" w:hAnsi="Georgia"/>
          <w:b w:val="0"/>
          <w:i w:val="0"/>
          <w:color w:val="57534E"/>
          <w:sz w:val="19"/>
        </w:rPr>
        <w:t>The fully closed-tenant version is Motion D3 — a network buys one branded, closed tenant with Link + Fund + Build together. In every Build-inclusive bundle the same rules still hold: NGOs never pay when a donor sponsors, donor-sponsored price sits above the direct price, no org is charged more than ~2% of its budget, and there is never a percentage of disbursements.</w:t>
      </w:r>
    </w:p>
    <w:p>
      <w:pPr>
        <w:pStyle w:val="Heading1"/>
      </w:pPr>
      <w:r>
        <w:t>9. 2026 — The Pilot Year (one pilot per motion)</w:t>
      </w:r>
    </w:p>
    <w:p>
      <w:pPr>
        <w:spacing w:after="120"/>
      </w:pPr>
      <w:r>
        <w:rPr>
          <w:rFonts w:ascii="Georgia" w:hAnsi="Georgia"/>
          <w:b w:val="0"/>
          <w:i w:val="0"/>
          <w:color w:val="1A1410"/>
          <w:sz w:val="20"/>
        </w:rPr>
        <w:t>Pilots are paid — no free live-production deployments. A pilot succeeds only when there is a named buyer, a budget path, agreed baseline measures and a mutually understood annual tier before it starts; technical success without a procurement path is a learning project, not a sales pilot. Standard pilot offers, each fully credited to Year 1 on timely conversion:</w:t>
      </w:r>
    </w:p>
    <w:tbl>
      <w:tblPr>
        <w:tblStyle w:val="TableGrid"/>
        <w:tblW w:type="auto" w:w="0"/>
        <w:tblLook w:firstColumn="1" w:firstRow="1" w:lastColumn="0" w:lastRow="0" w:noHBand="0" w:noVBand="1" w:val="04A0"/>
      </w:tblPr>
      <w:tblGrid>
        <w:gridCol w:w="2448"/>
        <w:gridCol w:w="2448"/>
        <w:gridCol w:w="2448"/>
        <w:gridCol w:w="2448"/>
      </w:tblGrid>
      <w:tr>
        <w:tc>
          <w:tcPr>
            <w:tcW w:type="dxa" w:w="2592"/>
            <w:shd w:val="clear" w:fill="1F3864"/>
          </w:tcPr>
          <w:p>
            <w:pPr>
              <w:spacing w:after="20" w:before="20"/>
            </w:pPr>
            <w:r/>
            <w:r>
              <w:rPr>
                <w:rFonts w:ascii="Georgia" w:hAnsi="Georgia"/>
                <w:b/>
                <w:color w:val="FFFFFF"/>
                <w:sz w:val="17"/>
              </w:rPr>
              <w:t>Pilot offer</w:t>
            </w:r>
          </w:p>
        </w:tc>
        <w:tc>
          <w:tcPr>
            <w:tcW w:type="dxa" w:w="1872"/>
            <w:shd w:val="clear" w:fill="1F3864"/>
          </w:tcPr>
          <w:p>
            <w:pPr>
              <w:spacing w:after="20" w:before="20"/>
            </w:pPr>
            <w:r/>
            <w:r>
              <w:rPr>
                <w:rFonts w:ascii="Georgia" w:hAnsi="Georgia"/>
                <w:b/>
                <w:color w:val="FFFFFF"/>
                <w:sz w:val="17"/>
              </w:rPr>
              <w:t>Price</w:t>
            </w:r>
          </w:p>
        </w:tc>
        <w:tc>
          <w:tcPr>
            <w:tcW w:type="dxa" w:w="3744"/>
            <w:shd w:val="clear" w:fill="1F3864"/>
          </w:tcPr>
          <w:p>
            <w:pPr>
              <w:spacing w:after="20" w:before="20"/>
            </w:pPr>
            <w:r/>
            <w:r>
              <w:rPr>
                <w:rFonts w:ascii="Georgia" w:hAnsi="Georgia"/>
                <w:b/>
                <w:color w:val="FFFFFF"/>
                <w:sz w:val="17"/>
              </w:rPr>
              <w:t>Scope</w:t>
            </w:r>
          </w:p>
        </w:tc>
        <w:tc>
          <w:tcPr>
            <w:tcW w:type="dxa" w:w="1872"/>
            <w:shd w:val="clear" w:fill="1F3864"/>
          </w:tcPr>
          <w:p>
            <w:pPr>
              <w:spacing w:after="20" w:before="20"/>
            </w:pPr>
            <w:r/>
            <w:r>
              <w:rPr>
                <w:rFonts w:ascii="Georgia" w:hAnsi="Georgia"/>
                <w:b/>
                <w:color w:val="FFFFFF"/>
                <w:sz w:val="17"/>
              </w:rPr>
              <w:t>Feeds which motion</w:t>
            </w:r>
          </w:p>
        </w:tc>
      </w:tr>
      <w:tr>
        <w:tc>
          <w:tcPr>
            <w:tcW w:type="dxa" w:w="2592"/>
          </w:tcPr>
          <w:p>
            <w:pPr>
              <w:spacing w:after="20" w:before="20"/>
            </w:pPr>
            <w:r/>
            <w:r>
              <w:rPr>
                <w:rFonts w:ascii="Georgia" w:hAnsi="Georgia"/>
                <w:b w:val="0"/>
                <w:color w:val="1A1410"/>
                <w:sz w:val="17"/>
              </w:rPr>
              <w:t>Design sprint</w:t>
            </w:r>
          </w:p>
        </w:tc>
        <w:tc>
          <w:tcPr>
            <w:tcW w:type="dxa" w:w="1872"/>
          </w:tcPr>
          <w:p>
            <w:pPr>
              <w:spacing w:after="20" w:before="20"/>
            </w:pPr>
            <w:r/>
            <w:r>
              <w:rPr>
                <w:rFonts w:ascii="Georgia" w:hAnsi="Georgia"/>
                <w:b w:val="0"/>
                <w:color w:val="1A1410"/>
                <w:sz w:val="17"/>
              </w:rPr>
              <w:t>$2,500</w:t>
            </w:r>
          </w:p>
        </w:tc>
        <w:tc>
          <w:tcPr>
            <w:tcW w:type="dxa" w:w="3744"/>
          </w:tcPr>
          <w:p>
            <w:pPr>
              <w:spacing w:after="20" w:before="20"/>
            </w:pPr>
            <w:r/>
            <w:r>
              <w:rPr>
                <w:rFonts w:ascii="Georgia" w:hAnsi="Georgia"/>
                <w:b w:val="0"/>
                <w:color w:val="1A1410"/>
                <w:sz w:val="17"/>
              </w:rPr>
              <w:t>4 weeks: workflow map, source-file review, configured prototype, business case</w:t>
            </w:r>
          </w:p>
        </w:tc>
        <w:tc>
          <w:tcPr>
            <w:tcW w:type="dxa" w:w="1872"/>
          </w:tcPr>
          <w:p>
            <w:pPr>
              <w:spacing w:after="20" w:before="20"/>
            </w:pPr>
            <w:r/>
            <w:r>
              <w:rPr>
                <w:rFonts w:ascii="Georgia" w:hAnsi="Georgia"/>
                <w:b w:val="0"/>
                <w:color w:val="1A1410"/>
                <w:sz w:val="17"/>
              </w:rPr>
              <w:t>Any (100% credit if a live pilot starts in 45 days)</w:t>
            </w:r>
          </w:p>
        </w:tc>
      </w:tr>
      <w:tr>
        <w:tc>
          <w:tcPr>
            <w:tcW w:type="dxa" w:w="2592"/>
            <w:shd w:val="clear" w:fill="EEF2F8"/>
          </w:tcPr>
          <w:p>
            <w:pPr>
              <w:spacing w:after="20" w:before="20"/>
            </w:pPr>
            <w:r/>
            <w:r>
              <w:rPr>
                <w:rFonts w:ascii="Georgia" w:hAnsi="Georgia"/>
                <w:b w:val="0"/>
                <w:color w:val="1A1410"/>
                <w:sz w:val="17"/>
              </w:rPr>
              <w:t>Fund live-cycle pilot</w:t>
            </w:r>
          </w:p>
        </w:tc>
        <w:tc>
          <w:tcPr>
            <w:tcW w:type="dxa" w:w="1872"/>
            <w:shd w:val="clear" w:fill="EEF2F8"/>
          </w:tcPr>
          <w:p>
            <w:pPr>
              <w:spacing w:after="20" w:before="20"/>
            </w:pPr>
            <w:r/>
            <w:r>
              <w:rPr>
                <w:rFonts w:ascii="Georgia" w:hAnsi="Georgia"/>
                <w:b w:val="0"/>
                <w:color w:val="1A1410"/>
                <w:sz w:val="17"/>
              </w:rPr>
              <w:t>$7,500</w:t>
            </w:r>
          </w:p>
        </w:tc>
        <w:tc>
          <w:tcPr>
            <w:tcW w:type="dxa" w:w="3744"/>
            <w:shd w:val="clear" w:fill="EEF2F8"/>
          </w:tcPr>
          <w:p>
            <w:pPr>
              <w:spacing w:after="20" w:before="20"/>
            </w:pPr>
            <w:r/>
            <w:r>
              <w:rPr>
                <w:rFonts w:ascii="Georgia" w:hAnsi="Georgia"/>
                <w:b w:val="0"/>
                <w:color w:val="1A1410"/>
                <w:sz w:val="17"/>
              </w:rPr>
              <w:t>90 days: one grant cycle, named success lead, outcome baseline</w:t>
            </w:r>
          </w:p>
        </w:tc>
        <w:tc>
          <w:tcPr>
            <w:tcW w:type="dxa" w:w="1872"/>
            <w:shd w:val="clear" w:fill="EEF2F8"/>
          </w:tcPr>
          <w:p>
            <w:pPr>
              <w:spacing w:after="20" w:before="20"/>
            </w:pPr>
            <w:r/>
            <w:r>
              <w:rPr>
                <w:rFonts w:ascii="Georgia" w:hAnsi="Georgia"/>
                <w:b w:val="0"/>
                <w:color w:val="1A1410"/>
                <w:sz w:val="17"/>
              </w:rPr>
              <w:t>C (and B/C conversion)</w:t>
            </w:r>
          </w:p>
        </w:tc>
      </w:tr>
      <w:tr>
        <w:tc>
          <w:tcPr>
            <w:tcW w:type="dxa" w:w="2592"/>
          </w:tcPr>
          <w:p>
            <w:pPr>
              <w:spacing w:after="20" w:before="20"/>
            </w:pPr>
            <w:r/>
            <w:r>
              <w:rPr>
                <w:rFonts w:ascii="Georgia" w:hAnsi="Georgia"/>
                <w:b w:val="0"/>
                <w:color w:val="1A1410"/>
                <w:sz w:val="17"/>
              </w:rPr>
              <w:t>Build donor-sponsored pilot</w:t>
            </w:r>
          </w:p>
        </w:tc>
        <w:tc>
          <w:tcPr>
            <w:tcW w:type="dxa" w:w="1872"/>
          </w:tcPr>
          <w:p>
            <w:pPr>
              <w:spacing w:after="20" w:before="20"/>
            </w:pPr>
            <w:r/>
            <w:r>
              <w:rPr>
                <w:rFonts w:ascii="Georgia" w:hAnsi="Georgia"/>
                <w:b w:val="0"/>
                <w:color w:val="1A1410"/>
                <w:sz w:val="17"/>
              </w:rPr>
              <w:t>Sponsor-funded</w:t>
            </w:r>
          </w:p>
        </w:tc>
        <w:tc>
          <w:tcPr>
            <w:tcW w:type="dxa" w:w="3744"/>
          </w:tcPr>
          <w:p>
            <w:pPr>
              <w:spacing w:after="20" w:before="20"/>
            </w:pPr>
            <w:r/>
            <w:r>
              <w:rPr>
                <w:rFonts w:ascii="Georgia" w:hAnsi="Georgia"/>
                <w:b w:val="0"/>
                <w:color w:val="1A1410"/>
                <w:sz w:val="17"/>
              </w:rPr>
              <w:t>~5 grantees per donor, Year-1 Build, onboarding</w:t>
            </w:r>
          </w:p>
        </w:tc>
        <w:tc>
          <w:tcPr>
            <w:tcW w:type="dxa" w:w="1872"/>
          </w:tcPr>
          <w:p>
            <w:pPr>
              <w:spacing w:after="20" w:before="20"/>
            </w:pPr>
            <w:r/>
            <w:r>
              <w:rPr>
                <w:rFonts w:ascii="Georgia" w:hAnsi="Georgia"/>
                <w:b w:val="0"/>
                <w:color w:val="1A1410"/>
                <w:sz w:val="17"/>
              </w:rPr>
              <w:t>G — the 2026 revenue motion</w:t>
            </w:r>
          </w:p>
        </w:tc>
      </w:tr>
      <w:tr>
        <w:tc>
          <w:tcPr>
            <w:tcW w:type="dxa" w:w="2592"/>
            <w:shd w:val="clear" w:fill="EEF2F8"/>
          </w:tcPr>
          <w:p>
            <w:pPr>
              <w:spacing w:after="20" w:before="20"/>
            </w:pPr>
            <w:r/>
            <w:r>
              <w:rPr>
                <w:rFonts w:ascii="Georgia" w:hAnsi="Georgia"/>
                <w:b w:val="0"/>
                <w:color w:val="1A1410"/>
                <w:sz w:val="17"/>
              </w:rPr>
              <w:t>Network / closed-tenant pilot</w:t>
            </w:r>
          </w:p>
        </w:tc>
        <w:tc>
          <w:tcPr>
            <w:tcW w:type="dxa" w:w="1872"/>
            <w:shd w:val="clear" w:fill="EEF2F8"/>
          </w:tcPr>
          <w:p>
            <w:pPr>
              <w:spacing w:after="20" w:before="20"/>
            </w:pPr>
            <w:r/>
            <w:r>
              <w:rPr>
                <w:rFonts w:ascii="Georgia" w:hAnsi="Georgia"/>
                <w:b w:val="0"/>
                <w:color w:val="1A1410"/>
                <w:sz w:val="17"/>
              </w:rPr>
              <w:t>$15,000</w:t>
            </w:r>
          </w:p>
        </w:tc>
        <w:tc>
          <w:tcPr>
            <w:tcW w:type="dxa" w:w="3744"/>
            <w:shd w:val="clear" w:fill="EEF2F8"/>
          </w:tcPr>
          <w:p>
            <w:pPr>
              <w:spacing w:after="20" w:before="20"/>
            </w:pPr>
            <w:r/>
            <w:r>
              <w:rPr>
                <w:rFonts w:ascii="Georgia" w:hAnsi="Georgia"/>
                <w:b w:val="0"/>
                <w:color w:val="1A1410"/>
                <w:sz w:val="17"/>
              </w:rPr>
              <w:t>Up to 6 months: one governance cohort, up to 250 orgs</w:t>
            </w:r>
          </w:p>
        </w:tc>
        <w:tc>
          <w:tcPr>
            <w:tcW w:type="dxa" w:w="1872"/>
            <w:shd w:val="clear" w:fill="EEF2F8"/>
          </w:tcPr>
          <w:p>
            <w:pPr>
              <w:spacing w:after="20" w:before="20"/>
            </w:pPr>
            <w:r/>
            <w:r>
              <w:rPr>
                <w:rFonts w:ascii="Georgia" w:hAnsi="Georgia"/>
                <w:b w:val="0"/>
                <w:color w:val="1A1410"/>
                <w:sz w:val="17"/>
              </w:rPr>
              <w:t>D</w:t>
            </w:r>
          </w:p>
        </w:tc>
      </w:tr>
      <w:tr>
        <w:tc>
          <w:tcPr>
            <w:tcW w:type="dxa" w:w="2592"/>
          </w:tcPr>
          <w:p>
            <w:pPr>
              <w:spacing w:after="20" w:before="20"/>
            </w:pPr>
            <w:r/>
            <w:r>
              <w:rPr>
                <w:rFonts w:ascii="Georgia" w:hAnsi="Georgia"/>
                <w:b w:val="0"/>
                <w:color w:val="1A1410"/>
                <w:sz w:val="17"/>
              </w:rPr>
              <w:t>Trust cohort pilot</w:t>
            </w:r>
          </w:p>
        </w:tc>
        <w:tc>
          <w:tcPr>
            <w:tcW w:type="dxa" w:w="1872"/>
          </w:tcPr>
          <w:p>
            <w:pPr>
              <w:spacing w:after="20" w:before="20"/>
            </w:pPr>
            <w:r/>
            <w:r>
              <w:rPr>
                <w:rFonts w:ascii="Georgia" w:hAnsi="Georgia"/>
                <w:b w:val="0"/>
                <w:color w:val="1A1410"/>
                <w:sz w:val="17"/>
              </w:rPr>
              <w:t>Sponsor-funded</w:t>
            </w:r>
          </w:p>
        </w:tc>
        <w:tc>
          <w:tcPr>
            <w:tcW w:type="dxa" w:w="3744"/>
          </w:tcPr>
          <w:p>
            <w:pPr>
              <w:spacing w:after="20" w:before="20"/>
            </w:pPr>
            <w:r/>
            <w:r>
              <w:rPr>
                <w:rFonts w:ascii="Georgia" w:hAnsi="Georgia"/>
                <w:b w:val="0"/>
                <w:color w:val="1A1410"/>
                <w:sz w:val="17"/>
              </w:rPr>
              <w:t>Digitize an existing C4C/Humentum-style diligence cohort; prove reuse</w:t>
            </w:r>
          </w:p>
        </w:tc>
        <w:tc>
          <w:tcPr>
            <w:tcW w:type="dxa" w:w="1872"/>
          </w:tcPr>
          <w:p>
            <w:pPr>
              <w:spacing w:after="20" w:before="20"/>
            </w:pPr>
            <w:r/>
            <w:r>
              <w:rPr>
                <w:rFonts w:ascii="Georgia" w:hAnsi="Georgia"/>
                <w:b w:val="0"/>
                <w:color w:val="1A1410"/>
                <w:sz w:val="17"/>
              </w:rPr>
              <w:t>A/E and Suite attach</w:t>
            </w:r>
          </w:p>
        </w:tc>
      </w:tr>
    </w:tbl>
    <w:p>
      <w:pPr>
        <w:spacing w:after="20"/>
      </w:pPr>
    </w:p>
    <w:p>
      <w:pPr>
        <w:spacing w:after="120" w:before="40"/>
      </w:pPr>
      <w:r>
        <w:rPr>
          <w:rFonts w:ascii="Georgia" w:hAnsi="Georgia"/>
          <w:b w:val="0"/>
          <w:i w:val="0"/>
          <w:color w:val="1A1410"/>
          <w:sz w:val="20"/>
        </w:rPr>
        <w:t>2026 targets: one active pilot in each of Motions A, C, D and G, plus a Trust cohort; and real revenue only from Motion G — two to three donors sponsoring Build for ~5 grantees each (10–15 organizations). Motion B is not sold in 2026 (the Link pool is not yet deep enough).</w:t>
      </w:r>
    </w:p>
    <w:p>
      <w:pPr>
        <w:pStyle w:val="Heading1"/>
      </w:pPr>
      <w:r>
        <w:t>10. 2027 — The Conversion Year</w:t>
      </w:r>
    </w:p>
    <w:p>
      <w:pPr>
        <w:pStyle w:val="ListBullet"/>
        <w:spacing w:after="60"/>
      </w:pPr>
      <w:r>
        <w:rPr>
          <w:rFonts w:ascii="Georgia" w:hAnsi="Georgia"/>
          <w:b/>
          <w:color w:val="1A1410"/>
          <w:sz w:val="20"/>
        </w:rPr>
        <w:t xml:space="preserve">Convert the pilots. </w:t>
      </w:r>
      <w:r>
        <w:rPr>
          <w:rFonts w:ascii="Georgia" w:hAnsi="Georgia"/>
          <w:color w:val="1A1410"/>
          <w:sz w:val="20"/>
        </w:rPr>
        <w:t>Each 2026 pilot has a scheduled commercial-decision meeting; convert Fund live-cycle pilots to Core/Growth (or the Suite), network pilots to a Motion D contract, and Build-sponsored cohorts to renewed/expanded sponsorship plus first grantee-paid renewals.</w:t>
      </w:r>
    </w:p>
    <w:p>
      <w:pPr>
        <w:pStyle w:val="ListBullet"/>
        <w:spacing w:after="60"/>
      </w:pPr>
      <w:r>
        <w:rPr>
          <w:rFonts w:ascii="Georgia" w:hAnsi="Georgia"/>
          <w:b/>
          <w:color w:val="1A1410"/>
          <w:sz w:val="20"/>
        </w:rPr>
        <w:t xml:space="preserve">Open Motion B. </w:t>
      </w:r>
      <w:r>
        <w:rPr>
          <w:rFonts w:ascii="Georgia" w:hAnsi="Georgia"/>
          <w:color w:val="1A1410"/>
          <w:sz w:val="20"/>
        </w:rPr>
        <w:t>By H2 2027 the Link pool is deep enough to sell donor discovery subscriptions — the first Motion B revenue.</w:t>
      </w:r>
    </w:p>
    <w:p>
      <w:pPr>
        <w:pStyle w:val="ListBullet"/>
        <w:spacing w:after="60"/>
      </w:pPr>
      <w:r>
        <w:rPr>
          <w:rFonts w:ascii="Georgia" w:hAnsi="Georgia"/>
          <w:b/>
          <w:color w:val="1A1410"/>
          <w:sz w:val="20"/>
        </w:rPr>
        <w:t xml:space="preserve">Climb the C-ladder. </w:t>
      </w:r>
      <w:r>
        <w:rPr>
          <w:rFonts w:ascii="Georgia" w:hAnsi="Georgia"/>
          <w:color w:val="1A1410"/>
          <w:sz w:val="20"/>
        </w:rPr>
        <w:t>Move converted Fund customers up to Build sponsorship (C2) and own-org Build (C3/C4).</w:t>
      </w:r>
    </w:p>
    <w:p>
      <w:pPr>
        <w:pStyle w:val="ListBullet"/>
        <w:spacing w:after="60"/>
      </w:pPr>
      <w:r>
        <w:rPr>
          <w:rFonts w:ascii="Georgia" w:hAnsi="Georgia"/>
          <w:b/>
          <w:color w:val="1A1410"/>
          <w:sz w:val="20"/>
        </w:rPr>
        <w:t xml:space="preserve">Sign the channel. </w:t>
      </w:r>
      <w:r>
        <w:rPr>
          <w:rFonts w:ascii="Georgia" w:hAnsi="Georgia"/>
          <w:color w:val="1A1410"/>
          <w:sz w:val="20"/>
        </w:rPr>
        <w:t>Two BPO partner agreements (East + West Africa) under the referral model; first Spanish-language LatAm partner.</w:t>
      </w:r>
    </w:p>
    <w:p>
      <w:pPr>
        <w:pStyle w:val="ListBullet"/>
        <w:spacing w:after="60"/>
      </w:pPr>
      <w:r>
        <w:rPr>
          <w:rFonts w:ascii="Georgia" w:hAnsi="Georgia"/>
          <w:b/>
          <w:color w:val="1A1410"/>
          <w:sz w:val="20"/>
        </w:rPr>
        <w:t xml:space="preserve">Commission the Motion E study. </w:t>
      </w:r>
      <w:r>
        <w:rPr>
          <w:rFonts w:ascii="Georgia" w:hAnsi="Georgia"/>
          <w:color w:val="1A1410"/>
          <w:sz w:val="20"/>
        </w:rPr>
        <w:t>A dedicated feasibility analysis before any Trust-licensing commitment.</w:t>
      </w:r>
    </w:p>
    <w:p>
      <w:pPr>
        <w:pStyle w:val="Heading1"/>
      </w:pPr>
      <w:r>
        <w:t>11. Revenue Outlook (re-based, conservative)</w:t>
      </w:r>
    </w:p>
    <w:p>
      <w:pPr>
        <w:spacing w:after="120"/>
      </w:pPr>
      <w:r>
        <w:rPr>
          <w:rFonts w:ascii="Georgia" w:hAnsi="Georgia"/>
          <w:b w:val="0"/>
          <w:i w:val="0"/>
          <w:color w:val="1A1410"/>
          <w:sz w:val="20"/>
        </w:rPr>
        <w:t>Re-based on the pilot/convert reality and the team’s guidance that the prior conservative case was not conservative enough. 2026 is a pilot year: revenue comes essentially only from Motion G plus paid pilots. Figures are planning estimates, not commitments, and inherit the pricing-validation caveat.</w:t>
      </w:r>
    </w:p>
    <w:tbl>
      <w:tblPr>
        <w:tblStyle w:val="TableGrid"/>
        <w:tblW w:type="auto" w:w="0"/>
        <w:tblLook w:firstColumn="1" w:firstRow="1" w:lastColumn="0" w:lastRow="0" w:noHBand="0" w:noVBand="1" w:val="04A0"/>
      </w:tblPr>
      <w:tblGrid>
        <w:gridCol w:w="2448"/>
        <w:gridCol w:w="2448"/>
        <w:gridCol w:w="2448"/>
        <w:gridCol w:w="2448"/>
      </w:tblGrid>
      <w:tr>
        <w:tc>
          <w:tcPr>
            <w:tcW w:type="dxa" w:w="3744"/>
            <w:shd w:val="clear" w:fill="1F3864"/>
          </w:tcPr>
          <w:p>
            <w:pPr>
              <w:spacing w:after="20" w:before="20"/>
            </w:pPr>
            <w:r/>
            <w:r>
              <w:rPr>
                <w:rFonts w:ascii="Georgia" w:hAnsi="Georgia"/>
                <w:b/>
                <w:color w:val="FFFFFF"/>
                <w:sz w:val="17"/>
              </w:rPr>
              <w:t>Line</w:t>
            </w:r>
          </w:p>
        </w:tc>
        <w:tc>
          <w:tcPr>
            <w:tcW w:type="dxa" w:w="2160"/>
            <w:shd w:val="clear" w:fill="1F3864"/>
          </w:tcPr>
          <w:p>
            <w:pPr>
              <w:spacing w:after="20" w:before="20"/>
            </w:pPr>
            <w:r/>
            <w:r>
              <w:rPr>
                <w:rFonts w:ascii="Georgia" w:hAnsi="Georgia"/>
                <w:b/>
                <w:color w:val="FFFFFF"/>
                <w:sz w:val="17"/>
              </w:rPr>
              <w:t>2026 (pilot)</w:t>
            </w:r>
          </w:p>
        </w:tc>
        <w:tc>
          <w:tcPr>
            <w:tcW w:type="dxa" w:w="2016"/>
            <w:shd w:val="clear" w:fill="1F3864"/>
          </w:tcPr>
          <w:p>
            <w:pPr>
              <w:spacing w:after="20" w:before="20"/>
            </w:pPr>
            <w:r/>
            <w:r>
              <w:rPr>
                <w:rFonts w:ascii="Georgia" w:hAnsi="Georgia"/>
                <w:b/>
                <w:color w:val="FFFFFF"/>
                <w:sz w:val="17"/>
              </w:rPr>
              <w:t>2027 (convert)</w:t>
            </w:r>
          </w:p>
        </w:tc>
        <w:tc>
          <w:tcPr>
            <w:tcW w:type="dxa" w:w="2016"/>
            <w:shd w:val="clear" w:fill="1F3864"/>
          </w:tcPr>
          <w:p>
            <w:pPr>
              <w:spacing w:after="20" w:before="20"/>
            </w:pPr>
            <w:r/>
            <w:r>
              <w:rPr>
                <w:rFonts w:ascii="Georgia" w:hAnsi="Georgia"/>
                <w:b/>
                <w:color w:val="FFFFFF"/>
                <w:sz w:val="17"/>
              </w:rPr>
              <w:t>2028 (scale)</w:t>
            </w:r>
          </w:p>
        </w:tc>
      </w:tr>
      <w:tr>
        <w:tc>
          <w:tcPr>
            <w:tcW w:type="dxa" w:w="3744"/>
          </w:tcPr>
          <w:p>
            <w:pPr>
              <w:spacing w:after="20" w:before="20"/>
            </w:pPr>
            <w:r/>
            <w:r>
              <w:rPr>
                <w:rFonts w:ascii="Georgia" w:hAnsi="Georgia"/>
                <w:b w:val="0"/>
                <w:color w:val="1A1410"/>
                <w:sz w:val="17"/>
              </w:rPr>
              <w:t>Motion G — Build donor-sponsored</w:t>
            </w:r>
          </w:p>
        </w:tc>
        <w:tc>
          <w:tcPr>
            <w:tcW w:type="dxa" w:w="2160"/>
          </w:tcPr>
          <w:p>
            <w:pPr>
              <w:spacing w:after="20" w:before="20"/>
            </w:pPr>
            <w:r/>
            <w:r>
              <w:rPr>
                <w:rFonts w:ascii="Georgia" w:hAnsi="Georgia"/>
                <w:b w:val="0"/>
                <w:color w:val="1A1410"/>
                <w:sz w:val="17"/>
              </w:rPr>
              <w:t>$80k–$150k (10–15 orgs)</w:t>
            </w:r>
          </w:p>
        </w:tc>
        <w:tc>
          <w:tcPr>
            <w:tcW w:type="dxa" w:w="2016"/>
          </w:tcPr>
          <w:p>
            <w:pPr>
              <w:spacing w:after="20" w:before="20"/>
            </w:pPr>
            <w:r/>
            <w:r>
              <w:rPr>
                <w:rFonts w:ascii="Georgia" w:hAnsi="Georgia"/>
                <w:b w:val="0"/>
                <w:color w:val="1A1410"/>
                <w:sz w:val="17"/>
              </w:rPr>
              <w:t>$250k–$450k</w:t>
            </w:r>
          </w:p>
        </w:tc>
        <w:tc>
          <w:tcPr>
            <w:tcW w:type="dxa" w:w="2016"/>
          </w:tcPr>
          <w:p>
            <w:pPr>
              <w:spacing w:after="20" w:before="20"/>
            </w:pPr>
            <w:r/>
            <w:r>
              <w:rPr>
                <w:rFonts w:ascii="Georgia" w:hAnsi="Georgia"/>
                <w:b w:val="0"/>
                <w:color w:val="1A1410"/>
                <w:sz w:val="17"/>
              </w:rPr>
              <w:t>$700k–$1.2M</w:t>
            </w:r>
          </w:p>
        </w:tc>
      </w:tr>
      <w:tr>
        <w:tc>
          <w:tcPr>
            <w:tcW w:type="dxa" w:w="3744"/>
            <w:shd w:val="clear" w:fill="EEF2F8"/>
          </w:tcPr>
          <w:p>
            <w:pPr>
              <w:spacing w:after="20" w:before="20"/>
            </w:pPr>
            <w:r/>
            <w:r>
              <w:rPr>
                <w:rFonts w:ascii="Georgia" w:hAnsi="Georgia"/>
                <w:b w:val="0"/>
                <w:color w:val="1A1410"/>
                <w:sz w:val="17"/>
              </w:rPr>
              <w:t>Motion C — Fund + Suite (converted pilots)</w:t>
            </w:r>
          </w:p>
        </w:tc>
        <w:tc>
          <w:tcPr>
            <w:tcW w:type="dxa" w:w="2160"/>
            <w:shd w:val="clear" w:fill="EEF2F8"/>
          </w:tcPr>
          <w:p>
            <w:pPr>
              <w:spacing w:after="20" w:before="20"/>
            </w:pPr>
            <w:r/>
            <w:r>
              <w:rPr>
                <w:rFonts w:ascii="Georgia" w:hAnsi="Georgia"/>
                <w:b w:val="0"/>
                <w:color w:val="1A1410"/>
                <w:sz w:val="17"/>
              </w:rPr>
              <w:t>Pilot fees only</w:t>
            </w:r>
          </w:p>
        </w:tc>
        <w:tc>
          <w:tcPr>
            <w:tcW w:type="dxa" w:w="2016"/>
            <w:shd w:val="clear" w:fill="EEF2F8"/>
          </w:tcPr>
          <w:p>
            <w:pPr>
              <w:spacing w:after="20" w:before="20"/>
            </w:pPr>
            <w:r/>
            <w:r>
              <w:rPr>
                <w:rFonts w:ascii="Georgia" w:hAnsi="Georgia"/>
                <w:b w:val="0"/>
                <w:color w:val="1A1410"/>
                <w:sz w:val="17"/>
              </w:rPr>
              <w:t>$200k–$400k</w:t>
            </w:r>
          </w:p>
        </w:tc>
        <w:tc>
          <w:tcPr>
            <w:tcW w:type="dxa" w:w="2016"/>
            <w:shd w:val="clear" w:fill="EEF2F8"/>
          </w:tcPr>
          <w:p>
            <w:pPr>
              <w:spacing w:after="20" w:before="20"/>
            </w:pPr>
            <w:r/>
            <w:r>
              <w:rPr>
                <w:rFonts w:ascii="Georgia" w:hAnsi="Georgia"/>
                <w:b w:val="0"/>
                <w:color w:val="1A1410"/>
                <w:sz w:val="17"/>
              </w:rPr>
              <w:t>$700k–$1.3M</w:t>
            </w:r>
          </w:p>
        </w:tc>
      </w:tr>
      <w:tr>
        <w:tc>
          <w:tcPr>
            <w:tcW w:type="dxa" w:w="3744"/>
          </w:tcPr>
          <w:p>
            <w:pPr>
              <w:spacing w:after="20" w:before="20"/>
            </w:pPr>
            <w:r/>
            <w:r>
              <w:rPr>
                <w:rFonts w:ascii="Georgia" w:hAnsi="Georgia"/>
                <w:b w:val="0"/>
                <w:color w:val="1A1410"/>
                <w:sz w:val="17"/>
              </w:rPr>
              <w:t>Motion D — closed tenants</w:t>
            </w:r>
          </w:p>
        </w:tc>
        <w:tc>
          <w:tcPr>
            <w:tcW w:type="dxa" w:w="2160"/>
          </w:tcPr>
          <w:p>
            <w:pPr>
              <w:spacing w:after="20" w:before="20"/>
            </w:pPr>
            <w:r/>
            <w:r>
              <w:rPr>
                <w:rFonts w:ascii="Georgia" w:hAnsi="Georgia"/>
                <w:b w:val="0"/>
                <w:color w:val="1A1410"/>
                <w:sz w:val="17"/>
              </w:rPr>
              <w:t>Pilot fees only</w:t>
            </w:r>
          </w:p>
        </w:tc>
        <w:tc>
          <w:tcPr>
            <w:tcW w:type="dxa" w:w="2016"/>
          </w:tcPr>
          <w:p>
            <w:pPr>
              <w:spacing w:after="20" w:before="20"/>
            </w:pPr>
            <w:r/>
            <w:r>
              <w:rPr>
                <w:rFonts w:ascii="Georgia" w:hAnsi="Georgia"/>
                <w:b w:val="0"/>
                <w:color w:val="1A1410"/>
                <w:sz w:val="17"/>
              </w:rPr>
              <w:t>$120k–$250k</w:t>
            </w:r>
          </w:p>
        </w:tc>
        <w:tc>
          <w:tcPr>
            <w:tcW w:type="dxa" w:w="2016"/>
          </w:tcPr>
          <w:p>
            <w:pPr>
              <w:spacing w:after="20" w:before="20"/>
            </w:pPr>
            <w:r/>
            <w:r>
              <w:rPr>
                <w:rFonts w:ascii="Georgia" w:hAnsi="Georgia"/>
                <w:b w:val="0"/>
                <w:color w:val="1A1410"/>
                <w:sz w:val="17"/>
              </w:rPr>
              <w:t>$400k–$800k</w:t>
            </w:r>
          </w:p>
        </w:tc>
      </w:tr>
      <w:tr>
        <w:tc>
          <w:tcPr>
            <w:tcW w:type="dxa" w:w="3744"/>
            <w:shd w:val="clear" w:fill="EEF2F8"/>
          </w:tcPr>
          <w:p>
            <w:pPr>
              <w:spacing w:after="20" w:before="20"/>
            </w:pPr>
            <w:r/>
            <w:r>
              <w:rPr>
                <w:rFonts w:ascii="Georgia" w:hAnsi="Georgia"/>
                <w:b w:val="0"/>
                <w:color w:val="1A1410"/>
                <w:sz w:val="17"/>
              </w:rPr>
              <w:t>Motions A/B — Link + Trust</w:t>
            </w:r>
          </w:p>
        </w:tc>
        <w:tc>
          <w:tcPr>
            <w:tcW w:type="dxa" w:w="2160"/>
            <w:shd w:val="clear" w:fill="EEF2F8"/>
          </w:tcPr>
          <w:p>
            <w:pPr>
              <w:spacing w:after="20" w:before="20"/>
            </w:pPr>
            <w:r/>
            <w:r>
              <w:rPr>
                <w:rFonts w:ascii="Georgia" w:hAnsi="Georgia"/>
                <w:b w:val="0"/>
                <w:color w:val="1A1410"/>
                <w:sz w:val="17"/>
              </w:rPr>
              <w:t>—</w:t>
            </w:r>
          </w:p>
        </w:tc>
        <w:tc>
          <w:tcPr>
            <w:tcW w:type="dxa" w:w="2016"/>
            <w:shd w:val="clear" w:fill="EEF2F8"/>
          </w:tcPr>
          <w:p>
            <w:pPr>
              <w:spacing w:after="20" w:before="20"/>
            </w:pPr>
            <w:r/>
            <w:r>
              <w:rPr>
                <w:rFonts w:ascii="Georgia" w:hAnsi="Georgia"/>
                <w:b w:val="0"/>
                <w:color w:val="1A1410"/>
                <w:sz w:val="17"/>
              </w:rPr>
              <w:t>~$60k (H2 B opens)</w:t>
            </w:r>
          </w:p>
        </w:tc>
        <w:tc>
          <w:tcPr>
            <w:tcW w:type="dxa" w:w="2016"/>
            <w:shd w:val="clear" w:fill="EEF2F8"/>
          </w:tcPr>
          <w:p>
            <w:pPr>
              <w:spacing w:after="20" w:before="20"/>
            </w:pPr>
            <w:r/>
            <w:r>
              <w:rPr>
                <w:rFonts w:ascii="Georgia" w:hAnsi="Georgia"/>
                <w:b w:val="0"/>
                <w:color w:val="1A1410"/>
                <w:sz w:val="17"/>
              </w:rPr>
              <w:t>$200k–$400k</w:t>
            </w:r>
          </w:p>
        </w:tc>
      </w:tr>
      <w:tr>
        <w:tc>
          <w:tcPr>
            <w:tcW w:type="dxa" w:w="3744"/>
          </w:tcPr>
          <w:p>
            <w:pPr>
              <w:spacing w:after="20" w:before="20"/>
            </w:pPr>
            <w:r/>
            <w:r>
              <w:rPr>
                <w:rFonts w:ascii="Georgia" w:hAnsi="Georgia"/>
                <w:b w:val="0"/>
                <w:color w:val="1A1410"/>
                <w:sz w:val="17"/>
              </w:rPr>
              <w:t>Motion F — Build direct</w:t>
            </w:r>
          </w:p>
        </w:tc>
        <w:tc>
          <w:tcPr>
            <w:tcW w:type="dxa" w:w="2160"/>
          </w:tcPr>
          <w:p>
            <w:pPr>
              <w:spacing w:after="20" w:before="20"/>
            </w:pPr>
            <w:r/>
            <w:r>
              <w:rPr>
                <w:rFonts w:ascii="Georgia" w:hAnsi="Georgia"/>
                <w:b w:val="0"/>
                <w:color w:val="1A1410"/>
                <w:sz w:val="17"/>
              </w:rPr>
              <w:t>Nominal</w:t>
            </w:r>
          </w:p>
        </w:tc>
        <w:tc>
          <w:tcPr>
            <w:tcW w:type="dxa" w:w="2016"/>
          </w:tcPr>
          <w:p>
            <w:pPr>
              <w:spacing w:after="20" w:before="20"/>
            </w:pPr>
            <w:r/>
            <w:r>
              <w:rPr>
                <w:rFonts w:ascii="Georgia" w:hAnsi="Georgia"/>
                <w:b w:val="0"/>
                <w:color w:val="1A1410"/>
                <w:sz w:val="17"/>
              </w:rPr>
              <w:t>$60k–$120k</w:t>
            </w:r>
          </w:p>
        </w:tc>
        <w:tc>
          <w:tcPr>
            <w:tcW w:type="dxa" w:w="2016"/>
          </w:tcPr>
          <w:p>
            <w:pPr>
              <w:spacing w:after="20" w:before="20"/>
            </w:pPr>
            <w:r/>
            <w:r>
              <w:rPr>
                <w:rFonts w:ascii="Georgia" w:hAnsi="Georgia"/>
                <w:b w:val="0"/>
                <w:color w:val="1A1410"/>
                <w:sz w:val="17"/>
              </w:rPr>
              <w:t>$200k–$400k</w:t>
            </w:r>
          </w:p>
        </w:tc>
      </w:tr>
      <w:tr>
        <w:tc>
          <w:tcPr>
            <w:tcW w:type="dxa" w:w="3744"/>
            <w:shd w:val="clear" w:fill="EEF2F8"/>
          </w:tcPr>
          <w:p>
            <w:pPr>
              <w:spacing w:after="20" w:before="20"/>
            </w:pPr>
            <w:r/>
            <w:r>
              <w:rPr>
                <w:rFonts w:ascii="Georgia" w:hAnsi="Georgia"/>
                <w:b w:val="0"/>
                <w:color w:val="1A1410"/>
                <w:sz w:val="17"/>
              </w:rPr>
              <w:t>Total (conservative)</w:t>
            </w:r>
          </w:p>
        </w:tc>
        <w:tc>
          <w:tcPr>
            <w:tcW w:type="dxa" w:w="2160"/>
            <w:shd w:val="clear" w:fill="EEF2F8"/>
          </w:tcPr>
          <w:p>
            <w:pPr>
              <w:spacing w:after="20" w:before="20"/>
            </w:pPr>
            <w:r/>
            <w:r>
              <w:rPr>
                <w:rFonts w:ascii="Georgia" w:hAnsi="Georgia"/>
                <w:b w:val="0"/>
                <w:color w:val="1A1410"/>
                <w:sz w:val="17"/>
              </w:rPr>
              <w:t>~$150k–$300k</w:t>
            </w:r>
          </w:p>
        </w:tc>
        <w:tc>
          <w:tcPr>
            <w:tcW w:type="dxa" w:w="2016"/>
            <w:shd w:val="clear" w:fill="EEF2F8"/>
          </w:tcPr>
          <w:p>
            <w:pPr>
              <w:spacing w:after="20" w:before="20"/>
            </w:pPr>
            <w:r/>
            <w:r>
              <w:rPr>
                <w:rFonts w:ascii="Georgia" w:hAnsi="Georgia"/>
                <w:b w:val="0"/>
                <w:color w:val="1A1410"/>
                <w:sz w:val="17"/>
              </w:rPr>
              <w:t>~$0.7M–$1.2M</w:t>
            </w:r>
          </w:p>
        </w:tc>
        <w:tc>
          <w:tcPr>
            <w:tcW w:type="dxa" w:w="2016"/>
            <w:shd w:val="clear" w:fill="EEF2F8"/>
          </w:tcPr>
          <w:p>
            <w:pPr>
              <w:spacing w:after="20" w:before="20"/>
            </w:pPr>
            <w:r/>
            <w:r>
              <w:rPr>
                <w:rFonts w:ascii="Georgia" w:hAnsi="Georgia"/>
                <w:b w:val="0"/>
                <w:color w:val="1A1410"/>
                <w:sz w:val="17"/>
              </w:rPr>
              <w:t>~$2.2M–$3.5M</w:t>
            </w:r>
          </w:p>
        </w:tc>
      </w:tr>
    </w:tbl>
    <w:p>
      <w:pPr>
        <w:spacing w:after="20"/>
      </w:pPr>
    </w:p>
    <w:p>
      <w:pPr>
        <w:spacing w:after="120"/>
      </w:pPr>
      <w:r>
        <w:rPr>
          <w:rFonts w:ascii="Georgia" w:hAnsi="Georgia"/>
          <w:b w:val="0"/>
          <w:i w:val="0"/>
          <w:color w:val="57534E"/>
          <w:sz w:val="19"/>
        </w:rPr>
        <w:t>Unit-economics guardrails: 75%+ blended gross margin (70% floor on Community); AI + external data 3–8% of ARR; CAC payback under 15 months mid-market; net revenue retention above 110% after the first cohort; no deal below 4× its forecast annual delivery cost.</w:t>
      </w:r>
    </w:p>
    <w:p>
      <w:pPr>
        <w:pStyle w:val="Heading1"/>
      </w:pPr>
      <w:r>
        <w:t>12. Sales Motion &amp; Buyer Journey</w:t>
      </w:r>
    </w:p>
    <w:p>
      <w:pPr>
        <w:spacing w:after="120"/>
      </w:pPr>
      <w:r>
        <w:rPr>
          <w:rFonts w:ascii="Georgia" w:hAnsi="Georgia"/>
          <w:b w:val="0"/>
          <w:i w:val="0"/>
          <w:color w:val="1A1410"/>
          <w:sz w:val="20"/>
        </w:rPr>
        <w:t>Beachhead: pooled funds, INGO consortia, network secretariats and foundations that already run repeated due diligence on local organizations — they feel both problems at once (fragmented grant operations and duplicated trust work) and can bring both sides of the network in one contract. Who not to pursue first: a Western domestic funder that only needs an online form; an NGO wanting a generic CRM with no funder sponsor; an enterprise demanding heavy customization before a paid proof; and buyers primarily after case management, room booking or fundraising CRM.</w:t>
      </w:r>
    </w:p>
    <w:tbl>
      <w:tblPr>
        <w:tblStyle w:val="TableGrid"/>
        <w:tblW w:type="auto" w:w="0"/>
        <w:tblLook w:firstColumn="1" w:firstRow="1" w:lastColumn="0" w:lastRow="0" w:noHBand="0" w:noVBand="1" w:val="04A0"/>
      </w:tblPr>
      <w:tblGrid>
        <w:gridCol w:w="4896"/>
        <w:gridCol w:w="4896"/>
      </w:tblGrid>
      <w:tr>
        <w:tc>
          <w:tcPr>
            <w:tcW w:type="dxa" w:w="2016"/>
            <w:shd w:val="clear" w:fill="1F3864"/>
          </w:tcPr>
          <w:p>
            <w:pPr>
              <w:spacing w:after="20" w:before="20"/>
            </w:pPr>
            <w:r/>
            <w:r>
              <w:rPr>
                <w:rFonts w:ascii="Georgia" w:hAnsi="Georgia"/>
                <w:b/>
                <w:color w:val="FFFFFF"/>
                <w:sz w:val="17"/>
              </w:rPr>
              <w:t>Stage</w:t>
            </w:r>
          </w:p>
        </w:tc>
        <w:tc>
          <w:tcPr>
            <w:tcW w:type="dxa" w:w="7632"/>
            <w:shd w:val="clear" w:fill="1F3864"/>
          </w:tcPr>
          <w:p>
            <w:pPr>
              <w:spacing w:after="20" w:before="20"/>
            </w:pPr>
            <w:r/>
            <w:r>
              <w:rPr>
                <w:rFonts w:ascii="Georgia" w:hAnsi="Georgia"/>
                <w:b/>
                <w:color w:val="FFFFFF"/>
                <w:sz w:val="17"/>
              </w:rPr>
              <w:t>Exit criterion</w:t>
            </w:r>
          </w:p>
        </w:tc>
      </w:tr>
      <w:tr>
        <w:tc>
          <w:tcPr>
            <w:tcW w:type="dxa" w:w="2016"/>
          </w:tcPr>
          <w:p>
            <w:pPr>
              <w:spacing w:after="20" w:before="20"/>
            </w:pPr>
            <w:r/>
            <w:r>
              <w:rPr>
                <w:rFonts w:ascii="Georgia" w:hAnsi="Georgia"/>
                <w:b w:val="0"/>
                <w:color w:val="1A1410"/>
                <w:sz w:val="17"/>
              </w:rPr>
              <w:t>Qualify</w:t>
            </w:r>
          </w:p>
        </w:tc>
        <w:tc>
          <w:tcPr>
            <w:tcW w:type="dxa" w:w="7632"/>
          </w:tcPr>
          <w:p>
            <w:pPr>
              <w:spacing w:after="20" w:before="20"/>
            </w:pPr>
            <w:r/>
            <w:r>
              <w:rPr>
                <w:rFonts w:ascii="Georgia" w:hAnsi="Georgia"/>
                <w:b w:val="0"/>
                <w:color w:val="1A1410"/>
                <w:sz w:val="17"/>
              </w:rPr>
              <w:t>ICP, trigger, buyer, funding source and timeline confirmed</w:t>
            </w:r>
          </w:p>
        </w:tc>
      </w:tr>
      <w:tr>
        <w:tc>
          <w:tcPr>
            <w:tcW w:type="dxa" w:w="2016"/>
            <w:shd w:val="clear" w:fill="EEF2F8"/>
          </w:tcPr>
          <w:p>
            <w:pPr>
              <w:spacing w:after="20" w:before="20"/>
            </w:pPr>
            <w:r/>
            <w:r>
              <w:rPr>
                <w:rFonts w:ascii="Georgia" w:hAnsi="Georgia"/>
                <w:b w:val="0"/>
                <w:color w:val="1A1410"/>
                <w:sz w:val="17"/>
              </w:rPr>
              <w:t>Diagnose</w:t>
            </w:r>
          </w:p>
        </w:tc>
        <w:tc>
          <w:tcPr>
            <w:tcW w:type="dxa" w:w="7632"/>
            <w:shd w:val="clear" w:fill="EEF2F8"/>
          </w:tcPr>
          <w:p>
            <w:pPr>
              <w:spacing w:after="20" w:before="20"/>
            </w:pPr>
            <w:r/>
            <w:r>
              <w:rPr>
                <w:rFonts w:ascii="Georgia" w:hAnsi="Georgia"/>
                <w:b w:val="0"/>
                <w:color w:val="1A1410"/>
                <w:sz w:val="17"/>
              </w:rPr>
              <w:t>Baseline process, hours, systems and risks quantified (ROI worksheet)</w:t>
            </w:r>
          </w:p>
        </w:tc>
      </w:tr>
      <w:tr>
        <w:tc>
          <w:tcPr>
            <w:tcW w:type="dxa" w:w="2016"/>
          </w:tcPr>
          <w:p>
            <w:pPr>
              <w:spacing w:after="20" w:before="20"/>
            </w:pPr>
            <w:r/>
            <w:r>
              <w:rPr>
                <w:rFonts w:ascii="Georgia" w:hAnsi="Georgia"/>
                <w:b w:val="0"/>
                <w:color w:val="1A1410"/>
                <w:sz w:val="17"/>
              </w:rPr>
              <w:t>Design</w:t>
            </w:r>
          </w:p>
        </w:tc>
        <w:tc>
          <w:tcPr>
            <w:tcW w:type="dxa" w:w="7632"/>
          </w:tcPr>
          <w:p>
            <w:pPr>
              <w:spacing w:after="20" w:before="20"/>
            </w:pPr>
            <w:r/>
            <w:r>
              <w:rPr>
                <w:rFonts w:ascii="Georgia" w:hAnsi="Georgia"/>
                <w:b w:val="0"/>
                <w:color w:val="1A1410"/>
                <w:sz w:val="17"/>
              </w:rPr>
              <w:t>Representative workflow configured; success criteria agreed (design sprint)</w:t>
            </w:r>
          </w:p>
        </w:tc>
      </w:tr>
      <w:tr>
        <w:tc>
          <w:tcPr>
            <w:tcW w:type="dxa" w:w="2016"/>
            <w:shd w:val="clear" w:fill="EEF2F8"/>
          </w:tcPr>
          <w:p>
            <w:pPr>
              <w:spacing w:after="20" w:before="20"/>
            </w:pPr>
            <w:r/>
            <w:r>
              <w:rPr>
                <w:rFonts w:ascii="Georgia" w:hAnsi="Georgia"/>
                <w:b w:val="0"/>
                <w:color w:val="1A1410"/>
                <w:sz w:val="17"/>
              </w:rPr>
              <w:t>Prove</w:t>
            </w:r>
          </w:p>
        </w:tc>
        <w:tc>
          <w:tcPr>
            <w:tcW w:type="dxa" w:w="7632"/>
            <w:shd w:val="clear" w:fill="EEF2F8"/>
          </w:tcPr>
          <w:p>
            <w:pPr>
              <w:spacing w:after="20" w:before="20"/>
            </w:pPr>
            <w:r/>
            <w:r>
              <w:rPr>
                <w:rFonts w:ascii="Georgia" w:hAnsi="Georgia"/>
                <w:b w:val="0"/>
                <w:color w:val="1A1410"/>
                <w:sz w:val="17"/>
              </w:rPr>
              <w:t>Paid pilot reaches agreed operational and user outcomes</w:t>
            </w:r>
          </w:p>
        </w:tc>
      </w:tr>
      <w:tr>
        <w:tc>
          <w:tcPr>
            <w:tcW w:type="dxa" w:w="2016"/>
          </w:tcPr>
          <w:p>
            <w:pPr>
              <w:spacing w:after="20" w:before="20"/>
            </w:pPr>
            <w:r/>
            <w:r>
              <w:rPr>
                <w:rFonts w:ascii="Georgia" w:hAnsi="Georgia"/>
                <w:b w:val="0"/>
                <w:color w:val="1A1410"/>
                <w:sz w:val="17"/>
              </w:rPr>
              <w:t>Procure</w:t>
            </w:r>
          </w:p>
        </w:tc>
        <w:tc>
          <w:tcPr>
            <w:tcW w:type="dxa" w:w="7632"/>
          </w:tcPr>
          <w:p>
            <w:pPr>
              <w:spacing w:after="20" w:before="20"/>
            </w:pPr>
            <w:r/>
            <w:r>
              <w:rPr>
                <w:rFonts w:ascii="Georgia" w:hAnsi="Georgia"/>
                <w:b w:val="0"/>
                <w:color w:val="1A1410"/>
                <w:sz w:val="17"/>
              </w:rPr>
              <w:t>Security, legal, data, price and implementation approved</w:t>
            </w:r>
          </w:p>
        </w:tc>
      </w:tr>
      <w:tr>
        <w:tc>
          <w:tcPr>
            <w:tcW w:type="dxa" w:w="2016"/>
            <w:shd w:val="clear" w:fill="EEF2F8"/>
          </w:tcPr>
          <w:p>
            <w:pPr>
              <w:spacing w:after="20" w:before="20"/>
            </w:pPr>
            <w:r/>
            <w:r>
              <w:rPr>
                <w:rFonts w:ascii="Georgia" w:hAnsi="Georgia"/>
                <w:b w:val="0"/>
                <w:color w:val="1A1410"/>
                <w:sz w:val="17"/>
              </w:rPr>
              <w:t>Launch</w:t>
            </w:r>
          </w:p>
        </w:tc>
        <w:tc>
          <w:tcPr>
            <w:tcW w:type="dxa" w:w="7632"/>
            <w:shd w:val="clear" w:fill="EEF2F8"/>
          </w:tcPr>
          <w:p>
            <w:pPr>
              <w:spacing w:after="20" w:before="20"/>
            </w:pPr>
            <w:r/>
            <w:r>
              <w:rPr>
                <w:rFonts w:ascii="Georgia" w:hAnsi="Georgia"/>
                <w:b w:val="0"/>
                <w:color w:val="1A1410"/>
                <w:sz w:val="17"/>
              </w:rPr>
              <w:t>Named owners, data migrated, users trained, first workflow live</w:t>
            </w:r>
          </w:p>
        </w:tc>
      </w:tr>
      <w:tr>
        <w:tc>
          <w:tcPr>
            <w:tcW w:type="dxa" w:w="2016"/>
          </w:tcPr>
          <w:p>
            <w:pPr>
              <w:spacing w:after="20" w:before="20"/>
            </w:pPr>
            <w:r/>
            <w:r>
              <w:rPr>
                <w:rFonts w:ascii="Georgia" w:hAnsi="Georgia"/>
                <w:b w:val="0"/>
                <w:color w:val="1A1410"/>
                <w:sz w:val="17"/>
              </w:rPr>
              <w:t>Expand</w:t>
            </w:r>
          </w:p>
        </w:tc>
        <w:tc>
          <w:tcPr>
            <w:tcW w:type="dxa" w:w="7632"/>
          </w:tcPr>
          <w:p>
            <w:pPr>
              <w:spacing w:after="20" w:before="20"/>
            </w:pPr>
            <w:r/>
            <w:r>
              <w:rPr>
                <w:rFonts w:ascii="Georgia" w:hAnsi="Georgia"/>
                <w:b w:val="0"/>
                <w:color w:val="1A1410"/>
                <w:sz w:val="17"/>
              </w:rPr>
              <w:t>Portfolio, product or network expansion with quantified value</w:t>
            </w:r>
          </w:p>
        </w:tc>
      </w:tr>
    </w:tbl>
    <w:p>
      <w:pPr>
        <w:spacing w:after="20"/>
      </w:pPr>
    </w:p>
    <w:p>
      <w:pPr>
        <w:spacing w:after="120"/>
      </w:pPr>
      <w:r>
        <w:rPr>
          <w:rFonts w:ascii="Georgia" w:hAnsi="Georgia"/>
          <w:b w:val="0"/>
          <w:i w:val="0"/>
          <w:color w:val="57534E"/>
          <w:sz w:val="19"/>
        </w:rPr>
        <w:t>Objection handling: "We already have a GMS" → run one cycle in parallel, compare report evaluation and audit evidence; no rip-and-replace. "Passporting creates another standard" → Kuja digitizes recognized content and makes evidence portable; it does not force a funder to abandon its policy. "AI can’t make diligence decisions" → correct; Kuja drafts and surfaces evidence, people accept/reject/sign, the audit trail keeps those acts distinct. "Too expensive for our fund" → Community tier, localization accelerator or sponsor-funded cohort, never an ungoverned discount.</w:t>
      </w:r>
    </w:p>
    <w:p>
      <w:pPr>
        <w:pStyle w:val="Heading1"/>
      </w:pPr>
      <w:r>
        <w:t>13. Channels &amp; Sales Assets</w:t>
      </w:r>
    </w:p>
    <w:p>
      <w:pPr>
        <w:pStyle w:val="ListBullet"/>
        <w:spacing w:after="60"/>
      </w:pPr>
      <w:r>
        <w:rPr>
          <w:rFonts w:ascii="Georgia" w:hAnsi="Georgia"/>
          <w:b/>
          <w:color w:val="1A1410"/>
          <w:sz w:val="20"/>
        </w:rPr>
        <w:t xml:space="preserve">Adeso and existing fund operations </w:t>
      </w:r>
      <w:r>
        <w:rPr>
          <w:rFonts w:ascii="Georgia" w:hAnsi="Georgia"/>
          <w:color w:val="1A1410"/>
          <w:sz w:val="20"/>
        </w:rPr>
        <w:t>→ lighthouse references and warm introductions.</w:t>
      </w:r>
    </w:p>
    <w:p>
      <w:pPr>
        <w:pStyle w:val="ListBullet"/>
        <w:spacing w:after="60"/>
      </w:pPr>
      <w:r>
        <w:rPr>
          <w:rFonts w:ascii="Georgia" w:hAnsi="Georgia"/>
          <w:b/>
          <w:color w:val="1A1410"/>
          <w:sz w:val="20"/>
        </w:rPr>
        <w:t xml:space="preserve">C4C / Humentum / INGO consortia </w:t>
      </w:r>
      <w:r>
        <w:rPr>
          <w:rFonts w:ascii="Georgia" w:hAnsi="Georgia"/>
          <w:color w:val="1A1410"/>
          <w:sz w:val="20"/>
        </w:rPr>
        <w:t>→ passport recognition and two-sided cohorts.</w:t>
      </w:r>
    </w:p>
    <w:p>
      <w:pPr>
        <w:pStyle w:val="ListBullet"/>
        <w:spacing w:after="60"/>
      </w:pPr>
      <w:r>
        <w:rPr>
          <w:rFonts w:ascii="Georgia" w:hAnsi="Georgia"/>
          <w:b/>
          <w:color w:val="1A1410"/>
          <w:sz w:val="20"/>
        </w:rPr>
        <w:t xml:space="preserve">Regional foundation associations &amp; humanitarian networks </w:t>
      </w:r>
      <w:r>
        <w:rPr>
          <w:rFonts w:ascii="Georgia" w:hAnsi="Georgia"/>
          <w:color w:val="1A1410"/>
          <w:sz w:val="20"/>
        </w:rPr>
        <w:t>→ reach mid-market funders and pooled funds via co-hosted clinics and sponsored NGO cohorts.</w:t>
      </w:r>
    </w:p>
    <w:p>
      <w:pPr>
        <w:pStyle w:val="ListBullet"/>
        <w:spacing w:after="60"/>
      </w:pPr>
      <w:r>
        <w:rPr>
          <w:rFonts w:ascii="Georgia" w:hAnsi="Georgia"/>
          <w:b/>
          <w:color w:val="1A1410"/>
          <w:sz w:val="20"/>
        </w:rPr>
        <w:t xml:space="preserve">Implementation / advisory (BPO) partners </w:t>
      </w:r>
      <w:r>
        <w:rPr>
          <w:rFonts w:ascii="Georgia" w:hAnsi="Georgia"/>
          <w:color w:val="1A1410"/>
          <w:sz w:val="20"/>
        </w:rPr>
        <w:t>→ delivery capacity for a referral fee / certified-partner margin.</w:t>
      </w:r>
    </w:p>
    <w:p>
      <w:pPr>
        <w:spacing w:after="120" w:before="40"/>
      </w:pPr>
      <w:r>
        <w:rPr>
          <w:rFonts w:ascii="Georgia" w:hAnsi="Georgia"/>
          <w:b w:val="0"/>
          <w:i w:val="0"/>
          <w:color w:val="1A1410"/>
          <w:sz w:val="20"/>
        </w:rPr>
        <w:t>Minimum asset set to build: a public ROI calculator (staff time + duplicate diligence avoided); a transparent rate card with implementation and services shown separately; a security / responsible-AI / data-portability procurement pack; a 10-minute funder demo and 5-minute NGO phone demo in EN/FR/AR; a Plinth/Foundant market-fit comparison; and one measured case study each from a live grant cycle and a passport cohort.</w:t>
      </w:r>
    </w:p>
    <w:p>
      <w:pPr>
        <w:pStyle w:val="Heading1"/>
      </w:pPr>
      <w:r>
        <w:t>14. Discounts, Guardrails &amp; Price Governance</w:t>
      </w:r>
    </w:p>
    <w:tbl>
      <w:tblPr>
        <w:tblStyle w:val="TableGrid"/>
        <w:tblW w:type="auto" w:w="0"/>
        <w:tblLook w:firstColumn="1" w:firstRow="1" w:lastColumn="0" w:lastRow="0" w:noHBand="0" w:noVBand="1" w:val="04A0"/>
      </w:tblPr>
      <w:tblGrid>
        <w:gridCol w:w="3264"/>
        <w:gridCol w:w="3264"/>
        <w:gridCol w:w="3264"/>
      </w:tblGrid>
      <w:tr>
        <w:tc>
          <w:tcPr>
            <w:tcW w:type="dxa" w:w="2448"/>
            <w:shd w:val="clear" w:fill="1F3864"/>
          </w:tcPr>
          <w:p>
            <w:pPr>
              <w:spacing w:after="20" w:before="20"/>
            </w:pPr>
            <w:r/>
            <w:r>
              <w:rPr>
                <w:rFonts w:ascii="Georgia" w:hAnsi="Georgia"/>
                <w:b/>
                <w:color w:val="FFFFFF"/>
                <w:sz w:val="17"/>
              </w:rPr>
              <w:t>Discount</w:t>
            </w:r>
          </w:p>
        </w:tc>
        <w:tc>
          <w:tcPr>
            <w:tcW w:type="dxa" w:w="5184"/>
            <w:shd w:val="clear" w:fill="1F3864"/>
          </w:tcPr>
          <w:p>
            <w:pPr>
              <w:spacing w:after="20" w:before="20"/>
            </w:pPr>
            <w:r/>
            <w:r>
              <w:rPr>
                <w:rFonts w:ascii="Georgia" w:hAnsi="Georgia"/>
                <w:b/>
                <w:color w:val="FFFFFF"/>
                <w:sz w:val="17"/>
              </w:rPr>
              <w:t>Rule</w:t>
            </w:r>
          </w:p>
        </w:tc>
        <w:tc>
          <w:tcPr>
            <w:tcW w:type="dxa" w:w="2016"/>
            <w:shd w:val="clear" w:fill="1F3864"/>
          </w:tcPr>
          <w:p>
            <w:pPr>
              <w:spacing w:after="20" w:before="20"/>
            </w:pPr>
            <w:r/>
            <w:r>
              <w:rPr>
                <w:rFonts w:ascii="Georgia" w:hAnsi="Georgia"/>
                <w:b/>
                <w:color w:val="FFFFFF"/>
                <w:sz w:val="17"/>
              </w:rPr>
              <w:t>Approval</w:t>
            </w:r>
          </w:p>
        </w:tc>
      </w:tr>
      <w:tr>
        <w:tc>
          <w:tcPr>
            <w:tcW w:type="dxa" w:w="2448"/>
          </w:tcPr>
          <w:p>
            <w:pPr>
              <w:spacing w:after="20" w:before="20"/>
            </w:pPr>
            <w:r/>
            <w:r>
              <w:rPr>
                <w:rFonts w:ascii="Georgia" w:hAnsi="Georgia"/>
                <w:b w:val="0"/>
                <w:color w:val="1A1410"/>
                <w:sz w:val="17"/>
              </w:rPr>
              <w:t>Bundle (Suite)</w:t>
            </w:r>
          </w:p>
        </w:tc>
        <w:tc>
          <w:tcPr>
            <w:tcW w:type="dxa" w:w="5184"/>
          </w:tcPr>
          <w:p>
            <w:pPr>
              <w:spacing w:after="20" w:before="20"/>
            </w:pPr>
            <w:r/>
            <w:r>
              <w:rPr>
                <w:rFonts w:ascii="Georgia" w:hAnsi="Georgia"/>
                <w:b w:val="0"/>
                <w:color w:val="1A1410"/>
                <w:sz w:val="17"/>
              </w:rPr>
              <w:t>7–15%, built into published Suite rates</w:t>
            </w:r>
          </w:p>
        </w:tc>
        <w:tc>
          <w:tcPr>
            <w:tcW w:type="dxa" w:w="2016"/>
          </w:tcPr>
          <w:p>
            <w:pPr>
              <w:spacing w:after="20" w:before="20"/>
            </w:pPr>
            <w:r/>
            <w:r>
              <w:rPr>
                <w:rFonts w:ascii="Georgia" w:hAnsi="Georgia"/>
                <w:b w:val="0"/>
                <w:color w:val="1A1410"/>
                <w:sz w:val="17"/>
              </w:rPr>
              <w:t>Automatic</w:t>
            </w:r>
          </w:p>
        </w:tc>
      </w:tr>
      <w:tr>
        <w:tc>
          <w:tcPr>
            <w:tcW w:type="dxa" w:w="2448"/>
            <w:shd w:val="clear" w:fill="EEF2F8"/>
          </w:tcPr>
          <w:p>
            <w:pPr>
              <w:spacing w:after="20" w:before="20"/>
            </w:pPr>
            <w:r/>
            <w:r>
              <w:rPr>
                <w:rFonts w:ascii="Georgia" w:hAnsi="Georgia"/>
                <w:b w:val="0"/>
                <w:color w:val="1A1410"/>
                <w:sz w:val="17"/>
              </w:rPr>
              <w:t>Two-year term</w:t>
            </w:r>
          </w:p>
        </w:tc>
        <w:tc>
          <w:tcPr>
            <w:tcW w:type="dxa" w:w="5184"/>
            <w:shd w:val="clear" w:fill="EEF2F8"/>
          </w:tcPr>
          <w:p>
            <w:pPr>
              <w:spacing w:after="20" w:before="20"/>
            </w:pPr>
            <w:r/>
            <w:r>
              <w:rPr>
                <w:rFonts w:ascii="Georgia" w:hAnsi="Georgia"/>
                <w:b w:val="0"/>
                <w:color w:val="1A1410"/>
                <w:sz w:val="17"/>
              </w:rPr>
              <w:t>7%</w:t>
            </w:r>
          </w:p>
        </w:tc>
        <w:tc>
          <w:tcPr>
            <w:tcW w:type="dxa" w:w="2016"/>
            <w:shd w:val="clear" w:fill="EEF2F8"/>
          </w:tcPr>
          <w:p>
            <w:pPr>
              <w:spacing w:after="20" w:before="20"/>
            </w:pPr>
            <w:r/>
            <w:r>
              <w:rPr>
                <w:rFonts w:ascii="Georgia" w:hAnsi="Georgia"/>
                <w:b w:val="0"/>
                <w:color w:val="1A1410"/>
                <w:sz w:val="17"/>
              </w:rPr>
              <w:t>Sales lead</w:t>
            </w:r>
          </w:p>
        </w:tc>
      </w:tr>
      <w:tr>
        <w:tc>
          <w:tcPr>
            <w:tcW w:type="dxa" w:w="2448"/>
          </w:tcPr>
          <w:p>
            <w:pPr>
              <w:spacing w:after="20" w:before="20"/>
            </w:pPr>
            <w:r/>
            <w:r>
              <w:rPr>
                <w:rFonts w:ascii="Georgia" w:hAnsi="Georgia"/>
                <w:b w:val="0"/>
                <w:color w:val="1A1410"/>
                <w:sz w:val="17"/>
              </w:rPr>
              <w:t>Three-year term</w:t>
            </w:r>
          </w:p>
        </w:tc>
        <w:tc>
          <w:tcPr>
            <w:tcW w:type="dxa" w:w="5184"/>
          </w:tcPr>
          <w:p>
            <w:pPr>
              <w:spacing w:after="20" w:before="20"/>
            </w:pPr>
            <w:r/>
            <w:r>
              <w:rPr>
                <w:rFonts w:ascii="Georgia" w:hAnsi="Georgia"/>
                <w:b w:val="0"/>
                <w:color w:val="1A1410"/>
                <w:sz w:val="17"/>
              </w:rPr>
              <w:t>12% (annual payment, capped uplift)</w:t>
            </w:r>
          </w:p>
        </w:tc>
        <w:tc>
          <w:tcPr>
            <w:tcW w:type="dxa" w:w="2016"/>
          </w:tcPr>
          <w:p>
            <w:pPr>
              <w:spacing w:after="20" w:before="20"/>
            </w:pPr>
            <w:r/>
            <w:r>
              <w:rPr>
                <w:rFonts w:ascii="Georgia" w:hAnsi="Georgia"/>
                <w:b w:val="0"/>
                <w:color w:val="1A1410"/>
                <w:sz w:val="17"/>
              </w:rPr>
              <w:t>Sales lead + finance</w:t>
            </w:r>
          </w:p>
        </w:tc>
      </w:tr>
      <w:tr>
        <w:tc>
          <w:tcPr>
            <w:tcW w:type="dxa" w:w="2448"/>
            <w:shd w:val="clear" w:fill="EEF2F8"/>
          </w:tcPr>
          <w:p>
            <w:pPr>
              <w:spacing w:after="20" w:before="20"/>
            </w:pPr>
            <w:r/>
            <w:r>
              <w:rPr>
                <w:rFonts w:ascii="Georgia" w:hAnsi="Georgia"/>
                <w:b w:val="0"/>
                <w:color w:val="1A1410"/>
                <w:sz w:val="17"/>
              </w:rPr>
              <w:t>Localization accelerator</w:t>
            </w:r>
          </w:p>
        </w:tc>
        <w:tc>
          <w:tcPr>
            <w:tcW w:type="dxa" w:w="5184"/>
            <w:shd w:val="clear" w:fill="EEF2F8"/>
          </w:tcPr>
          <w:p>
            <w:pPr>
              <w:spacing w:after="20" w:before="20"/>
            </w:pPr>
            <w:r/>
            <w:r>
              <w:rPr>
                <w:rFonts w:ascii="Georgia" w:hAnsi="Georgia"/>
                <w:b w:val="0"/>
                <w:color w:val="1A1410"/>
                <w:sz w:val="17"/>
              </w:rPr>
              <w:t>25% for up to 24 months — locally-led funders ≤$5M, donor-underwritten, reviewed annually</w:t>
            </w:r>
          </w:p>
        </w:tc>
        <w:tc>
          <w:tcPr>
            <w:tcW w:type="dxa" w:w="2016"/>
            <w:shd w:val="clear" w:fill="EEF2F8"/>
          </w:tcPr>
          <w:p>
            <w:pPr>
              <w:spacing w:after="20" w:before="20"/>
            </w:pPr>
            <w:r/>
            <w:r>
              <w:rPr>
                <w:rFonts w:ascii="Georgia" w:hAnsi="Georgia"/>
                <w:b w:val="0"/>
                <w:color w:val="1A1410"/>
                <w:sz w:val="17"/>
              </w:rPr>
              <w:t>Commercial committee</w:t>
            </w:r>
          </w:p>
        </w:tc>
      </w:tr>
      <w:tr>
        <w:tc>
          <w:tcPr>
            <w:tcW w:type="dxa" w:w="2448"/>
          </w:tcPr>
          <w:p>
            <w:pPr>
              <w:spacing w:after="20" w:before="20"/>
            </w:pPr>
            <w:r/>
            <w:r>
              <w:rPr>
                <w:rFonts w:ascii="Georgia" w:hAnsi="Georgia"/>
                <w:b w:val="0"/>
                <w:color w:val="1A1410"/>
                <w:sz w:val="17"/>
              </w:rPr>
              <w:t>Strategic lighthouse</w:t>
            </w:r>
          </w:p>
        </w:tc>
        <w:tc>
          <w:tcPr>
            <w:tcW w:type="dxa" w:w="5184"/>
          </w:tcPr>
          <w:p>
            <w:pPr>
              <w:spacing w:after="20" w:before="20"/>
            </w:pPr>
            <w:r/>
            <w:r>
              <w:rPr>
                <w:rFonts w:ascii="Georgia" w:hAnsi="Georgia"/>
                <w:b w:val="0"/>
                <w:color w:val="1A1410"/>
                <w:sz w:val="17"/>
              </w:rPr>
              <w:t>Up to 20% for named reference + case-study rights</w:t>
            </w:r>
          </w:p>
        </w:tc>
        <w:tc>
          <w:tcPr>
            <w:tcW w:type="dxa" w:w="2016"/>
          </w:tcPr>
          <w:p>
            <w:pPr>
              <w:spacing w:after="20" w:before="20"/>
            </w:pPr>
            <w:r/>
            <w:r>
              <w:rPr>
                <w:rFonts w:ascii="Georgia" w:hAnsi="Georgia"/>
                <w:b w:val="0"/>
                <w:color w:val="1A1410"/>
                <w:sz w:val="17"/>
              </w:rPr>
              <w:t>Executive sponsor</w:t>
            </w:r>
          </w:p>
        </w:tc>
      </w:tr>
      <w:tr>
        <w:tc>
          <w:tcPr>
            <w:tcW w:type="dxa" w:w="2448"/>
            <w:shd w:val="clear" w:fill="EEF2F8"/>
          </w:tcPr>
          <w:p>
            <w:pPr>
              <w:spacing w:after="20" w:before="20"/>
            </w:pPr>
            <w:r/>
            <w:r>
              <w:rPr>
                <w:rFonts w:ascii="Georgia" w:hAnsi="Georgia"/>
                <w:b w:val="0"/>
                <w:color w:val="1A1410"/>
                <w:sz w:val="17"/>
              </w:rPr>
              <w:t>Maximum cumulative</w:t>
            </w:r>
          </w:p>
        </w:tc>
        <w:tc>
          <w:tcPr>
            <w:tcW w:type="dxa" w:w="5184"/>
            <w:shd w:val="clear" w:fill="EEF2F8"/>
          </w:tcPr>
          <w:p>
            <w:pPr>
              <w:spacing w:after="20" w:before="20"/>
            </w:pPr>
            <w:r/>
            <w:r>
              <w:rPr>
                <w:rFonts w:ascii="Georgia" w:hAnsi="Georgia"/>
                <w:b w:val="0"/>
                <w:color w:val="1A1410"/>
                <w:sz w:val="17"/>
              </w:rPr>
              <w:t>30% — discounts do not simply stack</w:t>
            </w:r>
          </w:p>
        </w:tc>
        <w:tc>
          <w:tcPr>
            <w:tcW w:type="dxa" w:w="2016"/>
            <w:shd w:val="clear" w:fill="EEF2F8"/>
          </w:tcPr>
          <w:p>
            <w:pPr>
              <w:spacing w:after="20" w:before="20"/>
            </w:pPr>
            <w:r/>
            <w:r>
              <w:rPr>
                <w:rFonts w:ascii="Georgia" w:hAnsi="Georgia"/>
                <w:b w:val="0"/>
                <w:color w:val="1A1410"/>
                <w:sz w:val="17"/>
              </w:rPr>
              <w:t>Executive exception</w:t>
            </w:r>
          </w:p>
        </w:tc>
      </w:tr>
    </w:tbl>
    <w:p>
      <w:pPr>
        <w:spacing w:after="20"/>
      </w:pPr>
    </w:p>
    <w:p>
      <w:pPr>
        <w:spacing w:after="120"/>
      </w:pPr>
      <w:r>
        <w:rPr>
          <w:rFonts w:ascii="Georgia" w:hAnsi="Georgia"/>
          <w:b w:val="0"/>
          <w:i w:val="0"/>
          <w:color w:val="1A1410"/>
          <w:sz w:val="20"/>
        </w:rPr>
        <w:t>Governance: monthly price review during the first three pilots (objections, cost-to-serve, ROI evidence); quarterly after launch (win/loss, realized ACV, margin); annual rate-card review with contractual caps protecting existing customers. Do not publish a public rate card until at least 8–12 buyer interviews and three paid pilots across two segments are complete.</w:t>
      </w:r>
    </w:p>
    <w:p>
      <w:pPr>
        <w:pStyle w:val="Heading1"/>
      </w:pPr>
      <w:r>
        <w:t>15. Decisions for Leadership</w:t>
      </w:r>
    </w:p>
    <w:p>
      <w:pPr>
        <w:pStyle w:val="ListNumber"/>
        <w:spacing w:after="60"/>
      </w:pPr>
      <w:r>
        <w:rPr>
          <w:rFonts w:ascii="Georgia" w:hAnsi="Georgia"/>
          <w:b/>
          <w:color w:val="1A1410"/>
          <w:sz w:val="20"/>
        </w:rPr>
        <w:t xml:space="preserve">Approve NGO core access as permanently free </w:t>
      </w:r>
      <w:r>
        <w:rPr>
          <w:rFonts w:ascii="Georgia" w:hAnsi="Georgia"/>
          <w:color w:val="1A1410"/>
          <w:sz w:val="20"/>
        </w:rPr>
        <w:t>— funded by donor and network revenue.</w:t>
      </w:r>
    </w:p>
    <w:p>
      <w:pPr>
        <w:pStyle w:val="ListNumber"/>
        <w:spacing w:after="60"/>
      </w:pPr>
      <w:r>
        <w:rPr>
          <w:rFonts w:ascii="Georgia" w:hAnsi="Georgia"/>
          <w:b/>
          <w:color w:val="1A1410"/>
          <w:sz w:val="20"/>
        </w:rPr>
        <w:t xml:space="preserve">Approve the founder rate card for pilots </w:t>
      </w:r>
      <w:r>
        <w:rPr>
          <w:rFonts w:ascii="Georgia" w:hAnsi="Georgia"/>
          <w:color w:val="1A1410"/>
          <w:sz w:val="20"/>
        </w:rPr>
        <w:t>(the tables above) as recommendations to test, not a public price list.</w:t>
      </w:r>
    </w:p>
    <w:p>
      <w:pPr>
        <w:pStyle w:val="ListNumber"/>
        <w:spacing w:after="60"/>
      </w:pPr>
      <w:r>
        <w:rPr>
          <w:rFonts w:ascii="Georgia" w:hAnsi="Georgia"/>
          <w:b/>
          <w:color w:val="1A1410"/>
          <w:sz w:val="20"/>
        </w:rPr>
        <w:t xml:space="preserve">Confirm the four-product / seven-motion architecture </w:t>
      </w:r>
      <w:r>
        <w:rPr>
          <w:rFonts w:ascii="Georgia" w:hAnsi="Georgia"/>
          <w:color w:val="1A1410"/>
          <w:sz w:val="20"/>
        </w:rPr>
        <w:t>and the pilot-2026 / convert-2027 plan as the operating cadence for the year.</w:t>
      </w:r>
    </w:p>
    <w:p>
      <w:pPr>
        <w:pStyle w:val="ListNumber"/>
        <w:spacing w:after="60"/>
      </w:pPr>
      <w:r>
        <w:rPr>
          <w:rFonts w:ascii="Georgia" w:hAnsi="Georgia"/>
          <w:b/>
          <w:color w:val="1A1410"/>
          <w:sz w:val="20"/>
        </w:rPr>
        <w:t xml:space="preserve">Reconcile Kuja Build pricing against James’s NEAR RFP costing </w:t>
      </w:r>
      <w:r>
        <w:rPr>
          <w:rFonts w:ascii="Georgia" w:hAnsi="Georgia"/>
          <w:color w:val="1A1410"/>
          <w:sz w:val="20"/>
        </w:rPr>
        <w:t>before any external Build quote.</w:t>
      </w:r>
    </w:p>
    <w:p>
      <w:pPr>
        <w:pStyle w:val="ListNumber"/>
        <w:spacing w:after="60"/>
      </w:pPr>
      <w:r>
        <w:rPr>
          <w:rFonts w:ascii="Georgia" w:hAnsi="Georgia"/>
          <w:b/>
          <w:color w:val="1A1410"/>
          <w:sz w:val="20"/>
        </w:rPr>
        <w:t xml:space="preserve">Approve the localization discount as a governed programme </w:t>
      </w:r>
      <w:r>
        <w:rPr>
          <w:rFonts w:ascii="Georgia" w:hAnsi="Georgia"/>
          <w:color w:val="1A1410"/>
          <w:sz w:val="20"/>
        </w:rPr>
        <w:t>(not ad-hoc negotiation) and set the discount ceiling and price-review owner.</w:t>
      </w:r>
    </w:p>
    <w:p>
      <w:pPr>
        <w:pStyle w:val="ListNumber"/>
        <w:spacing w:after="60"/>
      </w:pPr>
      <w:r>
        <w:rPr>
          <w:rFonts w:ascii="Georgia" w:hAnsi="Georgia"/>
          <w:b/>
          <w:color w:val="1A1410"/>
          <w:sz w:val="20"/>
        </w:rPr>
        <w:t xml:space="preserve">Fund the minimum asset set </w:t>
      </w:r>
      <w:r>
        <w:rPr>
          <w:rFonts w:ascii="Georgia" w:hAnsi="Georgia"/>
          <w:color w:val="1A1410"/>
          <w:sz w:val="20"/>
        </w:rPr>
        <w:t>— ROI calculator, procurement pack, demos, comparison sheet — so the 2026 pilots convert.</w:t>
      </w:r>
    </w:p>
    <w:tbl>
      <w:tblPr>
        <w:tblStyle w:val="TableGrid"/>
        <w:tblW w:type="auto" w:w="0"/>
        <w:tblLook w:firstColumn="1" w:firstRow="1" w:lastColumn="0" w:lastRow="0" w:noHBand="0" w:noVBand="1" w:val="04A0"/>
      </w:tblPr>
      <w:tblGrid>
        <w:gridCol w:w="9792"/>
      </w:tblGrid>
      <w:tr>
        <w:tc>
          <w:tcPr>
            <w:tcW w:type="dxa" w:w="9792"/>
            <w:shd w:val="clear" w:fill="FBEDE6"/>
          </w:tcPr>
          <w:p>
            <w:r/>
            <w:r>
              <w:rPr>
                <w:rFonts w:ascii="Georgia" w:hAnsi="Georgia"/>
                <w:b/>
                <w:color w:val="C2410C"/>
                <w:sz w:val="19"/>
              </w:rPr>
              <w:t xml:space="preserve">Final recommendation:  </w:t>
            </w:r>
            <w:r>
              <w:rPr>
                <w:rFonts w:ascii="Georgia" w:hAnsi="Georgia"/>
                <w:color w:val="1A1410"/>
                <w:sz w:val="19"/>
              </w:rPr>
              <w:t>lead with the Suite, let any product land independently, keep NGO access free, price on the value each product manages, and use transparent ranges as a competitive advantage. Win because Kuja lowers duplicated work and expands who can participate — and make both claims visible in every quote.</w:t>
            </w:r>
          </w:p>
        </w:tc>
      </w:tr>
    </w:tbl>
    <w:p>
      <w:pPr>
        <w:spacing w:after="20"/>
      </w:pPr>
    </w:p>
    <w:p>
      <w:pPr>
        <w:spacing w:after="120" w:before="40"/>
      </w:pPr>
      <w:r>
        <w:rPr>
          <w:rFonts w:ascii="Georgia" w:hAnsi="Georgia"/>
          <w:b w:val="0"/>
          <w:i w:val="0"/>
          <w:color w:val="57534E"/>
          <w:sz w:val="18"/>
        </w:rPr>
        <w:t>All figures here are recommendations to validate in paid pilots; they are not evidence of willingness to pay and not a public commitment. Competitor anchors (Plinth, Foundant, Candid, NGOsource, OpenSanctions) were observed from public sources on 9 August 2026 and should be rechecked before any external publication.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Georgia" w:hAnsi="Georgia"/>
      <w:color w:val="1A14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Georgia" w:hAnsi="Georgia"/>
      <w:b/>
      <w:bCs/>
      <w:color w:val="C2410C"/>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Georgia" w:hAnsi="Georgia"/>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Georgia" w:hAnsi="Georgia"/>
      <w:b/>
      <w:bCs/>
      <w:color w:val="1A141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