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C2410C"/>
          <w:sz w:val="72"/>
          <w:szCs w:val="72"/>
        </w:rPr>
        <w:t xml:space="preserve">KUJA GRANT</w:t>
      </w:r>
    </w:p>
    <w:p>
      <w:pPr>
        <w:spacing w:after="0" w:before="80"/>
      </w:pPr>
      <w:r>
        <w:rPr>
          <w:rFonts w:ascii="Arial" w:cs="Arial" w:eastAsia="Arial" w:hAnsi="Arial"/>
          <w:b/>
          <w:bCs/>
          <w:color w:val="1A1410"/>
          <w:sz w:val="56"/>
          <w:szCs w:val="56"/>
        </w:rPr>
        <w:t xml:space="preserve">Market Analysis</w:t>
      </w:r>
    </w:p>
    <w:p>
      <w:pPr>
        <w:spacing w:after="0" w:before="200"/>
      </w:pPr>
      <w:r>
        <w:rPr>
          <w:rFonts w:ascii="Arial" w:cs="Arial" w:eastAsia="Arial" w:hAnsi="Arial"/>
          <w:i/>
          <w:iCs/>
          <w:color w:val="7C2D12"/>
          <w:sz w:val="32"/>
          <w:szCs w:val="32"/>
        </w:rPr>
        <w:t xml:space="preserve">Lowering the floor on who gets funded</w:t>
      </w:r>
    </w:p>
    <w:p>
      <w:pPr>
        <w:spacing w:after="0" w:before="80"/>
      </w:pPr>
      <w:r>
        <w:rPr>
          <w:rFonts w:ascii="Arial" w:cs="Arial" w:eastAsia="Arial" w:hAnsi="Arial"/>
          <w:i/>
          <w:iCs/>
          <w:color w:val="6B6660"/>
          <w:sz w:val="22"/>
          <w:szCs w:val="22"/>
        </w:rPr>
        <w:t xml:space="preserve">End-to-end grant management · Three flavors · AI-native · Built BY and FOR the Global South · Updated July 2026</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One platform. Three operating modes. The only grant management system combining the lifecycle, the AI compliance layer, and the field-grade accessibility stack — from formal vetting to relational validation.</w:t>
            </w:r>
          </w:p>
          <w:p>
            <w:pPr>
              <w:spacing w:before="80"/>
            </w:pPr>
            <w:r>
              <w:rPr>
                <w:rFonts w:ascii="Arial" w:cs="Arial" w:eastAsia="Arial" w:hAnsi="Arial"/>
                <w:color w:val="1A1410"/>
                <w:sz w:val="22"/>
                <w:szCs w:val="22"/>
              </w:rPr>
              <w:t xml:space="preserve">Verified competitive analysis: across Submittable, Foundant (incl. SmartSimple), Fluxx, Salesforce Grantmaking, Blackbaud Grantmaking, and GivingData, no incumbent ships native WhatsApp + voice-to-report + photo-as-evidence + workflow-level six-language parity + AI per-requirement report evaluation. Kuja Grant does — in production today.</w:t>
            </w:r>
          </w:p>
        </w:tc>
      </w:tr>
    </w:tbl>
    <w:p>
      <w:pPr>
        <w:spacing w:after="0" w:before="800"/>
      </w:pPr>
      <w:r>
        <w:t xml:space="preserve"/>
      </w:r>
    </w:p>
    <w:p>
      <w:pPr>
        <w:spacing w:after="0" w:before="200"/>
      </w:pPr>
      <w:r>
        <w:rPr>
          <w:rFonts w:ascii="Arial" w:cs="Arial" w:eastAsia="Arial" w:hAnsi="Arial"/>
          <w:b/>
          <w:bCs/>
          <w:color w:val="6B6660"/>
          <w:sz w:val="22"/>
          <w:szCs w:val="22"/>
        </w:rPr>
        <w:t xml:space="preserve">July 2026 · Companion to Business Strategy V3.7 and Pitch Deck V10</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network secretariats, and internal Kuja leadership</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Grant is the end-to-end grant management system at the heart of the Kuja platform. It runs the full grant lifecycle — design, apply, review, award, report — for three distinct operating contexts under a single codebase: network secretariats hosting closed grantmaking networks, donors running direct compliance and reporting programs, and fund operators moving money in crisis contexts where formal institutions have collapsed (live in Sudan as the Proximate Fund since July 2026). All flavors share the same lifecycle engine, the same 35+ AI surfaces, the same Trust Profile, and the same hash-anchored audit chain.</w:t>
      </w:r>
    </w:p>
    <w:p>
      <w:pPr>
        <w:spacing w:after="80" w:before="60" w:line="300"/>
        <w:jc w:val="left"/>
      </w:pPr>
      <w:r>
        <w:rPr>
          <w:rFonts w:ascii="Arial" w:cs="Arial" w:eastAsia="Arial" w:hAnsi="Arial"/>
          <w:color w:val="1A1410"/>
          <w:sz w:val="22"/>
          <w:szCs w:val="22"/>
        </w:rPr>
        <w:t xml:space="preserve">The product was built by Adeso in Nairobi, designed first for Global South NGOs — the population every major incumbent grant management system documents as an underserved or non-served buyer. Adeso runs on Kuja Grant today: every claim in this analysis is something we operate, not a roadmap.</w:t>
      </w:r>
    </w:p>
    <w:p>
      <w:pPr>
        <w:pStyle w:val="Heading2"/>
        <w:spacing w:after="140" w:before="280"/>
      </w:pPr>
      <w:r>
        <w:rPr>
          <w:rFonts w:ascii="Arial" w:cs="Arial" w:eastAsia="Arial" w:hAnsi="Arial"/>
          <w:b/>
          <w:bCs/>
          <w:color w:val="7C2D12"/>
          <w:sz w:val="28"/>
          <w:szCs w:val="28"/>
        </w:rPr>
        <w:t xml:space="preserve">1.1 The market opportunity</w:t>
      </w:r>
    </w:p>
    <w:p>
      <w:pPr>
        <w:pStyle w:val="ListParagraph"/>
        <w:numPr>
          <w:ilvl w:val="0"/>
          <w:numId w:val="2"/>
        </w:numPr>
        <w:spacing w:after="60" w:before="30" w:line="280"/>
      </w:pPr>
      <w:r>
        <w:rPr>
          <w:rFonts w:ascii="Arial" w:cs="Arial" w:eastAsia="Arial" w:hAnsi="Arial"/>
          <w:b/>
          <w:bCs/>
          <w:color w:val="1A1410"/>
          <w:sz w:val="22"/>
          <w:szCs w:val="22"/>
        </w:rPr>
        <w:t xml:space="preserve">Grant management software is a $2.5B-$2.9B market growing at ~10-12% CAGR. </w:t>
      </w:r>
      <w:r>
        <w:rPr>
          <w:rFonts w:ascii="Arial" w:cs="Arial" w:eastAsia="Arial" w:hAnsi="Arial"/>
          <w:color w:val="1A1410"/>
          <w:sz w:val="22"/>
          <w:szCs w:val="22"/>
        </w:rPr>
        <w:t xml:space="preserve">Mordor Intelligence puts the 2025 market at USD 2.56 billion, projecting USD 4.23 billion by 2030 at 10.57% CAGR. Grand View Research puts the 2024 market at USD 2.66 billion, projecting USD 6.19 billion by 2033 at 10.0% CAGR. North America is 45% of revenue; the underserved geography (Global South) is the structural opportunity.</w:t>
      </w:r>
    </w:p>
    <w:p>
      <w:pPr>
        <w:pStyle w:val="ListParagraph"/>
        <w:numPr>
          <w:ilvl w:val="0"/>
          <w:numId w:val="2"/>
        </w:numPr>
        <w:spacing w:after="60" w:before="30" w:line="280"/>
      </w:pPr>
      <w:r>
        <w:rPr>
          <w:rFonts w:ascii="Arial" w:cs="Arial" w:eastAsia="Arial" w:hAnsi="Arial"/>
          <w:b/>
          <w:bCs/>
          <w:color w:val="1A1410"/>
          <w:sz w:val="22"/>
          <w:szCs w:val="22"/>
        </w:rPr>
        <w:t xml:space="preserve">The funding shock has rewired demand. </w:t>
      </w:r>
      <w:r>
        <w:rPr>
          <w:rFonts w:ascii="Arial" w:cs="Arial" w:eastAsia="Arial" w:hAnsi="Arial"/>
          <w:color w:val="1A1410"/>
          <w:sz w:val="22"/>
          <w:szCs w:val="22"/>
        </w:rPr>
        <w:t xml:space="preserve">OECD DAC preliminary data (April 2026) shows 2025 ODA fell -23.1% in real terms — the largest annual drop in ODA history. US ODA fell -56.9%. USAID was formally dissolved July 1 2025; $75.9 billion in programs terminated. UK FCDO is on a path from 0.48% GNI (2025/26) to 0.30% GNI by 2027/28. Donors that remain are under pressure to prove every dollar — and to deliver via local actors, not implementing partners.</w:t>
      </w:r>
    </w:p>
    <w:p>
      <w:pPr>
        <w:pStyle w:val="ListParagraph"/>
        <w:numPr>
          <w:ilvl w:val="0"/>
          <w:numId w:val="2"/>
        </w:numPr>
        <w:spacing w:after="60" w:before="30" w:line="280"/>
      </w:pPr>
      <w:r>
        <w:rPr>
          <w:rFonts w:ascii="Arial" w:cs="Arial" w:eastAsia="Arial" w:hAnsi="Arial"/>
          <w:b/>
          <w:bCs/>
          <w:color w:val="1A1410"/>
          <w:sz w:val="22"/>
          <w:szCs w:val="22"/>
        </w:rPr>
        <w:t xml:space="preserve">Localization remains the unsolved problem. </w:t>
      </w:r>
      <w:r>
        <w:rPr>
          <w:rFonts w:ascii="Arial" w:cs="Arial" w:eastAsia="Arial" w:hAnsi="Arial"/>
          <w:color w:val="1A1410"/>
          <w:sz w:val="22"/>
          <w:szCs w:val="22"/>
        </w:rPr>
        <w:t xml:space="preserve">ALNAP's Global Humanitarian Assistance Report 2025 puts direct + indirect funding to local and national actors at 7.5% of total humanitarian assistance in 2024 — down from prior years, described as "stagnation and reversal." Grand Bargain signatory donors gave just 0.6% directly. The Grand Bargain target is 25%. The infrastructure gap — Global South NGOs cannot interact with the funding stack — is the binding constraint.</w:t>
      </w:r>
    </w:p>
    <w:p>
      <w:pPr>
        <w:pStyle w:val="ListParagraph"/>
        <w:numPr>
          <w:ilvl w:val="0"/>
          <w:numId w:val="2"/>
        </w:numPr>
        <w:spacing w:after="60" w:before="30" w:line="280"/>
      </w:pPr>
      <w:r>
        <w:rPr>
          <w:rFonts w:ascii="Arial" w:cs="Arial" w:eastAsia="Arial" w:hAnsi="Arial"/>
          <w:b/>
          <w:bCs/>
          <w:color w:val="1A1410"/>
          <w:sz w:val="22"/>
          <w:szCs w:val="22"/>
        </w:rPr>
        <w:t xml:space="preserve">The AI gap is wide and structural. </w:t>
      </w:r>
      <w:r>
        <w:rPr>
          <w:rFonts w:ascii="Arial" w:cs="Arial" w:eastAsia="Arial" w:hAnsi="Arial"/>
          <w:color w:val="1A1410"/>
          <w:sz w:val="22"/>
          <w:szCs w:val="22"/>
        </w:rPr>
        <w:t xml:space="preserve">Virtuous + Fundraising.AI 2026 Nonprofit AI Adoption Report (n=346): 92% of nonprofits have adopted AI tools, but only 7% report it has expanded what their team can accomplish. 81% use AI individually without shared workflows; 47% have no AI governance policy; only 4% have documented, repeatable AI workflows. Incumbent GMS vendors are bolting AI onto data models built before the AI era — none ship AI per-requirement evaluation of NGO reports against grant agreement obligations.</w:t>
      </w:r>
    </w:p>
    <w:p>
      <w:pPr>
        <w:pStyle w:val="Heading2"/>
        <w:spacing w:after="140" w:before="280"/>
      </w:pPr>
      <w:r>
        <w:rPr>
          <w:rFonts w:ascii="Arial" w:cs="Arial" w:eastAsia="Arial" w:hAnsi="Arial"/>
          <w:b/>
          <w:bCs/>
          <w:color w:val="7C2D12"/>
          <w:sz w:val="28"/>
          <w:szCs w:val="28"/>
        </w:rPr>
        <w:t xml:space="preserve">1.2 The competitive position</w:t>
      </w:r>
    </w:p>
    <w:p>
      <w:pPr>
        <w:spacing w:after="80" w:before="60" w:line="300"/>
        <w:jc w:val="left"/>
      </w:pPr>
      <w:r>
        <w:rPr>
          <w:rFonts w:ascii="Arial" w:cs="Arial" w:eastAsia="Arial" w:hAnsi="Arial"/>
          <w:color w:val="1A1410"/>
          <w:sz w:val="22"/>
          <w:szCs w:val="22"/>
        </w:rPr>
        <w:t xml:space="preserve">Section 5 of this analysis profiles seven competitors at depth — Submittable, Foundant Grant Lifecycle Manager, SmartSimple Cloud (now under Foundant ownership), Fluxx Grantmaker, Salesforce Nonprofit Cloud for Grantmaking, Blackbaud Grantmaking, and GivingData. The Feature Comparison Matrix in Section 6 evaluates 15 capabilities against all seven.</w:t>
      </w:r>
    </w:p>
    <w:p>
      <w:pPr>
        <w:spacing w:after="80" w:before="60" w:line="300"/>
        <w:jc w:val="left"/>
      </w:pPr>
      <w:r>
        <w:rPr>
          <w:rFonts w:ascii="Arial" w:cs="Arial" w:eastAsia="Arial" w:hAnsi="Arial"/>
          <w:color w:val="1A1410"/>
          <w:sz w:val="22"/>
          <w:szCs w:val="22"/>
        </w:rPr>
        <w:t xml:space="preserve">Verified findings:</w:t>
      </w:r>
    </w:p>
    <w:p>
      <w:pPr>
        <w:pStyle w:val="ListParagraph"/>
        <w:numPr>
          <w:ilvl w:val="0"/>
          <w:numId w:val="2"/>
        </w:numPr>
        <w:spacing w:after="60" w:before="30" w:line="280"/>
      </w:pPr>
      <w:r>
        <w:rPr>
          <w:rFonts w:ascii="Arial" w:cs="Arial" w:eastAsia="Arial" w:hAnsi="Arial"/>
          <w:b/>
          <w:bCs/>
          <w:color w:val="C2410C"/>
          <w:sz w:val="22"/>
          <w:szCs w:val="22"/>
        </w:rPr>
        <w:t xml:space="preserve">None of the seven incumbents ships AI per-requirement evaluation of NGO reports against the specific obligations in each grant agreement. </w:t>
      </w:r>
      <w:r>
        <w:rPr>
          <w:rFonts w:ascii="Arial" w:cs="Arial" w:eastAsia="Arial" w:hAnsi="Arial"/>
          <w:color w:val="1A1410"/>
          <w:sz w:val="22"/>
          <w:szCs w:val="22"/>
        </w:rPr>
        <w:t xml:space="preserve">Salesforce Einstein, Fluxx native AI, SmartSimple +AI, and Submittable Review AI all stop at summary-level or rubric-scoring; none extracts the obligations from an uploaded agreement and grades each report line against them with citations.</w:t>
      </w:r>
    </w:p>
    <w:p>
      <w:pPr>
        <w:pStyle w:val="ListParagraph"/>
        <w:numPr>
          <w:ilvl w:val="0"/>
          <w:numId w:val="2"/>
        </w:numPr>
        <w:spacing w:after="60" w:before="30" w:line="280"/>
      </w:pPr>
      <w:r>
        <w:rPr>
          <w:rFonts w:ascii="Arial" w:cs="Arial" w:eastAsia="Arial" w:hAnsi="Arial"/>
          <w:b/>
          <w:bCs/>
          <w:color w:val="C2410C"/>
          <w:sz w:val="22"/>
          <w:szCs w:val="22"/>
        </w:rPr>
        <w:t xml:space="preserve">None ships native WhatsApp Business API for NGO interaction. </w:t>
      </w:r>
      <w:r>
        <w:rPr>
          <w:rFonts w:ascii="Arial" w:cs="Arial" w:eastAsia="Arial" w:hAnsi="Arial"/>
          <w:color w:val="1A1410"/>
          <w:sz w:val="22"/>
          <w:szCs w:val="22"/>
        </w:rPr>
        <w:t xml:space="preserve">Salesforce has WhatsApp via Service Cloud add-ons (not native to Grants Management); no other vendor documents WhatsApp at all. Mid-market alternatives like Glific (India, 110+ NGOs) and Turn.io (Cape Town, used by WHO and CARE) ship WhatsApp-for-NGO middleware but do no grant management.</w:t>
      </w:r>
    </w:p>
    <w:p>
      <w:pPr>
        <w:pStyle w:val="ListParagraph"/>
        <w:numPr>
          <w:ilvl w:val="0"/>
          <w:numId w:val="2"/>
        </w:numPr>
        <w:spacing w:after="60" w:before="30" w:line="280"/>
      </w:pPr>
      <w:r>
        <w:rPr>
          <w:rFonts w:ascii="Arial" w:cs="Arial" w:eastAsia="Arial" w:hAnsi="Arial"/>
          <w:b/>
          <w:bCs/>
          <w:color w:val="C2410C"/>
          <w:sz w:val="22"/>
          <w:szCs w:val="22"/>
        </w:rPr>
        <w:t xml:space="preserve">None ships voice-to-report for the NGO side of the workflow. </w:t>
      </w:r>
      <w:r>
        <w:rPr>
          <w:rFonts w:ascii="Arial" w:cs="Arial" w:eastAsia="Arial" w:hAnsi="Arial"/>
          <w:color w:val="1A1410"/>
          <w:sz w:val="22"/>
          <w:szCs w:val="22"/>
        </w:rPr>
        <w:t xml:space="preserve">KoboToolbox + CLEAR Global offer 80-language automatic transcription via Google Cloud — but for M&amp;E data collection, not for grant compliance reporting. The category gap is real.</w:t>
      </w:r>
    </w:p>
    <w:p>
      <w:pPr>
        <w:pStyle w:val="ListParagraph"/>
        <w:numPr>
          <w:ilvl w:val="0"/>
          <w:numId w:val="2"/>
        </w:numPr>
        <w:spacing w:after="60" w:before="30" w:line="280"/>
      </w:pPr>
      <w:r>
        <w:rPr>
          <w:rFonts w:ascii="Arial" w:cs="Arial" w:eastAsia="Arial" w:hAnsi="Arial"/>
          <w:b/>
          <w:bCs/>
          <w:color w:val="C2410C"/>
          <w:sz w:val="22"/>
          <w:szCs w:val="22"/>
        </w:rPr>
        <w:t xml:space="preserve">None ships photo-as-evidence with AI labeling for grant reporting. </w:t>
      </w:r>
      <w:r>
        <w:rPr>
          <w:rFonts w:ascii="Arial" w:cs="Arial" w:eastAsia="Arial" w:hAnsi="Arial"/>
          <w:color w:val="1A1410"/>
          <w:sz w:val="22"/>
          <w:szCs w:val="22"/>
        </w:rPr>
        <w:t xml:space="preserve">Blackbaud's Financial Edge NXT Document Intelligence extracts vendor names and amounts from invoice photos — not field evidence labeled and tied to grant deliverables.</w:t>
      </w:r>
    </w:p>
    <w:p>
      <w:pPr>
        <w:pStyle w:val="ListParagraph"/>
        <w:numPr>
          <w:ilvl w:val="0"/>
          <w:numId w:val="2"/>
        </w:numPr>
        <w:spacing w:after="60" w:before="30" w:line="280"/>
      </w:pPr>
      <w:r>
        <w:rPr>
          <w:rFonts w:ascii="Arial" w:cs="Arial" w:eastAsia="Arial" w:hAnsi="Arial"/>
          <w:b/>
          <w:bCs/>
          <w:color w:val="C2410C"/>
          <w:sz w:val="22"/>
          <w:szCs w:val="22"/>
        </w:rPr>
        <w:t xml:space="preserve">None ships workflow-level six-language parity including Somali. </w:t>
      </w:r>
      <w:r>
        <w:rPr>
          <w:rFonts w:ascii="Arial" w:cs="Arial" w:eastAsia="Arial" w:hAnsi="Arial"/>
          <w:color w:val="1A1410"/>
          <w:sz w:val="22"/>
          <w:szCs w:val="22"/>
        </w:rPr>
        <w:t xml:space="preserve">Submittable supports 50 UI languages including Kiswahili and Soomaaliga but only at label/menu level; forms, emails, and reviewer comments are not auto-translated. SmartSimple +AI offers translation via OpenAI, not curated localization. Foundant Grant Lifecycle Manager is English-only. Salesforce supports Arabic and French in the platform but Somali is absent from the language list.</w:t>
      </w:r>
    </w:p>
    <w:p>
      <w:pPr>
        <w:pStyle w:val="ListParagraph"/>
        <w:numPr>
          <w:ilvl w:val="0"/>
          <w:numId w:val="2"/>
        </w:numPr>
        <w:spacing w:after="60" w:before="30" w:line="280"/>
      </w:pPr>
      <w:r>
        <w:rPr>
          <w:rFonts w:ascii="Arial" w:cs="Arial" w:eastAsia="Arial" w:hAnsi="Arial"/>
          <w:b/>
          <w:bCs/>
          <w:color w:val="C2410C"/>
          <w:sz w:val="22"/>
          <w:szCs w:val="22"/>
        </w:rPr>
        <w:t xml:space="preserve">None ships hash-anchored audit chains. </w:t>
      </w:r>
      <w:r>
        <w:rPr>
          <w:rFonts w:ascii="Arial" w:cs="Arial" w:eastAsia="Arial" w:hAnsi="Arial"/>
          <w:color w:val="1A1410"/>
          <w:sz w:val="22"/>
          <w:szCs w:val="22"/>
        </w:rPr>
        <w:t xml:space="preserve">All seven incumbents have audit logs. None has tamper-evident hash-chained audit records. Fluxx has explored the concept on its blog; no GMS has shipped it.</w:t>
      </w:r>
    </w:p>
    <w:p>
      <w:pPr>
        <w:pStyle w:val="ListParagraph"/>
        <w:numPr>
          <w:ilvl w:val="0"/>
          <w:numId w:val="2"/>
        </w:numPr>
        <w:spacing w:after="60" w:before="30" w:line="280"/>
      </w:pPr>
      <w:r>
        <w:rPr>
          <w:rFonts w:ascii="Arial" w:cs="Arial" w:eastAsia="Arial" w:hAnsi="Arial"/>
          <w:b/>
          <w:bCs/>
          <w:color w:val="C2410C"/>
          <w:sz w:val="22"/>
          <w:szCs w:val="22"/>
        </w:rPr>
        <w:t xml:space="preserve">None ships closed-network secretariat governance with multi-sig and emergency declaration. </w:t>
      </w:r>
      <w:r>
        <w:rPr>
          <w:rFonts w:ascii="Arial" w:cs="Arial" w:eastAsia="Arial" w:hAnsi="Arial"/>
          <w:color w:val="1A1410"/>
          <w:sz w:val="22"/>
          <w:szCs w:val="22"/>
        </w:rPr>
        <w:t xml:space="preserve">Every incumbent is a single-tenant donor-to-grantee model. The "network hosts vetted members and governs together" architecture has no equivalent in the GMS category.</w:t>
      </w:r>
    </w:p>
    <w:p>
      <w:pPr>
        <w:pStyle w:val="Heading2"/>
        <w:spacing w:after="140" w:before="280"/>
      </w:pPr>
      <w:r>
        <w:rPr>
          <w:rFonts w:ascii="Arial" w:cs="Arial" w:eastAsia="Arial" w:hAnsi="Arial"/>
          <w:b/>
          <w:bCs/>
          <w:color w:val="7C2D12"/>
          <w:sz w:val="28"/>
          <w:szCs w:val="28"/>
        </w:rPr>
        <w:t xml:space="preserve">1.3 The headline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No single grant management system on the market combines the grant lifecycle with M&amp;E-grade field tooling and AI per-requirement compliance evaluation.</w:t>
            </w:r>
          </w:p>
          <w:p>
            <w:pPr>
              <w:spacing w:before="80"/>
            </w:pPr>
            <w:r>
              <w:rPr>
                <w:rFonts w:ascii="Arial" w:cs="Arial" w:eastAsia="Arial" w:hAnsi="Arial"/>
                <w:color w:val="1A1410"/>
                <w:sz w:val="22"/>
                <w:szCs w:val="22"/>
              </w:rPr>
              <w:t xml:space="preserve">Individual feature precedents exist in adjacent categories — KoboToolbox for voice, Glific and Turn.io for WhatsApp, CommCare for mobile-first, SmartSimple for translation, Submittable for UI localization. The combination, sold as one product with grant lifecycle + AI compliance built in, does not exist outside Kuja Grant.</w:t>
            </w:r>
          </w:p>
        </w:tc>
      </w:tr>
    </w:tbl>
    <w:p>
      <w:pPr>
        <w:spacing w:after="80" w:before="60" w:line="300"/>
        <w:jc w:val="left"/>
      </w:pPr>
      <w:r>
        <w:rPr>
          <w:rFonts w:ascii="Arial" w:cs="Arial" w:eastAsia="Arial" w:hAnsi="Arial"/>
          <w:color w:val="1A1410"/>
          <w:sz w:val="22"/>
          <w:szCs w:val="22"/>
        </w:rPr>
        <w:t xml:space="preserve">This analysis covers the product (Section 2), the market problem (Section 3), market sizing (Section 4), the competitive landscape (Section 5), the feature comparison matrix (Section 6), the accessibility moat (Section 7), AI-driven reporting and compliance — our core selling point (Section 8), the trust architecture (Section 9), customer personas (Section 10), pricing strategy (Section 11), go-to-market (Section 12), risks (Section 13), and full bibliography (Section 14).</w:t>
      </w:r>
    </w:p>
    <w:p>
      <w:pPr>
        <w:pStyle w:val="Heading1"/>
        <w:pageBreakBefore/>
        <w:spacing w:after="200" w:before="320"/>
      </w:pPr>
      <w:r>
        <w:rPr>
          <w:rFonts w:ascii="Arial" w:cs="Arial" w:eastAsia="Arial" w:hAnsi="Arial"/>
          <w:b/>
          <w:bCs/>
          <w:color w:val="C2410C"/>
          <w:sz w:val="36"/>
          <w:szCs w:val="36"/>
        </w:rPr>
        <w:t xml:space="preserve">2. The Product — Three flavors on one codebase</w:t>
      </w:r>
    </w:p>
    <w:p>
      <w:pPr>
        <w:spacing w:after="80" w:before="60" w:line="300"/>
        <w:jc w:val="left"/>
      </w:pPr>
      <w:r>
        <w:rPr>
          <w:rFonts w:ascii="Arial" w:cs="Arial" w:eastAsia="Arial" w:hAnsi="Arial"/>
          <w:color w:val="1A1410"/>
          <w:sz w:val="22"/>
          <w:szCs w:val="22"/>
        </w:rPr>
        <w:t xml:space="preserve">Kuja Grant is a single product that ships in three operating modes. The product team calls them "flavors." All flavors run the same five-stage lifecycle, the same AI surfaces, the same Trust Profile, the same audit chain, the same identity system. The flavor changes who governs membership, how an organization becomes fundable, and how grants are released — not the underlying engine. Together the three cover the full trust spectrum: formal registration vetting (Closed Network), open document-based trust (Direct Compliance), and relational validation where institutions have collapsed (Crisis-Context Fund, live in Sudan since July 2026).</w:t>
      </w:r>
    </w:p>
    <w:p>
      <w:pPr>
        <w:pStyle w:val="Heading2"/>
        <w:spacing w:after="140" w:before="280"/>
      </w:pPr>
      <w:r>
        <w:rPr>
          <w:rFonts w:ascii="Arial" w:cs="Arial" w:eastAsia="Arial" w:hAnsi="Arial"/>
          <w:b/>
          <w:bCs/>
          <w:color w:val="7C2D12"/>
          <w:sz w:val="28"/>
          <w:szCs w:val="28"/>
        </w:rPr>
        <w:t xml:space="preserve">2.1 The five-stage lifecycle</w:t>
      </w:r>
    </w:p>
    <w:p>
      <w:pPr>
        <w:spacing w:after="80" w:before="60" w:line="300"/>
        <w:jc w:val="left"/>
      </w:pPr>
      <w:r>
        <w:rPr>
          <w:rFonts w:ascii="Arial" w:cs="Arial" w:eastAsia="Arial" w:hAnsi="Arial"/>
          <w:color w:val="1A1410"/>
          <w:sz w:val="22"/>
          <w:szCs w:val="22"/>
        </w:rPr>
        <w:t xml:space="preserve">Every grant on the platform — regardless of flavor — flows through the same five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Stage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Owner</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happens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Design</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or Network</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or network secretariat configures the call. Wizard-driven setup for criteria, rubrics, eligibility rules, required documents, and reporting requirements. AI suggests starting rubric weights from prior funds. Templates are reusable.</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Apply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discovers the call (via Marketplace, invitation, or member roster). Trust Profile pre-fills identifying data. AI co-author drafts narrative from prior submissions. Voice-to-report for text. Photo-as-evidence for attachments. Hard-gated submit enforces eligibility rules at the database level.</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Review</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Reviewer panel</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Calibrated scoring per criterion. AI grounds every score with citations back to the application. Score-breakdown explainer for each rubric line. Why-rejected constructive feedback generator. COI flagger.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 Award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or Oversight Body</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Multi-sig signature flow with COI capture at every step. On agreement upload, AI extracts every obligation, deadline, deliverable, and indicator. The agreement becomes a structured object, not a PDF in inboxes.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 Report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 Donor</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submits report (text, voice, photo). AI evaluates against each agreement obligation individually — met, partial, missing — with citations to the report and the agreement. Per-requirement grades roll into a reconciled compliance score. Risk flags surface to the donor dashboard.</w:t>
            </w:r>
          </w:p>
        </w:tc>
      </w:tr>
    </w:tbl>
    <w:p>
      <w:pPr>
        <w:spacing w:after="80" w:before="60" w:line="300"/>
        <w:jc w:val="left"/>
      </w:pPr>
      <w:r>
        <w:rPr>
          <w:rFonts w:ascii="Arial" w:cs="Arial" w:eastAsia="Arial" w:hAnsi="Arial"/>
          <w:color w:val="1A1410"/>
          <w:sz w:val="22"/>
          <w:szCs w:val="22"/>
        </w:rPr>
        <w:t xml:space="preserve">The spine that runs through all five stages: AI grounding (35+ surfaces), the Trust Profile, the hash-anchored audit chain, six-language parity. None of this is a per-stage feature. It is the architecture.</w:t>
      </w:r>
    </w:p>
    <w:p>
      <w:pPr>
        <w:pStyle w:val="Heading2"/>
        <w:spacing w:after="140" w:before="280"/>
      </w:pPr>
      <w:r>
        <w:rPr>
          <w:rFonts w:ascii="Arial" w:cs="Arial" w:eastAsia="Arial" w:hAnsi="Arial"/>
          <w:b/>
          <w:bCs/>
          <w:color w:val="7C2D12"/>
          <w:sz w:val="28"/>
          <w:szCs w:val="28"/>
        </w:rPr>
        <w:t xml:space="preserve">2.2 Flavor 1 — Closed Network</w:t>
      </w:r>
    </w:p>
    <w:p>
      <w:pPr>
        <w:spacing w:after="80" w:before="60" w:line="300"/>
        <w:jc w:val="left"/>
      </w:pPr>
      <w:r>
        <w:rPr>
          <w:rFonts w:ascii="Arial" w:cs="Arial" w:eastAsia="Arial" w:hAnsi="Arial"/>
          <w:color w:val="1A1410"/>
          <w:sz w:val="22"/>
          <w:szCs w:val="22"/>
        </w:rPr>
        <w:t xml:space="preserve">A network secretariat (Adeso, NEAR, a foundation hosting a peer-NGO collaborative) operates a private grantmaking platform. Vetted member NGOs apply for fund windows. The network governs membership, trust, and emergency declarations together.</w:t>
      </w:r>
    </w:p>
    <w:p>
      <w:pPr>
        <w:spacing w:after="80" w:before="60" w:line="300"/>
        <w:jc w:val="left"/>
      </w:pPr>
      <w:r>
        <w:rPr>
          <w:rFonts w:ascii="Arial" w:cs="Arial" w:eastAsia="Arial" w:hAnsi="Arial"/>
          <w:color w:val="1A1410"/>
          <w:sz w:val="22"/>
          <w:szCs w:val="22"/>
        </w:rPr>
        <w:t xml:space="preserve">Workflow specifics that exist only in the Closed Network flavor:</w:t>
      </w:r>
    </w:p>
    <w:p>
      <w:pPr>
        <w:pStyle w:val="ListParagraph"/>
        <w:numPr>
          <w:ilvl w:val="0"/>
          <w:numId w:val="2"/>
        </w:numPr>
        <w:spacing w:after="60" w:before="30" w:line="280"/>
      </w:pPr>
      <w:r>
        <w:rPr>
          <w:rFonts w:ascii="Arial" w:cs="Arial" w:eastAsia="Arial" w:hAnsi="Arial"/>
          <w:b/>
          <w:bCs/>
          <w:color w:val="1A1410"/>
          <w:sz w:val="22"/>
          <w:szCs w:val="22"/>
        </w:rPr>
        <w:t xml:space="preserve">Membership flow. </w:t>
      </w:r>
      <w:r>
        <w:rPr>
          <w:rFonts w:ascii="Arial" w:cs="Arial" w:eastAsia="Arial" w:hAnsi="Arial"/>
          <w:color w:val="1A1410"/>
          <w:sz w:val="22"/>
          <w:szCs w:val="22"/>
        </w:rPr>
        <w:t xml:space="preserve">NGO applies to join the network. Mandatory capacity assessment using one of five frameworks (Kuja, STEP, UN-HACT, CHS, NUPAS). Oversight Body reviews and decides.</w:t>
      </w:r>
    </w:p>
    <w:p>
      <w:pPr>
        <w:pStyle w:val="ListParagraph"/>
        <w:numPr>
          <w:ilvl w:val="0"/>
          <w:numId w:val="2"/>
        </w:numPr>
        <w:spacing w:after="60" w:before="30" w:line="280"/>
      </w:pPr>
      <w:r>
        <w:rPr>
          <w:rFonts w:ascii="Arial" w:cs="Arial" w:eastAsia="Arial" w:hAnsi="Arial"/>
          <w:b/>
          <w:bCs/>
          <w:color w:val="1A1410"/>
          <w:sz w:val="22"/>
          <w:szCs w:val="22"/>
        </w:rPr>
        <w:t xml:space="preserve">Fund + Windows. </w:t>
      </w:r>
      <w:r>
        <w:rPr>
          <w:rFonts w:ascii="Arial" w:cs="Arial" w:eastAsia="Arial" w:hAnsi="Arial"/>
          <w:color w:val="1A1410"/>
          <w:sz w:val="22"/>
          <w:szCs w:val="22"/>
        </w:rPr>
        <w:t xml:space="preserve">Network secretariat creates Funds. Each Fund has Windows (open rounds) with rubrics, budgets, and eligibility. Only vetted members can apply.</w:t>
      </w:r>
    </w:p>
    <w:p>
      <w:pPr>
        <w:pStyle w:val="ListParagraph"/>
        <w:numPr>
          <w:ilvl w:val="0"/>
          <w:numId w:val="2"/>
        </w:numPr>
        <w:spacing w:after="60" w:before="30" w:line="280"/>
      </w:pPr>
      <w:r>
        <w:rPr>
          <w:rFonts w:ascii="Arial" w:cs="Arial" w:eastAsia="Arial" w:hAnsi="Arial"/>
          <w:b/>
          <w:bCs/>
          <w:color w:val="1A1410"/>
          <w:sz w:val="22"/>
          <w:szCs w:val="22"/>
        </w:rPr>
        <w:t xml:space="preserve">Oversight Body governance. </w:t>
      </w:r>
      <w:r>
        <w:rPr>
          <w:rFonts w:ascii="Arial" w:cs="Arial" w:eastAsia="Arial" w:hAnsi="Arial"/>
          <w:color w:val="1A1410"/>
          <w:sz w:val="22"/>
          <w:szCs w:val="22"/>
        </w:rPr>
        <w:t xml:space="preserve">Per-network role, separate from platform admin. Cannot bypass approvals. All actions audited.</w:t>
      </w:r>
    </w:p>
    <w:p>
      <w:pPr>
        <w:pStyle w:val="ListParagraph"/>
        <w:numPr>
          <w:ilvl w:val="0"/>
          <w:numId w:val="2"/>
        </w:numPr>
        <w:spacing w:after="60" w:before="30" w:line="280"/>
      </w:pPr>
      <w:r>
        <w:rPr>
          <w:rFonts w:ascii="Arial" w:cs="Arial" w:eastAsia="Arial" w:hAnsi="Arial"/>
          <w:b/>
          <w:bCs/>
          <w:color w:val="1A1410"/>
          <w:sz w:val="22"/>
          <w:szCs w:val="22"/>
        </w:rPr>
        <w:t xml:space="preserve">Multi-sig signature flow. </w:t>
      </w:r>
      <w:r>
        <w:rPr>
          <w:rFonts w:ascii="Arial" w:cs="Arial" w:eastAsia="Arial" w:hAnsi="Arial"/>
          <w:color w:val="1A1410"/>
          <w:sz w:val="22"/>
          <w:szCs w:val="22"/>
        </w:rPr>
        <w:t xml:space="preserve">Configurable per fund: 2-of-3, 3-of-5. COI captured at each signature step.</w:t>
      </w:r>
    </w:p>
    <w:p>
      <w:pPr>
        <w:pStyle w:val="ListParagraph"/>
        <w:numPr>
          <w:ilvl w:val="0"/>
          <w:numId w:val="2"/>
        </w:numPr>
        <w:spacing w:after="60" w:before="30" w:line="280"/>
      </w:pPr>
      <w:r>
        <w:rPr>
          <w:rFonts w:ascii="Arial" w:cs="Arial" w:eastAsia="Arial" w:hAnsi="Arial"/>
          <w:b/>
          <w:bCs/>
          <w:color w:val="1A1410"/>
          <w:sz w:val="22"/>
          <w:szCs w:val="22"/>
        </w:rPr>
        <w:t xml:space="preserve">Emergency declarations. </w:t>
      </w:r>
      <w:r>
        <w:rPr>
          <w:rFonts w:ascii="Arial" w:cs="Arial" w:eastAsia="Arial" w:hAnsi="Arial"/>
          <w:color w:val="1A1410"/>
          <w:sz w:val="22"/>
          <w:szCs w:val="22"/>
        </w:rPr>
        <w:t xml:space="preserve">Multi-sig + mandatory COI. Reviewable wizard. Audit row at every state transition. Designed for humanitarian response situations where speed and accountability must coexist.</w:t>
      </w:r>
    </w:p>
    <w:p>
      <w:pPr>
        <w:pStyle w:val="ListParagraph"/>
        <w:numPr>
          <w:ilvl w:val="0"/>
          <w:numId w:val="2"/>
        </w:numPr>
        <w:spacing w:after="60" w:before="30" w:line="280"/>
      </w:pPr>
      <w:r>
        <w:rPr>
          <w:rFonts w:ascii="Arial" w:cs="Arial" w:eastAsia="Arial" w:hAnsi="Arial"/>
          <w:b/>
          <w:bCs/>
          <w:color w:val="1A1410"/>
          <w:sz w:val="22"/>
          <w:szCs w:val="22"/>
        </w:rPr>
        <w:t xml:space="preserve">Weekly Crisis Monitoring Report. </w:t>
      </w:r>
      <w:r>
        <w:rPr>
          <w:rFonts w:ascii="Arial" w:cs="Arial" w:eastAsia="Arial" w:hAnsi="Arial"/>
          <w:color w:val="1A1410"/>
          <w:sz w:val="22"/>
          <w:szCs w:val="22"/>
        </w:rPr>
        <w:t xml:space="preserve">Auto-generated cron. Top risks, signature pace, declared emergencies, monitoring visits. Both secretariat and members see what the OB sees.</w:t>
      </w:r>
    </w:p>
    <w:p>
      <w:pPr>
        <w:pStyle w:val="ListParagraph"/>
        <w:numPr>
          <w:ilvl w:val="0"/>
          <w:numId w:val="2"/>
        </w:numPr>
        <w:spacing w:after="60" w:before="30" w:line="280"/>
      </w:pPr>
      <w:r>
        <w:rPr>
          <w:rFonts w:ascii="Arial" w:cs="Arial" w:eastAsia="Arial" w:hAnsi="Arial"/>
          <w:b/>
          <w:bCs/>
          <w:color w:val="1A1410"/>
          <w:sz w:val="22"/>
          <w:szCs w:val="22"/>
        </w:rPr>
        <w:t xml:space="preserve">In-app messaging + feedback mechanism. </w:t>
      </w:r>
      <w:r>
        <w:rPr>
          <w:rFonts w:ascii="Arial" w:cs="Arial" w:eastAsia="Arial" w:hAnsi="Arial"/>
          <w:color w:val="1A1410"/>
          <w:sz w:val="22"/>
          <w:szCs w:val="22"/>
        </w:rPr>
        <w:t xml:space="preserve">Secretariat-to-member messaging with audit trail. NGO feedback channel with structured response workflow. No Slack lock-in.</w:t>
      </w:r>
    </w:p>
    <w:p>
      <w:pPr>
        <w:spacing w:after="80" w:before="60" w:line="300"/>
        <w:jc w:val="left"/>
      </w:pPr>
      <w:r>
        <w:rPr>
          <w:rFonts w:ascii="Arial" w:cs="Arial" w:eastAsia="Arial" w:hAnsi="Arial"/>
          <w:color w:val="1A1410"/>
          <w:sz w:val="22"/>
          <w:szCs w:val="22"/>
        </w:rPr>
        <w:t xml:space="preserve">Reference architecture: NEAR (Network for Empowered Aid Response), co-founded by Adeso in 2016. NEAR is the lead pilot prospect — not yet a paying customer. Section 12 covers the GTM motion.</w:t>
      </w:r>
    </w:p>
    <w:p>
      <w:pPr>
        <w:pStyle w:val="Heading2"/>
        <w:spacing w:after="140" w:before="280"/>
      </w:pPr>
      <w:r>
        <w:rPr>
          <w:rFonts w:ascii="Arial" w:cs="Arial" w:eastAsia="Arial" w:hAnsi="Arial"/>
          <w:b/>
          <w:bCs/>
          <w:color w:val="7C2D12"/>
          <w:sz w:val="28"/>
          <w:szCs w:val="28"/>
        </w:rPr>
        <w:t xml:space="preserve">2.3 Flavor 2 — Direct Compliance &amp; Reporting</w:t>
      </w:r>
    </w:p>
    <w:p>
      <w:pPr>
        <w:spacing w:after="80" w:before="60" w:line="300"/>
        <w:jc w:val="left"/>
      </w:pPr>
      <w:r>
        <w:rPr>
          <w:rFonts w:ascii="Arial" w:cs="Arial" w:eastAsia="Arial" w:hAnsi="Arial"/>
          <w:color w:val="1A1410"/>
          <w:sz w:val="22"/>
          <w:szCs w:val="22"/>
        </w:rPr>
        <w:t xml:space="preserve">A donor — foundation, bilateral, multilateral, or corporate giving program — runs grant rounds directly with their NGO ecosystem. Any qualified NGO can apply. The compliance and reporting workflow is what distinguishes this flavor.</w:t>
      </w:r>
    </w:p>
    <w:p>
      <w:pPr>
        <w:spacing w:after="80" w:before="60" w:line="300"/>
        <w:jc w:val="left"/>
      </w:pPr>
      <w:r>
        <w:rPr>
          <w:rFonts w:ascii="Arial" w:cs="Arial" w:eastAsia="Arial" w:hAnsi="Arial"/>
          <w:color w:val="1A1410"/>
          <w:sz w:val="22"/>
          <w:szCs w:val="22"/>
        </w:rPr>
        <w:t xml:space="preserve">Workflow specifics for Direct Compliance:</w:t>
      </w:r>
    </w:p>
    <w:p>
      <w:pPr>
        <w:pStyle w:val="ListParagraph"/>
        <w:numPr>
          <w:ilvl w:val="0"/>
          <w:numId w:val="2"/>
        </w:numPr>
        <w:spacing w:after="60" w:before="30" w:line="280"/>
      </w:pPr>
      <w:r>
        <w:rPr>
          <w:rFonts w:ascii="Arial" w:cs="Arial" w:eastAsia="Arial" w:hAnsi="Arial"/>
          <w:b/>
          <w:bCs/>
          <w:color w:val="1A1410"/>
          <w:sz w:val="22"/>
          <w:szCs w:val="22"/>
        </w:rPr>
        <w:t xml:space="preserve">Donor configures the call. </w:t>
      </w:r>
      <w:r>
        <w:rPr>
          <w:rFonts w:ascii="Arial" w:cs="Arial" w:eastAsia="Arial" w:hAnsi="Arial"/>
          <w:color w:val="1A1410"/>
          <w:sz w:val="22"/>
          <w:szCs w:val="22"/>
        </w:rPr>
        <w:t xml:space="preserve">Criteria, rubrics, eligibility, required documents. AI suggests starting rubric weights from similar prior calls.</w:t>
      </w:r>
    </w:p>
    <w:p>
      <w:pPr>
        <w:pStyle w:val="ListParagraph"/>
        <w:numPr>
          <w:ilvl w:val="0"/>
          <w:numId w:val="2"/>
        </w:numPr>
        <w:spacing w:after="60" w:before="30" w:line="280"/>
      </w:pPr>
      <w:r>
        <w:rPr>
          <w:rFonts w:ascii="Arial" w:cs="Arial" w:eastAsia="Arial" w:hAnsi="Arial"/>
          <w:b/>
          <w:bCs/>
          <w:color w:val="1A1410"/>
          <w:sz w:val="22"/>
          <w:szCs w:val="22"/>
        </w:rPr>
        <w:t xml:space="preserve">NGO discovers and applies. </w:t>
      </w:r>
      <w:r>
        <w:rPr>
          <w:rFonts w:ascii="Arial" w:cs="Arial" w:eastAsia="Arial" w:hAnsi="Arial"/>
          <w:color w:val="1A1410"/>
          <w:sz w:val="22"/>
          <w:szCs w:val="22"/>
        </w:rPr>
        <w:t xml:space="preserve">Via the Kuja Marketplace search or via donor invitation. Trust Profile pre-fills. AI co-author drafts.</w:t>
      </w:r>
    </w:p>
    <w:p>
      <w:pPr>
        <w:pStyle w:val="ListParagraph"/>
        <w:numPr>
          <w:ilvl w:val="0"/>
          <w:numId w:val="2"/>
        </w:numPr>
        <w:spacing w:after="60" w:before="30" w:line="280"/>
      </w:pPr>
      <w:r>
        <w:rPr>
          <w:rFonts w:ascii="Arial" w:cs="Arial" w:eastAsia="Arial" w:hAnsi="Arial"/>
          <w:b/>
          <w:bCs/>
          <w:color w:val="1A1410"/>
          <w:sz w:val="22"/>
          <w:szCs w:val="22"/>
        </w:rPr>
        <w:t xml:space="preserve">Hard-gated submit. </w:t>
      </w:r>
      <w:r>
        <w:rPr>
          <w:rFonts w:ascii="Arial" w:cs="Arial" w:eastAsia="Arial" w:hAnsi="Arial"/>
          <w:color w:val="1A1410"/>
          <w:sz w:val="22"/>
          <w:szCs w:val="22"/>
        </w:rPr>
        <w:t xml:space="preserve">Eligibility rules enforced. AI rubric pre-score generated. Reviewer panel notified.</w:t>
      </w:r>
    </w:p>
    <w:p>
      <w:pPr>
        <w:pStyle w:val="ListParagraph"/>
        <w:numPr>
          <w:ilvl w:val="0"/>
          <w:numId w:val="2"/>
        </w:numPr>
        <w:spacing w:after="60" w:before="30" w:line="280"/>
      </w:pPr>
      <w:r>
        <w:rPr>
          <w:rFonts w:ascii="Arial" w:cs="Arial" w:eastAsia="Arial" w:hAnsi="Arial"/>
          <w:b/>
          <w:bCs/>
          <w:color w:val="1A1410"/>
          <w:sz w:val="22"/>
          <w:szCs w:val="22"/>
        </w:rPr>
        <w:t xml:space="preserve">Reviewer scoring. </w:t>
      </w:r>
      <w:r>
        <w:rPr>
          <w:rFonts w:ascii="Arial" w:cs="Arial" w:eastAsia="Arial" w:hAnsi="Arial"/>
          <w:color w:val="1A1410"/>
          <w:sz w:val="22"/>
          <w:szCs w:val="22"/>
        </w:rPr>
        <w:t xml:space="preserve">Calibrated panels. Per-criterion AI-grounded citations. COI declared at the reviewer level.</w:t>
      </w:r>
    </w:p>
    <w:p>
      <w:pPr>
        <w:pStyle w:val="ListParagraph"/>
        <w:numPr>
          <w:ilvl w:val="0"/>
          <w:numId w:val="2"/>
        </w:numPr>
        <w:spacing w:after="60" w:before="30" w:line="280"/>
      </w:pPr>
      <w:r>
        <w:rPr>
          <w:rFonts w:ascii="Arial" w:cs="Arial" w:eastAsia="Arial" w:hAnsi="Arial"/>
          <w:b/>
          <w:bCs/>
          <w:color w:val="1A1410"/>
          <w:sz w:val="22"/>
          <w:szCs w:val="22"/>
        </w:rPr>
        <w:t xml:space="preserve">Award + agreement upload. </w:t>
      </w:r>
      <w:r>
        <w:rPr>
          <w:rFonts w:ascii="Arial" w:cs="Arial" w:eastAsia="Arial" w:hAnsi="Arial"/>
          <w:color w:val="1A1410"/>
          <w:sz w:val="22"/>
          <w:szCs w:val="22"/>
        </w:rPr>
        <w:t xml:space="preserve">Donor uploads the agreement PDF. AI parses it. Every obligation, deadline, deliverable, and indicator is extracted and structured. The agreement becomes a queryable, comparable object.</w:t>
      </w:r>
    </w:p>
    <w:p>
      <w:pPr>
        <w:pStyle w:val="ListParagraph"/>
        <w:numPr>
          <w:ilvl w:val="0"/>
          <w:numId w:val="2"/>
        </w:numPr>
        <w:spacing w:after="60" w:before="30" w:line="280"/>
      </w:pPr>
      <w:r>
        <w:rPr>
          <w:rFonts w:ascii="Arial" w:cs="Arial" w:eastAsia="Arial" w:hAnsi="Arial"/>
          <w:b/>
          <w:bCs/>
          <w:color w:val="1A1410"/>
          <w:sz w:val="22"/>
          <w:szCs w:val="22"/>
        </w:rPr>
        <w:t xml:space="preserve">NGO reports → AI evaluates against agreement. </w:t>
      </w:r>
      <w:r>
        <w:rPr>
          <w:rFonts w:ascii="Arial" w:cs="Arial" w:eastAsia="Arial" w:hAnsi="Arial"/>
          <w:color w:val="1A1410"/>
          <w:sz w:val="22"/>
          <w:szCs w:val="22"/>
        </w:rPr>
        <w:t xml:space="preserve">When the NGO submits a quarterly or annual report, AI grades each agreement obligation individually with citations. Donor sees a per-requirement compliance scorecard, not a PDF.</w:t>
      </w:r>
    </w:p>
    <w:p>
      <w:pPr>
        <w:spacing w:after="80" w:before="60" w:line="300"/>
        <w:jc w:val="left"/>
      </w:pPr>
      <w:r>
        <w:rPr>
          <w:rFonts w:ascii="Arial" w:cs="Arial" w:eastAsia="Arial" w:hAnsi="Arial"/>
          <w:color w:val="1A1410"/>
          <w:sz w:val="22"/>
          <w:szCs w:val="22"/>
        </w:rPr>
        <w:t xml:space="preserve">Donor types this flavor was designed for: foundations of all sizes, bilateral aid agencies (in their new form post-USAID), multilateral funds, corporate giving programs. The unifying buyer behavior is: "I award grants and I need to know what is happening with the money — in time to course-correct, not after the year-end report."</w:t>
      </w:r>
    </w:p>
    <w:p>
      <w:pPr>
        <w:pStyle w:val="Heading2"/>
        <w:spacing w:after="140" w:before="280"/>
      </w:pPr>
      <w:r>
        <w:rPr>
          <w:rFonts w:ascii="Arial" w:cs="Arial" w:eastAsia="Arial" w:hAnsi="Arial"/>
          <w:b/>
          <w:bCs/>
          <w:color w:val="7C2D12"/>
          <w:sz w:val="28"/>
          <w:szCs w:val="28"/>
        </w:rPr>
        <w:t xml:space="preserve">2.4 Flavor 3 — Crisis-Context Fund (live: the Proximate Fund, Sudan)</w:t>
      </w:r>
    </w:p>
    <w:p>
      <w:pPr>
        <w:spacing w:after="80" w:before="60" w:line="300"/>
        <w:jc w:val="left"/>
      </w:pPr>
      <w:r>
        <w:rPr>
          <w:rFonts w:ascii="Arial" w:cs="Arial" w:eastAsia="Arial" w:hAnsi="Arial"/>
          <w:color w:val="1A1410"/>
          <w:sz w:val="22"/>
          <w:szCs w:val="22"/>
        </w:rPr>
        <w:t xml:space="preserve">Added July 2026. A fund operator moves money to community groups in an active-conflict environment where the assumptions behind the other two flavors do not hold: no functioning civil registry to vet against, banks evacuated from the areas partners serve, Arabic as the working language, uneven literacy and connectivity. Demanding registration paperwork in this context would exclude exactly the mutual-aid groups doing the work.</w:t>
      </w:r>
    </w:p>
    <w:p>
      <w:pPr>
        <w:spacing w:after="80" w:before="60" w:line="300"/>
        <w:jc w:val="left"/>
      </w:pPr>
      <w:r>
        <w:rPr>
          <w:rFonts w:ascii="Arial" w:cs="Arial" w:eastAsia="Arial" w:hAnsi="Arial"/>
          <w:color w:val="1A1410"/>
          <w:sz w:val="22"/>
          <w:szCs w:val="22"/>
        </w:rPr>
        <w:t xml:space="preserve">Workflow specifics that exist only in the Crisis-Context flavor:</w:t>
      </w:r>
    </w:p>
    <w:p>
      <w:pPr>
        <w:pStyle w:val="ListParagraph"/>
        <w:numPr>
          <w:ilvl w:val="0"/>
          <w:numId w:val="2"/>
        </w:numPr>
        <w:spacing w:after="60" w:before="30" w:line="280"/>
      </w:pPr>
      <w:r>
        <w:rPr>
          <w:rFonts w:ascii="Arial" w:cs="Arial" w:eastAsia="Arial" w:hAnsi="Arial"/>
          <w:b/>
          <w:bCs/>
          <w:color w:val="1A1410"/>
          <w:sz w:val="22"/>
          <w:szCs w:val="22"/>
        </w:rPr>
        <w:t xml:space="preserve">Relational validation replaces formal vetting. </w:t>
      </w:r>
      <w:r>
        <w:rPr>
          <w:rFonts w:ascii="Arial" w:cs="Arial" w:eastAsia="Arial" w:hAnsi="Arial"/>
          <w:color w:val="1A1410"/>
          <w:sz w:val="22"/>
          <w:szCs w:val="22"/>
        </w:rPr>
        <w:t xml:space="preserve">Trusted community endorsers vouch through structured questions; reputation-weighted trust floors, automatic conflict-of-interest checks, and light-KYC on endorsers run underneath. Sanctions screening fires automatically at every entry path — partner nomination, endorser approval, payment-provider registration — plus weekly re-screens and adverse-media checks on larger disbursements.</w:t>
      </w:r>
    </w:p>
    <w:p>
      <w:pPr>
        <w:pStyle w:val="ListParagraph"/>
        <w:numPr>
          <w:ilvl w:val="0"/>
          <w:numId w:val="2"/>
        </w:numPr>
        <w:spacing w:after="60" w:before="30" w:line="280"/>
      </w:pPr>
      <w:r>
        <w:rPr>
          <w:rFonts w:ascii="Arial" w:cs="Arial" w:eastAsia="Arial" w:hAnsi="Arial"/>
          <w:b/>
          <w:bCs/>
          <w:color w:val="1A1410"/>
          <w:sz w:val="22"/>
          <w:szCs w:val="22"/>
        </w:rPr>
        <w:t xml:space="preserve">Zero-login field experience. </w:t>
      </w:r>
      <w:r>
        <w:rPr>
          <w:rFonts w:ascii="Arial" w:cs="Arial" w:eastAsia="Arial" w:hAnsi="Arial"/>
          <w:color w:val="1A1410"/>
          <w:sz w:val="22"/>
          <w:szCs w:val="22"/>
        </w:rPr>
        <w:t xml:space="preserve">Partners onboard, report, and attest 90-day outcomes through long-lived token links shared over WhatsApp — no accounts, Arabic-first, voice notes transcribed by Whisper, photos as structured evidence.</w:t>
      </w:r>
    </w:p>
    <w:p>
      <w:pPr>
        <w:pStyle w:val="ListParagraph"/>
        <w:numPr>
          <w:ilvl w:val="0"/>
          <w:numId w:val="2"/>
        </w:numPr>
        <w:spacing w:after="60" w:before="30" w:line="280"/>
      </w:pPr>
      <w:r>
        <w:rPr>
          <w:rFonts w:ascii="Arial" w:cs="Arial" w:eastAsia="Arial" w:hAnsi="Arial"/>
          <w:b/>
          <w:bCs/>
          <w:color w:val="1A1410"/>
          <w:sz w:val="22"/>
          <w:szCs w:val="22"/>
        </w:rPr>
        <w:t xml:space="preserve">Payment rails that work in conflict. </w:t>
      </w:r>
      <w:r>
        <w:rPr>
          <w:rFonts w:ascii="Arial" w:cs="Arial" w:eastAsia="Arial" w:hAnsi="Arial"/>
          <w:color w:val="1A1410"/>
          <w:sz w:val="22"/>
          <w:szCs w:val="22"/>
        </w:rPr>
        <w:t xml:space="preserve">Hawala brokers and mobile money as first-class disbursement methods alongside banks, with Plan-B fallback routing and a multi-tier cosigner ladder locked at disbursement creation.</w:t>
      </w:r>
    </w:p>
    <w:p>
      <w:pPr>
        <w:pStyle w:val="ListParagraph"/>
        <w:numPr>
          <w:ilvl w:val="0"/>
          <w:numId w:val="2"/>
        </w:numPr>
        <w:spacing w:after="60" w:before="30" w:line="280"/>
      </w:pPr>
      <w:r>
        <w:rPr>
          <w:rFonts w:ascii="Arial" w:cs="Arial" w:eastAsia="Arial" w:hAnsi="Arial"/>
          <w:b/>
          <w:bCs/>
          <w:color w:val="1A1410"/>
          <w:sz w:val="22"/>
          <w:szCs w:val="22"/>
        </w:rPr>
        <w:t xml:space="preserve">The operator’s SOPs run as software. </w:t>
      </w:r>
      <w:r>
        <w:rPr>
          <w:rFonts w:ascii="Arial" w:cs="Arial" w:eastAsia="Arial" w:hAnsi="Arial"/>
          <w:color w:val="1A1410"/>
          <w:sz w:val="22"/>
          <w:szCs w:val="22"/>
        </w:rPr>
        <w:t xml:space="preserve">Monitoring cadences, capital-class thresholds, graduated intervention measures with 24h/72h/5-day response clocks and auto-escalation, a 72-hour-SLA grievance channel with auto-freeze on fraud/safety reports, and an investigator-independence rule — enforced by the system, hash-chained in the audit trail.</w:t>
      </w:r>
    </w:p>
    <w:p>
      <w:pPr>
        <w:pStyle w:val="ListParagraph"/>
        <w:numPr>
          <w:ilvl w:val="0"/>
          <w:numId w:val="2"/>
        </w:numPr>
        <w:spacing w:after="60" w:before="30" w:line="280"/>
      </w:pPr>
      <w:r>
        <w:rPr>
          <w:rFonts w:ascii="Arial" w:cs="Arial" w:eastAsia="Arial" w:hAnsi="Arial"/>
          <w:b/>
          <w:bCs/>
          <w:color w:val="1A1410"/>
          <w:sz w:val="22"/>
          <w:szCs w:val="22"/>
        </w:rPr>
        <w:t xml:space="preserve">The same donor-compliance loop as Flavor 2, pointed upstream. </w:t>
      </w:r>
      <w:r>
        <w:rPr>
          <w:rFonts w:ascii="Arial" w:cs="Arial" w:eastAsia="Arial" w:hAnsi="Arial"/>
          <w:color w:val="1A1410"/>
          <w:sz w:val="22"/>
          <w:szCs w:val="22"/>
        </w:rPr>
        <w:t xml:space="preserve">The operator uploads its own signed donor agreements; AI extracts obligations and restrictions; the system enforces geographic and co-funding restrictions at disbursement time, tracks deliverables live, drafts donor reports from real data, scores every report per requirement, and assembles a one-click donor pack. Adeso complies with the institutional grants funding Proximate on the same engine it sells.</w:t>
      </w:r>
    </w:p>
    <w:p>
      <w:pPr>
        <w:spacing w:after="80" w:before="60" w:line="300"/>
        <w:jc w:val="left"/>
      </w:pPr>
      <w:r>
        <w:rPr>
          <w:rFonts w:ascii="Arial" w:cs="Arial" w:eastAsia="Arial" w:hAnsi="Arial"/>
          <w:color w:val="1A1410"/>
          <w:sz w:val="22"/>
          <w:szCs w:val="22"/>
        </w:rPr>
        <w:t xml:space="preserve">Reference deployment: the Proximate Fund (Adeso, Sudan), in production since July 2026. This flavor is operated by Adeso rather than sold standalone today; its market significance is proof — the engine configures across the entire trust spectrum, so the next crisis fund, diaspora fund, or community foundation is a configuration exercise, not a rebuild.</w:t>
      </w:r>
    </w:p>
    <w:p>
      <w:pPr>
        <w:pStyle w:val="Heading2"/>
        <w:spacing w:after="140" w:before="280"/>
      </w:pPr>
      <w:r>
        <w:rPr>
          <w:rFonts w:ascii="Arial" w:cs="Arial" w:eastAsia="Arial" w:hAnsi="Arial"/>
          <w:b/>
          <w:bCs/>
          <w:color w:val="7C2D12"/>
          <w:sz w:val="28"/>
          <w:szCs w:val="28"/>
        </w:rPr>
        <w:t xml:space="preserve">2.5 The optional ERP integration</w:t>
      </w:r>
    </w:p>
    <w:p>
      <w:pPr>
        <w:spacing w:after="80" w:before="60" w:line="300"/>
        <w:jc w:val="left"/>
      </w:pPr>
      <w:r>
        <w:rPr>
          <w:rFonts w:ascii="Arial" w:cs="Arial" w:eastAsia="Arial" w:hAnsi="Arial"/>
          <w:color w:val="1A1410"/>
          <w:sz w:val="22"/>
          <w:szCs w:val="22"/>
        </w:rPr>
        <w:t xml:space="preserve">Kuja ERP is a sibling product. It is sold separately and integrates with Grant. All flavors of Grant work fully without ERP — the AI-evaluated reports remain the floor of donor visibility. ERP makes the financial signal flow in real time rather than at report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Capability</w:t>
            </w:r>
          </w:p>
        </w:tc>
        <w:tc>
          <w:tcPr>
            <w:tcW w:type="dxa" w:w="31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Grant + AI (no ERP)</w:t>
            </w:r>
          </w:p>
        </w:tc>
        <w:tc>
          <w:tcPr>
            <w:tcW w:type="dxa" w:w="31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Grant + Kuja ERP (opt-in)</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Compliance reports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evaluates NGO submissions per requirement with citations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Auto-generated from the ledger — real-time burn rate and variance, per grant line</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Financial cadence</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Quarterly / monthly point-in-time</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Real-time as spend events flow in</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Audit chain anchoring</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At each submission event</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At every spend event, at moment of entry</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variance flags</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Raised when reports come in</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Raised the day a line crosses threshold</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visibility</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Per-report dashboard</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Multi-tenant cross-grantee spend roll-up</w:t>
            </w:r>
          </w:p>
        </w:tc>
      </w:tr>
    </w:tbl>
    <w:p>
      <w:pPr>
        <w:spacing w:after="80" w:before="60" w:line="300"/>
        <w:jc w:val="left"/>
      </w:pPr>
      <w:r>
        <w:rPr>
          <w:rFonts w:ascii="Arial" w:cs="Arial" w:eastAsia="Arial" w:hAnsi="Arial"/>
          <w:color w:val="1A1410"/>
          <w:sz w:val="22"/>
          <w:szCs w:val="22"/>
        </w:rPr>
        <w:t xml:space="preserve">Multi-tenant donor visibility — donors seeing real-time grant-scoped spend across all their funded grantees while each NGO retains its own tenant — is the ERP wedge. It does not exist in any other GMS product. The primary commercial motion is donor-sponsored: the funder pays for the NGO tenants.</w:t>
      </w:r>
    </w:p>
    <w:p>
      <w:pPr>
        <w:pStyle w:val="Heading1"/>
        <w:pageBreakBefore/>
        <w:spacing w:after="200" w:before="320"/>
      </w:pPr>
      <w:r>
        <w:rPr>
          <w:rFonts w:ascii="Arial" w:cs="Arial" w:eastAsia="Arial" w:hAnsi="Arial"/>
          <w:b/>
          <w:bCs/>
          <w:color w:val="C2410C"/>
          <w:sz w:val="36"/>
          <w:szCs w:val="36"/>
        </w:rPr>
        <w:t xml:space="preserve">3. The Market Problem</w:t>
      </w:r>
    </w:p>
    <w:p>
      <w:pPr>
        <w:spacing w:after="80" w:before="60" w:line="300"/>
        <w:jc w:val="left"/>
      </w:pPr>
      <w:r>
        <w:rPr>
          <w:rFonts w:ascii="Arial" w:cs="Arial" w:eastAsia="Arial" w:hAnsi="Arial"/>
          <w:color w:val="1A1410"/>
          <w:sz w:val="22"/>
          <w:szCs w:val="22"/>
        </w:rPr>
        <w:t xml:space="preserve">Kuja Grant exists because four problems converge on the same population — mid-size NGOs in the Global South — and no single existing tool addresses all four. The funding shock makes them acute. The localization commitments make them existential. The accessibility gap makes them structural. The AI adoption gap makes the timing right.</w:t>
      </w:r>
    </w:p>
    <w:p>
      <w:pPr>
        <w:pStyle w:val="Heading2"/>
        <w:spacing w:after="140" w:before="280"/>
      </w:pPr>
      <w:r>
        <w:rPr>
          <w:rFonts w:ascii="Arial" w:cs="Arial" w:eastAsia="Arial" w:hAnsi="Arial"/>
          <w:b/>
          <w:bCs/>
          <w:color w:val="7C2D12"/>
          <w:sz w:val="28"/>
          <w:szCs w:val="28"/>
        </w:rPr>
        <w:t xml:space="preserve">3.1 The funding shock — 2025 is the largest annual drop in ODA history</w:t>
      </w:r>
    </w:p>
    <w:p>
      <w:pPr>
        <w:spacing w:after="80" w:before="60" w:line="300"/>
        <w:jc w:val="left"/>
      </w:pPr>
      <w:r>
        <w:rPr>
          <w:rFonts w:ascii="Arial" w:cs="Arial" w:eastAsia="Arial" w:hAnsi="Arial"/>
          <w:color w:val="1A1410"/>
          <w:sz w:val="22"/>
          <w:szCs w:val="22"/>
        </w:rPr>
        <w:t xml:space="preserve">OECD DAC released preliminary 2025 ODA data in April 2026 with the headline: "A historic decline in foreign aid." The numbers:</w:t>
      </w:r>
    </w:p>
    <w:p>
      <w:pPr>
        <w:pStyle w:val="ListParagraph"/>
        <w:numPr>
          <w:ilvl w:val="0"/>
          <w:numId w:val="2"/>
        </w:numPr>
        <w:spacing w:after="60" w:before="30" w:line="280"/>
      </w:pPr>
      <w:r>
        <w:rPr>
          <w:rFonts w:ascii="Arial" w:cs="Arial" w:eastAsia="Arial" w:hAnsi="Arial"/>
          <w:b/>
          <w:bCs/>
          <w:color w:val="1A1410"/>
          <w:sz w:val="22"/>
          <w:szCs w:val="22"/>
        </w:rPr>
        <w:t xml:space="preserve">Total DAC ODA 2025: USD 174.3 billion </w:t>
      </w:r>
      <w:r>
        <w:rPr>
          <w:rFonts w:ascii="Arial" w:cs="Arial" w:eastAsia="Arial" w:hAnsi="Arial"/>
          <w:color w:val="1A1410"/>
          <w:sz w:val="22"/>
          <w:szCs w:val="22"/>
        </w:rPr>
        <w:t xml:space="preserve">(0.26% of DAC GNI), down from USD 215.1 billion (0.34% of GNI) in 2024.</w:t>
      </w:r>
    </w:p>
    <w:p>
      <w:pPr>
        <w:pStyle w:val="ListParagraph"/>
        <w:numPr>
          <w:ilvl w:val="0"/>
          <w:numId w:val="2"/>
        </w:numPr>
        <w:spacing w:after="60" w:before="30" w:line="280"/>
      </w:pPr>
      <w:r>
        <w:rPr>
          <w:rFonts w:ascii="Arial" w:cs="Arial" w:eastAsia="Arial" w:hAnsi="Arial"/>
          <w:b/>
          <w:bCs/>
          <w:color w:val="1A1410"/>
          <w:sz w:val="22"/>
          <w:szCs w:val="22"/>
        </w:rPr>
        <w:t xml:space="preserve">-23.1% in real terms — the largest annual drop in ODA history. </w:t>
      </w:r>
      <w:r>
        <w:rPr>
          <w:rFonts w:ascii="Arial" w:cs="Arial" w:eastAsia="Arial" w:hAnsi="Arial"/>
          <w:color w:val="1A1410"/>
          <w:sz w:val="22"/>
          <w:szCs w:val="22"/>
        </w:rPr>
        <w:t xml:space="preserve">Second consecutive year of decline.</w:t>
      </w:r>
    </w:p>
    <w:p>
      <w:pPr>
        <w:pStyle w:val="ListParagraph"/>
        <w:numPr>
          <w:ilvl w:val="0"/>
          <w:numId w:val="2"/>
        </w:numPr>
        <w:spacing w:after="60" w:before="30" w:line="280"/>
      </w:pPr>
      <w:r>
        <w:rPr>
          <w:rFonts w:ascii="Arial" w:cs="Arial" w:eastAsia="Arial" w:hAnsi="Arial"/>
          <w:b/>
          <w:bCs/>
          <w:color w:val="1A1410"/>
          <w:sz w:val="22"/>
          <w:szCs w:val="22"/>
        </w:rPr>
        <w:t xml:space="preserve">US ODA fell -56.9% </w:t>
      </w:r>
      <w:r>
        <w:rPr>
          <w:rFonts w:ascii="Arial" w:cs="Arial" w:eastAsia="Arial" w:hAnsi="Arial"/>
          <w:color w:val="1A1410"/>
          <w:sz w:val="22"/>
          <w:szCs w:val="22"/>
        </w:rPr>
        <w:t xml:space="preserve">— the largest single-provider reduction on record. The US accounted for approximately 75% of the total decline.</w:t>
      </w:r>
    </w:p>
    <w:p>
      <w:pPr>
        <w:pStyle w:val="ListParagraph"/>
        <w:numPr>
          <w:ilvl w:val="0"/>
          <w:numId w:val="2"/>
        </w:numPr>
        <w:spacing w:after="60" w:before="30" w:line="280"/>
      </w:pPr>
      <w:r>
        <w:rPr>
          <w:rFonts w:ascii="Arial" w:cs="Arial" w:eastAsia="Arial" w:hAnsi="Arial"/>
          <w:b/>
          <w:bCs/>
          <w:color w:val="1A1410"/>
          <w:sz w:val="22"/>
          <w:szCs w:val="22"/>
        </w:rPr>
        <w:t xml:space="preserve">Humanitarian ODA fell -35.8% to USD 15.5 billion, </w:t>
      </w:r>
      <w:r>
        <w:rPr>
          <w:rFonts w:ascii="Arial" w:cs="Arial" w:eastAsia="Arial" w:hAnsi="Arial"/>
          <w:color w:val="1A1410"/>
          <w:sz w:val="22"/>
          <w:szCs w:val="22"/>
        </w:rPr>
        <w:t xml:space="preserve">second consecutive fall after 2019-2023 growth.</w:t>
      </w:r>
    </w:p>
    <w:p>
      <w:pPr>
        <w:pStyle w:val="ListParagraph"/>
        <w:numPr>
          <w:ilvl w:val="0"/>
          <w:numId w:val="2"/>
        </w:numPr>
        <w:spacing w:after="60" w:before="30" w:line="280"/>
      </w:pPr>
      <w:r>
        <w:rPr>
          <w:rFonts w:ascii="Arial" w:cs="Arial" w:eastAsia="Arial" w:hAnsi="Arial"/>
          <w:b/>
          <w:bCs/>
          <w:color w:val="1A1410"/>
          <w:sz w:val="22"/>
          <w:szCs w:val="22"/>
        </w:rPr>
        <w:t xml:space="preserve">Germany became the #1 DAC donor for the first time ever </w:t>
      </w:r>
      <w:r>
        <w:rPr>
          <w:rFonts w:ascii="Arial" w:cs="Arial" w:eastAsia="Arial" w:hAnsi="Arial"/>
          <w:color w:val="1A1410"/>
          <w:sz w:val="22"/>
          <w:szCs w:val="22"/>
        </w:rPr>
        <w:t xml:space="preserve">at USD 29.1 billion.</w:t>
      </w:r>
    </w:p>
    <w:p>
      <w:pPr>
        <w:pStyle w:val="ListParagraph"/>
        <w:numPr>
          <w:ilvl w:val="0"/>
          <w:numId w:val="2"/>
        </w:numPr>
        <w:spacing w:after="60" w:before="30" w:line="280"/>
      </w:pPr>
      <w:r>
        <w:rPr>
          <w:rFonts w:ascii="Arial" w:cs="Arial" w:eastAsia="Arial" w:hAnsi="Arial"/>
          <w:b/>
          <w:bCs/>
          <w:color w:val="1A1410"/>
          <w:sz w:val="22"/>
          <w:szCs w:val="22"/>
        </w:rPr>
        <w:t xml:space="preserve">2026 forecast: further -5.8% drop </w:t>
      </w:r>
      <w:r>
        <w:rPr>
          <w:rFonts w:ascii="Arial" w:cs="Arial" w:eastAsia="Arial" w:hAnsi="Arial"/>
          <w:color w:val="1A1410"/>
          <w:sz w:val="22"/>
          <w:szCs w:val="22"/>
        </w:rPr>
        <w:t xml:space="preserve">(before Middle East crisis impact).</w:t>
      </w:r>
    </w:p>
    <w:p>
      <w:pPr>
        <w:spacing w:after="80" w:before="60" w:line="300"/>
        <w:jc w:val="left"/>
      </w:pPr>
      <w:r>
        <w:rPr>
          <w:rFonts w:ascii="Arial" w:cs="Arial" w:eastAsia="Arial" w:hAnsi="Arial"/>
          <w:i/>
          <w:iCs/>
          <w:color w:val="6B6660"/>
          <w:sz w:val="18"/>
          <w:szCs w:val="18"/>
        </w:rPr>
        <w:t xml:space="preserve">Source: OECD DAC preliminary 2025 ODA data, April 2026: https://www.oecd.org/en/data/insights/data-explainers/2026/04/a-historic-decline-in-foreign-aid-preliminary-2025-oda-data.html</w:t>
      </w:r>
    </w:p>
    <w:p>
      <w:pPr>
        <w:spacing w:after="80" w:before="60" w:line="300"/>
        <w:jc w:val="left"/>
      </w:pPr>
      <w:r>
        <w:rPr>
          <w:rFonts w:ascii="Arial" w:cs="Arial" w:eastAsia="Arial" w:hAnsi="Arial"/>
          <w:color w:val="1A1410"/>
          <w:sz w:val="22"/>
          <w:szCs w:val="22"/>
        </w:rPr>
        <w:t xml:space="preserve">USAID is the single largest exogenous shock. The KFF timeline:</w:t>
      </w:r>
    </w:p>
    <w:p>
      <w:pPr>
        <w:pStyle w:val="ListParagraph"/>
        <w:numPr>
          <w:ilvl w:val="0"/>
          <w:numId w:val="2"/>
        </w:numPr>
        <w:spacing w:after="60" w:before="30" w:line="280"/>
      </w:pPr>
      <w:r>
        <w:rPr>
          <w:rFonts w:ascii="Arial" w:cs="Arial" w:eastAsia="Arial" w:hAnsi="Arial"/>
          <w:b/>
          <w:bCs/>
          <w:color w:val="1A1410"/>
          <w:sz w:val="22"/>
          <w:szCs w:val="22"/>
        </w:rPr>
        <w:t xml:space="preserve">January 24 2025: </w:t>
      </w:r>
      <w:r>
        <w:rPr>
          <w:rFonts w:ascii="Arial" w:cs="Arial" w:eastAsia="Arial" w:hAnsi="Arial"/>
          <w:color w:val="1A1410"/>
          <w:sz w:val="22"/>
          <w:szCs w:val="22"/>
        </w:rPr>
        <w:t xml:space="preserve">Executive order freezing nearly all foreign aid.</w:t>
      </w:r>
    </w:p>
    <w:p>
      <w:pPr>
        <w:pStyle w:val="ListParagraph"/>
        <w:numPr>
          <w:ilvl w:val="0"/>
          <w:numId w:val="2"/>
        </w:numPr>
        <w:spacing w:after="60" w:before="30" w:line="280"/>
      </w:pPr>
      <w:r>
        <w:rPr>
          <w:rFonts w:ascii="Arial" w:cs="Arial" w:eastAsia="Arial" w:hAnsi="Arial"/>
          <w:b/>
          <w:bCs/>
          <w:color w:val="1A1410"/>
          <w:sz w:val="22"/>
          <w:szCs w:val="22"/>
        </w:rPr>
        <w:t xml:space="preserve">February 6 2025: </w:t>
      </w:r>
      <w:r>
        <w:rPr>
          <w:rFonts w:ascii="Arial" w:cs="Arial" w:eastAsia="Arial" w:hAnsi="Arial"/>
          <w:color w:val="1A1410"/>
          <w:sz w:val="22"/>
          <w:szCs w:val="22"/>
        </w:rPr>
        <w:t xml:space="preserve">10,000+ USAID staff placed on leave.</w:t>
      </w:r>
    </w:p>
    <w:p>
      <w:pPr>
        <w:pStyle w:val="ListParagraph"/>
        <w:numPr>
          <w:ilvl w:val="0"/>
          <w:numId w:val="2"/>
        </w:numPr>
        <w:spacing w:after="60" w:before="30" w:line="280"/>
      </w:pPr>
      <w:r>
        <w:rPr>
          <w:rFonts w:ascii="Arial" w:cs="Arial" w:eastAsia="Arial" w:hAnsi="Arial"/>
          <w:b/>
          <w:bCs/>
          <w:color w:val="1A1410"/>
          <w:sz w:val="22"/>
          <w:szCs w:val="22"/>
        </w:rPr>
        <w:t xml:space="preserve">March 10 2025: </w:t>
      </w:r>
      <w:r>
        <w:rPr>
          <w:rFonts w:ascii="Arial" w:cs="Arial" w:eastAsia="Arial" w:hAnsi="Arial"/>
          <w:color w:val="1A1410"/>
          <w:sz w:val="22"/>
          <w:szCs w:val="22"/>
        </w:rPr>
        <w:t xml:space="preserve">Rubio announced 83% of programs cut (~5,200 contracts).</w:t>
      </w:r>
    </w:p>
    <w:p>
      <w:pPr>
        <w:pStyle w:val="ListParagraph"/>
        <w:numPr>
          <w:ilvl w:val="0"/>
          <w:numId w:val="2"/>
        </w:numPr>
        <w:spacing w:after="60" w:before="30" w:line="280"/>
      </w:pPr>
      <w:r>
        <w:rPr>
          <w:rFonts w:ascii="Arial" w:cs="Arial" w:eastAsia="Arial" w:hAnsi="Arial"/>
          <w:b/>
          <w:bCs/>
          <w:color w:val="1A1410"/>
          <w:sz w:val="22"/>
          <w:szCs w:val="22"/>
        </w:rPr>
        <w:t xml:space="preserve">July 1 2025: </w:t>
      </w:r>
      <w:r>
        <w:rPr>
          <w:rFonts w:ascii="Arial" w:cs="Arial" w:eastAsia="Arial" w:hAnsi="Arial"/>
          <w:color w:val="1A1410"/>
          <w:sz w:val="22"/>
          <w:szCs w:val="22"/>
        </w:rPr>
        <w:t xml:space="preserve">USAID officially closed. Remaining programs transferred to State Department.</w:t>
      </w:r>
    </w:p>
    <w:p>
      <w:pPr>
        <w:pStyle w:val="ListParagraph"/>
        <w:numPr>
          <w:ilvl w:val="0"/>
          <w:numId w:val="2"/>
        </w:numPr>
        <w:spacing w:after="60" w:before="30" w:line="280"/>
      </w:pPr>
      <w:r>
        <w:rPr>
          <w:rFonts w:ascii="Arial" w:cs="Arial" w:eastAsia="Arial" w:hAnsi="Arial"/>
          <w:b/>
          <w:bCs/>
          <w:color w:val="1A1410"/>
          <w:sz w:val="22"/>
          <w:szCs w:val="22"/>
        </w:rPr>
        <w:t xml:space="preserve">July 24 2025: </w:t>
      </w:r>
      <w:r>
        <w:rPr>
          <w:rFonts w:ascii="Arial" w:cs="Arial" w:eastAsia="Arial" w:hAnsi="Arial"/>
          <w:color w:val="1A1410"/>
          <w:sz w:val="22"/>
          <w:szCs w:val="22"/>
        </w:rPr>
        <w:t xml:space="preserve">Rescissions Act of 2025 clawed back ~USD 9 billion in humanitarian funding.</w:t>
      </w:r>
    </w:p>
    <w:p>
      <w:pPr>
        <w:pStyle w:val="ListParagraph"/>
        <w:numPr>
          <w:ilvl w:val="0"/>
          <w:numId w:val="2"/>
        </w:numPr>
        <w:spacing w:after="60" w:before="30" w:line="280"/>
      </w:pPr>
      <w:r>
        <w:rPr>
          <w:rFonts w:ascii="Arial" w:cs="Arial" w:eastAsia="Arial" w:hAnsi="Arial"/>
          <w:b/>
          <w:bCs/>
          <w:color w:val="1A1410"/>
          <w:sz w:val="22"/>
          <w:szCs w:val="22"/>
        </w:rPr>
        <w:t xml:space="preserve">Total terminated program value: USD 75.9 billion </w:t>
      </w:r>
      <w:r>
        <w:rPr>
          <w:rFonts w:ascii="Arial" w:cs="Arial" w:eastAsia="Arial" w:hAnsi="Arial"/>
          <w:color w:val="1A1410"/>
          <w:sz w:val="22"/>
          <w:szCs w:val="22"/>
        </w:rPr>
        <w:t xml:space="preserve">($48.2B obligated, $27.7B unobligated).</w:t>
      </w:r>
    </w:p>
    <w:p>
      <w:pPr>
        <w:pStyle w:val="ListParagraph"/>
        <w:numPr>
          <w:ilvl w:val="0"/>
          <w:numId w:val="2"/>
        </w:numPr>
        <w:spacing w:after="60" w:before="30" w:line="280"/>
      </w:pPr>
      <w:r>
        <w:rPr>
          <w:rFonts w:ascii="Arial" w:cs="Arial" w:eastAsia="Arial" w:hAnsi="Arial"/>
          <w:b/>
          <w:bCs/>
          <w:color w:val="1A1410"/>
          <w:sz w:val="22"/>
          <w:szCs w:val="22"/>
        </w:rPr>
        <w:t xml:space="preserve">2025 US foreign aid: USD 32 billion, </w:t>
      </w:r>
      <w:r>
        <w:rPr>
          <w:rFonts w:ascii="Arial" w:cs="Arial" w:eastAsia="Arial" w:hAnsi="Arial"/>
          <w:color w:val="1A1410"/>
          <w:sz w:val="22"/>
          <w:szCs w:val="22"/>
        </w:rPr>
        <w:t xml:space="preserve">down from USD 68 billion in 2024 (-53%).</w:t>
      </w:r>
    </w:p>
    <w:p>
      <w:pPr>
        <w:spacing w:after="80" w:before="60" w:line="300"/>
        <w:jc w:val="left"/>
      </w:pPr>
      <w:r>
        <w:rPr>
          <w:rFonts w:ascii="Arial" w:cs="Arial" w:eastAsia="Arial" w:hAnsi="Arial"/>
          <w:i/>
          <w:iCs/>
          <w:color w:val="6B6660"/>
          <w:sz w:val="18"/>
          <w:szCs w:val="18"/>
        </w:rPr>
        <w:t xml:space="preserve">Source: KFF, US Foreign Aid Freeze &amp; Dissolution of USAID Timeline: https://www.kff.org/global-health-policy/u-s-foreign-aid-freeze-dissolution-of-usaid-timeline-of-events/</w:t>
      </w:r>
    </w:p>
    <w:p>
      <w:pPr>
        <w:spacing w:after="80" w:before="60" w:line="300"/>
        <w:jc w:val="left"/>
      </w:pPr>
      <w:r>
        <w:rPr>
          <w:rFonts w:ascii="Arial" w:cs="Arial" w:eastAsia="Arial" w:hAnsi="Arial"/>
          <w:color w:val="1A1410"/>
          <w:sz w:val="22"/>
          <w:szCs w:val="22"/>
        </w:rPr>
        <w:t xml:space="preserve">UK FCDO is following a similar trajectory. The House of Commons Library briefing (CBP-10243):</w:t>
      </w:r>
    </w:p>
    <w:p>
      <w:pPr>
        <w:pStyle w:val="ListParagraph"/>
        <w:numPr>
          <w:ilvl w:val="0"/>
          <w:numId w:val="2"/>
        </w:numPr>
        <w:spacing w:after="60" w:before="30" w:line="280"/>
      </w:pPr>
      <w:r>
        <w:rPr>
          <w:rFonts w:ascii="Arial" w:cs="Arial" w:eastAsia="Arial" w:hAnsi="Arial"/>
          <w:b/>
          <w:bCs/>
          <w:color w:val="1A1410"/>
          <w:sz w:val="22"/>
          <w:szCs w:val="22"/>
        </w:rPr>
        <w:t xml:space="preserve">UK ODA path: </w:t>
      </w:r>
      <w:r>
        <w:rPr>
          <w:rFonts w:ascii="Arial" w:cs="Arial" w:eastAsia="Arial" w:hAnsi="Arial"/>
          <w:color w:val="1A1410"/>
          <w:sz w:val="22"/>
          <w:szCs w:val="22"/>
        </w:rPr>
        <w:t xml:space="preserve">0.48% of GNI in 2025/26, falling to 0.37% in 2026/27, and 0.30% by 2027/28.</w:t>
      </w:r>
    </w:p>
    <w:p>
      <w:pPr>
        <w:pStyle w:val="ListParagraph"/>
        <w:numPr>
          <w:ilvl w:val="0"/>
          <w:numId w:val="2"/>
        </w:numPr>
        <w:spacing w:after="60" w:before="30" w:line="280"/>
      </w:pPr>
      <w:r>
        <w:rPr>
          <w:rFonts w:ascii="Arial" w:cs="Arial" w:eastAsia="Arial" w:hAnsi="Arial"/>
          <w:b/>
          <w:bCs/>
          <w:color w:val="1A1410"/>
          <w:sz w:val="22"/>
          <w:szCs w:val="22"/>
        </w:rPr>
        <w:t xml:space="preserve">FCDO ODA programme: </w:t>
      </w:r>
      <w:r>
        <w:rPr>
          <w:rFonts w:ascii="Arial" w:cs="Arial" w:eastAsia="Arial" w:hAnsi="Arial"/>
          <w:color w:val="1A1410"/>
          <w:sz w:val="22"/>
          <w:szCs w:val="22"/>
        </w:rPr>
        <w:t xml:space="preserve">£9.28B (2024/25) → £8.7B (-6%) in 2025/26.</w:t>
      </w:r>
    </w:p>
    <w:p>
      <w:pPr>
        <w:pStyle w:val="ListParagraph"/>
        <w:numPr>
          <w:ilvl w:val="0"/>
          <w:numId w:val="2"/>
        </w:numPr>
        <w:spacing w:after="60" w:before="30" w:line="280"/>
      </w:pPr>
      <w:r>
        <w:rPr>
          <w:rFonts w:ascii="Arial" w:cs="Arial" w:eastAsia="Arial" w:hAnsi="Arial"/>
          <w:b/>
          <w:bCs/>
          <w:color w:val="1A1410"/>
          <w:sz w:val="22"/>
          <w:szCs w:val="22"/>
        </w:rPr>
        <w:t xml:space="preserve">Total FCDO programmes: </w:t>
      </w:r>
      <w:r>
        <w:rPr>
          <w:rFonts w:ascii="Arial" w:cs="Arial" w:eastAsia="Arial" w:hAnsi="Arial"/>
          <w:color w:val="1A1410"/>
          <w:sz w:val="22"/>
          <w:szCs w:val="22"/>
        </w:rPr>
        <w:t xml:space="preserve">-31% versus 2025/26 in subsequent years (per March 2026 plan).</w:t>
      </w:r>
    </w:p>
    <w:p>
      <w:pPr>
        <w:pStyle w:val="ListParagraph"/>
        <w:numPr>
          <w:ilvl w:val="0"/>
          <w:numId w:val="2"/>
        </w:numPr>
        <w:spacing w:after="60" w:before="30" w:line="280"/>
      </w:pPr>
      <w:r>
        <w:rPr>
          <w:rFonts w:ascii="Arial" w:cs="Arial" w:eastAsia="Arial" w:hAnsi="Arial"/>
          <w:b/>
          <w:bCs/>
          <w:color w:val="1A1410"/>
          <w:sz w:val="22"/>
          <w:szCs w:val="22"/>
        </w:rPr>
        <w:t xml:space="preserve">Redirection to defence: </w:t>
      </w:r>
      <w:r>
        <w:rPr>
          <w:rFonts w:ascii="Arial" w:cs="Arial" w:eastAsia="Arial" w:hAnsi="Arial"/>
          <w:color w:val="1A1410"/>
          <w:sz w:val="22"/>
          <w:szCs w:val="22"/>
        </w:rPr>
        <w:t xml:space="preserve">£0.5B in 2025/26, £4.8B in 2026/27, £6.5B in 2027/28.</w:t>
      </w:r>
    </w:p>
    <w:p>
      <w:pPr>
        <w:spacing w:after="80" w:before="60" w:line="300"/>
        <w:jc w:val="left"/>
      </w:pPr>
      <w:r>
        <w:rPr>
          <w:rFonts w:ascii="Arial" w:cs="Arial" w:eastAsia="Arial" w:hAnsi="Arial"/>
          <w:i/>
          <w:iCs/>
          <w:color w:val="6B6660"/>
          <w:sz w:val="18"/>
          <w:szCs w:val="18"/>
        </w:rPr>
        <w:t xml:space="preserve">Sources: House of Commons Library CBP-10243; Bond UK ODA allocations 2026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2"/>
                <w:szCs w:val="22"/>
              </w:rPr>
              <w:t xml:space="preserve">The combined effect: USD 35-40 billion annual funding gap that the remaining donors and foundations cannot absorb at current operational practice.</w:t>
            </w:r>
          </w:p>
          <w:p>
            <w:pPr>
              <w:spacing w:before="80"/>
            </w:pPr>
            <w:r>
              <w:rPr>
                <w:rFonts w:ascii="Arial" w:cs="Arial" w:eastAsia="Arial" w:hAnsi="Arial"/>
                <w:color w:val="1A1410"/>
                <w:sz w:val="22"/>
                <w:szCs w:val="22"/>
              </w:rPr>
              <w:t xml:space="preserve">The structural response is some combination of (a) donors funding local actors directly to cut implementation overhead, (b) foundations stepping up — Foundation Source forecasts US foundation giving +5-7% in 2026 — and (c) operational tooling that makes the new flow legible. Kuja Grant is built for (c).</w:t>
            </w:r>
          </w:p>
        </w:tc>
      </w:tr>
    </w:tbl>
    <w:p>
      <w:pPr>
        <w:pStyle w:val="Heading2"/>
        <w:spacing w:after="140" w:before="280"/>
      </w:pPr>
      <w:r>
        <w:rPr>
          <w:rFonts w:ascii="Arial" w:cs="Arial" w:eastAsia="Arial" w:hAnsi="Arial"/>
          <w:b/>
          <w:bCs/>
          <w:color w:val="7C2D12"/>
          <w:sz w:val="28"/>
          <w:szCs w:val="28"/>
        </w:rPr>
        <w:t xml:space="preserve">3.2 The localization failure — 7.5% in 2024, target was 25% in 2016</w:t>
      </w:r>
    </w:p>
    <w:p>
      <w:pPr>
        <w:spacing w:after="80" w:before="60" w:line="300"/>
        <w:jc w:val="left"/>
      </w:pPr>
      <w:r>
        <w:rPr>
          <w:rFonts w:ascii="Arial" w:cs="Arial" w:eastAsia="Arial" w:hAnsi="Arial"/>
          <w:color w:val="1A1410"/>
          <w:sz w:val="22"/>
          <w:szCs w:val="22"/>
        </w:rPr>
        <w:t xml:space="preserve">The Grand Bargain commitment in 2016 was for 25% of humanitarian funding to flow directly to local and national responders by 2020. The latest published figures show progress has stalled or reversed.</w:t>
      </w:r>
    </w:p>
    <w:p>
      <w:pPr>
        <w:pStyle w:val="ListParagraph"/>
        <w:numPr>
          <w:ilvl w:val="0"/>
          <w:numId w:val="2"/>
        </w:numPr>
        <w:spacing w:after="60" w:before="30" w:line="280"/>
      </w:pPr>
      <w:r>
        <w:rPr>
          <w:rFonts w:ascii="Arial" w:cs="Arial" w:eastAsia="Arial" w:hAnsi="Arial"/>
          <w:b/>
          <w:bCs/>
          <w:color w:val="1A1410"/>
          <w:sz w:val="22"/>
          <w:szCs w:val="22"/>
        </w:rPr>
        <w:t xml:space="preserve">ALNAP Global Humanitarian Assistance Report 2025: </w:t>
      </w:r>
      <w:r>
        <w:rPr>
          <w:rFonts w:ascii="Arial" w:cs="Arial" w:eastAsia="Arial" w:hAnsi="Arial"/>
          <w:color w:val="1A1410"/>
          <w:sz w:val="22"/>
          <w:szCs w:val="22"/>
        </w:rPr>
        <w:t xml:space="preserve">Direct + indirect funding to local and national actors fell to 7.5% of total humanitarian assistance in 2024 — characterised by the GHA team as "stagnation and reversal." The 2025 report frames the sector as "entering financial crisis."</w:t>
      </w:r>
    </w:p>
    <w:p>
      <w:pPr>
        <w:pStyle w:val="ListParagraph"/>
        <w:numPr>
          <w:ilvl w:val="0"/>
          <w:numId w:val="2"/>
        </w:numPr>
        <w:spacing w:after="60" w:before="30" w:line="280"/>
      </w:pPr>
      <w:r>
        <w:rPr>
          <w:rFonts w:ascii="Arial" w:cs="Arial" w:eastAsia="Arial" w:hAnsi="Arial"/>
          <w:b/>
          <w:bCs/>
          <w:color w:val="1A1410"/>
          <w:sz w:val="22"/>
          <w:szCs w:val="22"/>
        </w:rPr>
        <w:t xml:space="preserve">Grand Bargain signatory donors: </w:t>
      </w:r>
      <w:r>
        <w:rPr>
          <w:rFonts w:ascii="Arial" w:cs="Arial" w:eastAsia="Arial" w:hAnsi="Arial"/>
          <w:color w:val="1A1410"/>
          <w:sz w:val="22"/>
          <w:szCs w:val="22"/>
        </w:rPr>
        <w:t xml:space="preserve">Just 0.6% of funding flowed directly to local/national actors as of 2023, per ReliefWeb analysis.</w:t>
      </w:r>
    </w:p>
    <w:p>
      <w:pPr>
        <w:pStyle w:val="ListParagraph"/>
        <w:numPr>
          <w:ilvl w:val="0"/>
          <w:numId w:val="2"/>
        </w:numPr>
        <w:spacing w:after="60" w:before="30" w:line="280"/>
      </w:pPr>
      <w:r>
        <w:rPr>
          <w:rFonts w:ascii="Arial" w:cs="Arial" w:eastAsia="Arial" w:hAnsi="Arial"/>
          <w:b/>
          <w:bCs/>
          <w:color w:val="1A1410"/>
          <w:sz w:val="22"/>
          <w:szCs w:val="22"/>
        </w:rPr>
        <w:t xml:space="preserve">Across all donors </w:t>
      </w:r>
      <w:r>
        <w:rPr>
          <w:rFonts w:ascii="Arial" w:cs="Arial" w:eastAsia="Arial" w:hAnsi="Arial"/>
          <w:color w:val="1A1410"/>
          <w:sz w:val="22"/>
          <w:szCs w:val="22"/>
        </w:rPr>
        <w:t xml:space="preserve">(broader denominator), only ~3.1% of global humanitarian funding went directly to local groups.</w:t>
      </w:r>
    </w:p>
    <w:p>
      <w:pPr>
        <w:pStyle w:val="ListParagraph"/>
        <w:numPr>
          <w:ilvl w:val="0"/>
          <w:numId w:val="2"/>
        </w:numPr>
        <w:spacing w:after="60" w:before="30" w:line="280"/>
      </w:pPr>
      <w:r>
        <w:rPr>
          <w:rFonts w:ascii="Arial" w:cs="Arial" w:eastAsia="Arial" w:hAnsi="Arial"/>
          <w:b/>
          <w:bCs/>
          <w:color w:val="1A1410"/>
          <w:sz w:val="22"/>
          <w:szCs w:val="22"/>
        </w:rPr>
        <w:t xml:space="preserve">OCHA Country-Based Pooled Funds: </w:t>
      </w:r>
      <w:r>
        <w:rPr>
          <w:rFonts w:ascii="Arial" w:cs="Arial" w:eastAsia="Arial" w:hAnsi="Arial"/>
          <w:color w:val="1A1410"/>
          <w:sz w:val="22"/>
          <w:szCs w:val="22"/>
        </w:rPr>
        <w:t xml:space="preserve">Local NGO share rose from 22.8% (2016) to 34% (2021) — the bright spot, and a model worth amplifying.</w:t>
      </w:r>
    </w:p>
    <w:p>
      <w:pPr>
        <w:pStyle w:val="ListParagraph"/>
        <w:numPr>
          <w:ilvl w:val="0"/>
          <w:numId w:val="2"/>
        </w:numPr>
        <w:spacing w:after="60" w:before="30" w:line="280"/>
      </w:pPr>
      <w:r>
        <w:rPr>
          <w:rFonts w:ascii="Arial" w:cs="Arial" w:eastAsia="Arial" w:hAnsi="Arial"/>
          <w:b/>
          <w:bCs/>
          <w:color w:val="1A1410"/>
          <w:sz w:val="22"/>
          <w:szCs w:val="22"/>
        </w:rPr>
        <w:t xml:space="preserve">USAID 2022 progress report: </w:t>
      </w:r>
      <w:r>
        <w:rPr>
          <w:rFonts w:ascii="Arial" w:cs="Arial" w:eastAsia="Arial" w:hAnsi="Arial"/>
          <w:color w:val="1A1410"/>
          <w:sz w:val="22"/>
          <w:szCs w:val="22"/>
        </w:rPr>
        <w:t xml:space="preserve">10.2% to local actors using loose definition, 6% using strict definition.</w:t>
      </w:r>
    </w:p>
    <w:p>
      <w:pPr>
        <w:spacing w:after="80" w:before="60" w:line="300"/>
        <w:jc w:val="left"/>
      </w:pPr>
      <w:r>
        <w:rPr>
          <w:rFonts w:ascii="Arial" w:cs="Arial" w:eastAsia="Arial" w:hAnsi="Arial"/>
          <w:i/>
          <w:iCs/>
          <w:color w:val="6B6660"/>
          <w:sz w:val="18"/>
          <w:szCs w:val="18"/>
        </w:rPr>
        <w:t xml:space="preserve">Sources: ALNAP GHA 2025 (alnap.org/help-library/resources/global-humanitarian-assistance-gha-report-2025/); ReliefWeb localization analysis; IASC Grand Bargain Localisation Workstream; OCHA Localization page.</w:t>
      </w:r>
    </w:p>
    <w:p>
      <w:pPr>
        <w:spacing w:after="80" w:before="60" w:line="300"/>
        <w:jc w:val="left"/>
      </w:pPr>
      <w:r>
        <w:rPr>
          <w:rFonts w:ascii="Arial" w:cs="Arial" w:eastAsia="Arial" w:hAnsi="Arial"/>
          <w:color w:val="1A1410"/>
          <w:sz w:val="22"/>
          <w:szCs w:val="22"/>
        </w:rPr>
        <w:t xml:space="preserve">The gap between 0.6% (direct, GB signatories) and 7.5% (direct + indirect, total humanitarian) and 25% (the target) reflects what the sector itself describes as a binding infrastructure constraint: local NGOs cannot be funded directly at scale because the operational tooling does not exist to make it work. That is the gap Kuja Grant fills.</w:t>
      </w:r>
    </w:p>
    <w:p>
      <w:pPr>
        <w:pStyle w:val="Heading2"/>
        <w:spacing w:after="140" w:before="280"/>
      </w:pPr>
      <w:r>
        <w:rPr>
          <w:rFonts w:ascii="Arial" w:cs="Arial" w:eastAsia="Arial" w:hAnsi="Arial"/>
          <w:b/>
          <w:bCs/>
          <w:color w:val="7C2D12"/>
          <w:sz w:val="28"/>
          <w:szCs w:val="28"/>
        </w:rPr>
        <w:t xml:space="preserve">3.3 The accessibility crisis for Global South NGOs</w:t>
      </w:r>
    </w:p>
    <w:p>
      <w:pPr>
        <w:spacing w:after="80" w:before="60" w:line="300"/>
        <w:jc w:val="left"/>
      </w:pPr>
      <w:r>
        <w:rPr>
          <w:rFonts w:ascii="Arial" w:cs="Arial" w:eastAsia="Arial" w:hAnsi="Arial"/>
          <w:color w:val="1A1410"/>
          <w:sz w:val="22"/>
          <w:szCs w:val="22"/>
        </w:rPr>
        <w:t xml:space="preserve">A Kenyan NGO field officer wants to file a grant report. The grant agreement is in English. The donor portal is in English. The required indicators reference frameworks that assume a Western M&amp;E vocabulary. The submission window expects a desktop browser. The compliance language is unfamiliar. The reviewer will be in London or Geneva.</w:t>
      </w:r>
    </w:p>
    <w:p>
      <w:pPr>
        <w:spacing w:after="80" w:before="60" w:line="300"/>
        <w:jc w:val="left"/>
      </w:pPr>
      <w:r>
        <w:rPr>
          <w:rFonts w:ascii="Arial" w:cs="Arial" w:eastAsia="Arial" w:hAnsi="Arial"/>
          <w:color w:val="1A1410"/>
          <w:sz w:val="22"/>
          <w:szCs w:val="22"/>
        </w:rPr>
        <w:t xml:space="preserve">This is not an edge case. It is the default experience. Section 7 of this analysis documents the accessibility moat in full. The short version:</w:t>
      </w:r>
    </w:p>
    <w:p>
      <w:pPr>
        <w:pStyle w:val="ListParagraph"/>
        <w:numPr>
          <w:ilvl w:val="0"/>
          <w:numId w:val="2"/>
        </w:numPr>
        <w:spacing w:after="60" w:before="30" w:line="280"/>
      </w:pPr>
      <w:r>
        <w:rPr>
          <w:rFonts w:ascii="Arial" w:cs="Arial" w:eastAsia="Arial" w:hAnsi="Arial"/>
          <w:b/>
          <w:bCs/>
          <w:color w:val="1A1410"/>
          <w:sz w:val="22"/>
          <w:szCs w:val="22"/>
        </w:rPr>
        <w:t xml:space="preserve">Language. </w:t>
      </w:r>
      <w:r>
        <w:rPr>
          <w:rFonts w:ascii="Arial" w:cs="Arial" w:eastAsia="Arial" w:hAnsi="Arial"/>
          <w:color w:val="1A1410"/>
          <w:sz w:val="22"/>
          <w:szCs w:val="22"/>
        </w:rPr>
        <w:t xml:space="preserve">Of the seven incumbent GMS vendors, Foundant ships English-only documented. Salesforce supports Arabic and French at the platform level but not Somali. SmartSimple offers translation via OpenAI. Submittable offers 50 UI languages including Kiswahili and Soomaaliga — but only at button-and-menu level; forms, emails, and reviewer comments are not translated, and Arabic RTL is acknowledged as incomplete.</w:t>
      </w:r>
    </w:p>
    <w:p>
      <w:pPr>
        <w:pStyle w:val="ListParagraph"/>
        <w:numPr>
          <w:ilvl w:val="0"/>
          <w:numId w:val="2"/>
        </w:numPr>
        <w:spacing w:after="60" w:before="30" w:line="280"/>
      </w:pPr>
      <w:r>
        <w:rPr>
          <w:rFonts w:ascii="Arial" w:cs="Arial" w:eastAsia="Arial" w:hAnsi="Arial"/>
          <w:b/>
          <w:bCs/>
          <w:color w:val="1A1410"/>
          <w:sz w:val="22"/>
          <w:szCs w:val="22"/>
        </w:rPr>
        <w:t xml:space="preserve">Channel. </w:t>
      </w:r>
      <w:r>
        <w:rPr>
          <w:rFonts w:ascii="Arial" w:cs="Arial" w:eastAsia="Arial" w:hAnsi="Arial"/>
          <w:color w:val="1A1410"/>
          <w:sz w:val="22"/>
          <w:szCs w:val="22"/>
        </w:rPr>
        <w:t xml:space="preserve">No GMS vendor ships native WhatsApp Business API. Salesforce supports it through Service Cloud add-ons, not through the Grants Management workflow. The two mature WhatsApp-for-NGO middleware platforms — Glific (India) and Turn.io (Cape Town) — do not do grant management.</w:t>
      </w:r>
    </w:p>
    <w:p>
      <w:pPr>
        <w:pStyle w:val="ListParagraph"/>
        <w:numPr>
          <w:ilvl w:val="0"/>
          <w:numId w:val="2"/>
        </w:numPr>
        <w:spacing w:after="60" w:before="30" w:line="280"/>
      </w:pPr>
      <w:r>
        <w:rPr>
          <w:rFonts w:ascii="Arial" w:cs="Arial" w:eastAsia="Arial" w:hAnsi="Arial"/>
          <w:b/>
          <w:bCs/>
          <w:color w:val="1A1410"/>
          <w:sz w:val="22"/>
          <w:szCs w:val="22"/>
        </w:rPr>
        <w:t xml:space="preserve">Voice and literacy. </w:t>
      </w:r>
      <w:r>
        <w:rPr>
          <w:rFonts w:ascii="Arial" w:cs="Arial" w:eastAsia="Arial" w:hAnsi="Arial"/>
          <w:color w:val="1A1410"/>
          <w:sz w:val="22"/>
          <w:szCs w:val="22"/>
        </w:rPr>
        <w:t xml:space="preserve">Voice-to-text exists in M&amp;E (KoboToolbox + CLEAR Global, 80 languages via Google Cloud). It does not exist in any GMS.</w:t>
      </w:r>
    </w:p>
    <w:p>
      <w:pPr>
        <w:pStyle w:val="ListParagraph"/>
        <w:numPr>
          <w:ilvl w:val="0"/>
          <w:numId w:val="2"/>
        </w:numPr>
        <w:spacing w:after="60" w:before="30" w:line="280"/>
      </w:pPr>
      <w:r>
        <w:rPr>
          <w:rFonts w:ascii="Arial" w:cs="Arial" w:eastAsia="Arial" w:hAnsi="Arial"/>
          <w:b/>
          <w:bCs/>
          <w:color w:val="1A1410"/>
          <w:sz w:val="22"/>
          <w:szCs w:val="22"/>
        </w:rPr>
        <w:t xml:space="preserve">Photo evidence. </w:t>
      </w:r>
      <w:r>
        <w:rPr>
          <w:rFonts w:ascii="Arial" w:cs="Arial" w:eastAsia="Arial" w:hAnsi="Arial"/>
          <w:color w:val="1A1410"/>
          <w:sz w:val="22"/>
          <w:szCs w:val="22"/>
        </w:rPr>
        <w:t xml:space="preserve">AI-labeled photo evidence as a grant compliance artifact is not documented in any NGO or GMS tool. Blackbaud Financial Edge NXT Document Intelligence extracts data from invoice photos — for finance, not for grant impact evidence.</w:t>
      </w:r>
    </w:p>
    <w:p>
      <w:pPr>
        <w:pStyle w:val="ListParagraph"/>
        <w:numPr>
          <w:ilvl w:val="0"/>
          <w:numId w:val="2"/>
        </w:numPr>
        <w:spacing w:after="60" w:before="30" w:line="280"/>
      </w:pPr>
      <w:r>
        <w:rPr>
          <w:rFonts w:ascii="Arial" w:cs="Arial" w:eastAsia="Arial" w:hAnsi="Arial"/>
          <w:b/>
          <w:bCs/>
          <w:color w:val="1A1410"/>
          <w:sz w:val="22"/>
          <w:szCs w:val="22"/>
        </w:rPr>
        <w:t xml:space="preserve">Mobile and bandwidth. </w:t>
      </w:r>
      <w:r>
        <w:rPr>
          <w:rFonts w:ascii="Arial" w:cs="Arial" w:eastAsia="Arial" w:hAnsi="Arial"/>
          <w:color w:val="1A1410"/>
          <w:sz w:val="22"/>
          <w:szCs w:val="22"/>
        </w:rPr>
        <w:t xml:space="preserve">Established in M&amp;E (CommCare 700K users in 80+ countries, KoboToolbox, SurveyCTO, DHIS2). Absent in GMS — incumbents are responsive web at best, not offline-first.</w:t>
      </w:r>
    </w:p>
    <w:p>
      <w:pPr>
        <w:spacing w:after="80" w:before="60" w:line="300"/>
        <w:jc w:val="left"/>
      </w:pPr>
      <w:r>
        <w:rPr>
          <w:rFonts w:ascii="Arial" w:cs="Arial" w:eastAsia="Arial" w:hAnsi="Arial"/>
          <w:color w:val="1A1410"/>
          <w:sz w:val="22"/>
          <w:szCs w:val="22"/>
        </w:rPr>
        <w:t xml:space="preserve">The combination — a system that does grant lifecycle AND ships the M&amp;E-grade field accessibility tooling — does not exist outside Kuja Grant.</w:t>
      </w:r>
    </w:p>
    <w:p>
      <w:pPr>
        <w:pStyle w:val="Heading2"/>
        <w:spacing w:after="140" w:before="280"/>
      </w:pPr>
      <w:r>
        <w:rPr>
          <w:rFonts w:ascii="Arial" w:cs="Arial" w:eastAsia="Arial" w:hAnsi="Arial"/>
          <w:b/>
          <w:bCs/>
          <w:color w:val="7C2D12"/>
          <w:sz w:val="28"/>
          <w:szCs w:val="28"/>
        </w:rPr>
        <w:t xml:space="preserve">3.4 The AI adoption gap — 92% adoption, 7% impact</w:t>
      </w:r>
    </w:p>
    <w:p>
      <w:pPr>
        <w:spacing w:after="80" w:before="60" w:line="300"/>
        <w:jc w:val="left"/>
      </w:pPr>
      <w:r>
        <w:rPr>
          <w:rFonts w:ascii="Arial" w:cs="Arial" w:eastAsia="Arial" w:hAnsi="Arial"/>
          <w:color w:val="1A1410"/>
          <w:sz w:val="22"/>
          <w:szCs w:val="22"/>
        </w:rPr>
        <w:t xml:space="preserve">The Virtuous + Fundraising.AI 2026 Nonprofit AI Adoption Report (n=346) crystallizes the gap:</w:t>
      </w:r>
    </w:p>
    <w:p>
      <w:pPr>
        <w:pStyle w:val="ListParagraph"/>
        <w:numPr>
          <w:ilvl w:val="0"/>
          <w:numId w:val="2"/>
        </w:numPr>
        <w:spacing w:after="60" w:before="30" w:line="280"/>
      </w:pPr>
      <w:r>
        <w:rPr>
          <w:rFonts w:ascii="Arial" w:cs="Arial" w:eastAsia="Arial" w:hAnsi="Arial"/>
          <w:b/>
          <w:bCs/>
          <w:color w:val="1A1410"/>
          <w:sz w:val="22"/>
          <w:szCs w:val="22"/>
        </w:rPr>
        <w:t xml:space="preserve">92% of nonprofits have adopted AI tools. </w:t>
      </w:r>
    </w:p>
    <w:p>
      <w:pPr>
        <w:pStyle w:val="ListParagraph"/>
        <w:numPr>
          <w:ilvl w:val="0"/>
          <w:numId w:val="2"/>
        </w:numPr>
        <w:spacing w:after="60" w:before="30" w:line="280"/>
      </w:pPr>
      <w:r>
        <w:rPr>
          <w:rFonts w:ascii="Arial" w:cs="Arial" w:eastAsia="Arial" w:hAnsi="Arial"/>
          <w:b/>
          <w:bCs/>
          <w:color w:val="1A1410"/>
          <w:sz w:val="22"/>
          <w:szCs w:val="22"/>
        </w:rPr>
        <w:t xml:space="preserve">Only 7% report it has "actually expanded what their team can accomplish."</w:t>
      </w:r>
    </w:p>
    <w:p>
      <w:pPr>
        <w:pStyle w:val="ListParagraph"/>
        <w:numPr>
          <w:ilvl w:val="0"/>
          <w:numId w:val="2"/>
        </w:numPr>
        <w:spacing w:after="60" w:before="30" w:line="280"/>
      </w:pPr>
      <w:r>
        <w:rPr>
          <w:rFonts w:ascii="Arial" w:cs="Arial" w:eastAsia="Arial" w:hAnsi="Arial"/>
          <w:b/>
          <w:bCs/>
          <w:color w:val="1A1410"/>
          <w:sz w:val="22"/>
          <w:szCs w:val="22"/>
        </w:rPr>
        <w:t xml:space="preserve">79% report small-to-moderate efficiency gains. </w:t>
      </w:r>
    </w:p>
    <w:p>
      <w:pPr>
        <w:pStyle w:val="ListParagraph"/>
        <w:numPr>
          <w:ilvl w:val="0"/>
          <w:numId w:val="2"/>
        </w:numPr>
        <w:spacing w:after="60" w:before="30" w:line="280"/>
      </w:pPr>
      <w:r>
        <w:rPr>
          <w:rFonts w:ascii="Arial" w:cs="Arial" w:eastAsia="Arial" w:hAnsi="Arial"/>
          <w:b/>
          <w:bCs/>
          <w:color w:val="1A1410"/>
          <w:sz w:val="22"/>
          <w:szCs w:val="22"/>
        </w:rPr>
        <w:t xml:space="preserve">81% use AI individually without shared workflows.</w:t>
      </w:r>
    </w:p>
    <w:p>
      <w:pPr>
        <w:pStyle w:val="ListParagraph"/>
        <w:numPr>
          <w:ilvl w:val="0"/>
          <w:numId w:val="2"/>
        </w:numPr>
        <w:spacing w:after="60" w:before="30" w:line="280"/>
      </w:pPr>
      <w:r>
        <w:rPr>
          <w:rFonts w:ascii="Arial" w:cs="Arial" w:eastAsia="Arial" w:hAnsi="Arial"/>
          <w:b/>
          <w:bCs/>
          <w:color w:val="1A1410"/>
          <w:sz w:val="22"/>
          <w:szCs w:val="22"/>
        </w:rPr>
        <w:t xml:space="preserve">47% have no AI governance policy.</w:t>
      </w:r>
    </w:p>
    <w:p>
      <w:pPr>
        <w:pStyle w:val="ListParagraph"/>
        <w:numPr>
          <w:ilvl w:val="0"/>
          <w:numId w:val="2"/>
        </w:numPr>
        <w:spacing w:after="60" w:before="30" w:line="280"/>
      </w:pPr>
      <w:r>
        <w:rPr>
          <w:rFonts w:ascii="Arial" w:cs="Arial" w:eastAsia="Arial" w:hAnsi="Arial"/>
          <w:b/>
          <w:bCs/>
          <w:color w:val="1A1410"/>
          <w:sz w:val="22"/>
          <w:szCs w:val="22"/>
        </w:rPr>
        <w:t xml:space="preserve">65% describe their use as "reactive and individual."</w:t>
      </w:r>
    </w:p>
    <w:p>
      <w:pPr>
        <w:pStyle w:val="ListParagraph"/>
        <w:numPr>
          <w:ilvl w:val="0"/>
          <w:numId w:val="2"/>
        </w:numPr>
        <w:spacing w:after="60" w:before="30" w:line="280"/>
      </w:pPr>
      <w:r>
        <w:rPr>
          <w:rFonts w:ascii="Arial" w:cs="Arial" w:eastAsia="Arial" w:hAnsi="Arial"/>
          <w:b/>
          <w:bCs/>
          <w:color w:val="1A1410"/>
          <w:sz w:val="22"/>
          <w:szCs w:val="22"/>
        </w:rPr>
        <w:t xml:space="preserve">Only 4% have documented, repeatable AI workflows.</w:t>
      </w:r>
    </w:p>
    <w:p>
      <w:pPr>
        <w:spacing w:after="80" w:before="60" w:line="300"/>
        <w:jc w:val="left"/>
      </w:pPr>
      <w:r>
        <w:rPr>
          <w:rFonts w:ascii="Arial" w:cs="Arial" w:eastAsia="Arial" w:hAnsi="Arial"/>
          <w:i/>
          <w:iCs/>
          <w:color w:val="6B6660"/>
          <w:sz w:val="18"/>
          <w:szCs w:val="18"/>
        </w:rPr>
        <w:t xml:space="preserve">Source: Virtuous + Fundraising.AI, "The 2026 Nonprofit AI Adoption Report," February 2026. URL: https://virtuous.org/resource/the-2026-nonprofit-ai-adoption-report-download/</w:t>
      </w:r>
    </w:p>
    <w:p>
      <w:pPr>
        <w:spacing w:after="80" w:before="60" w:line="300"/>
        <w:jc w:val="left"/>
      </w:pPr>
      <w:r>
        <w:rPr>
          <w:rFonts w:ascii="Arial" w:cs="Arial" w:eastAsia="Arial" w:hAnsi="Arial"/>
          <w:color w:val="1A1410"/>
          <w:sz w:val="22"/>
          <w:szCs w:val="22"/>
        </w:rPr>
        <w:t xml:space="preserve">The Candid AI Equity Project 2025 corroborates the gap on the policy side: 35% of nonprofits adopting AI tools have a responsible-AI policy, versus 69% of nonprofits building AI solutions. Salesforce's 6th Nonprofit Trends Report (December 2025) reports that "more than half" of nonprofits are piloting or actively using AI tools — a sharp increase versus prior years.</w:t>
      </w:r>
    </w:p>
    <w:p>
      <w:pPr>
        <w:spacing w:after="80" w:before="60" w:line="300"/>
        <w:jc w:val="left"/>
      </w:pPr>
      <w:r>
        <w:rPr>
          <w:rFonts w:ascii="Arial" w:cs="Arial" w:eastAsia="Arial" w:hAnsi="Arial"/>
          <w:color w:val="1A1410"/>
          <w:sz w:val="22"/>
          <w:szCs w:val="22"/>
        </w:rPr>
        <w:t xml:space="preserve">The implication for incumbent GMS vendors: they have responded by bolting LLM features onto data models built before the AI era. The implication for Kuja Grant: built AI-native, with 35+ surfaces in production today, grounded and citable — the architectural design that the incumbents would have to rewrite their schema to match.</w:t>
      </w:r>
    </w:p>
    <w:p>
      <w:pPr>
        <w:pStyle w:val="Heading1"/>
        <w:pageBreakBefore/>
        <w:spacing w:after="200" w:before="320"/>
      </w:pPr>
      <w:r>
        <w:rPr>
          <w:rFonts w:ascii="Arial" w:cs="Arial" w:eastAsia="Arial" w:hAnsi="Arial"/>
          <w:b/>
          <w:bCs/>
          <w:color w:val="C2410C"/>
          <w:sz w:val="36"/>
          <w:szCs w:val="36"/>
        </w:rPr>
        <w:t xml:space="preserve">4. Market Sizing</w:t>
      </w:r>
    </w:p>
    <w:p>
      <w:pPr>
        <w:spacing w:after="80" w:before="60" w:line="300"/>
        <w:jc w:val="left"/>
      </w:pPr>
      <w:r>
        <w:rPr>
          <w:rFonts w:ascii="Arial" w:cs="Arial" w:eastAsia="Arial" w:hAnsi="Arial"/>
          <w:color w:val="1A1410"/>
          <w:sz w:val="22"/>
          <w:szCs w:val="22"/>
        </w:rPr>
        <w:t xml:space="preserve">Three numbers anchor the sizing exercise: the grant management software TAM (the addressable spend), the NGO universe (the unit that buys or is sponsored), and the revenue ceiling under Kuja Grant pricing.</w:t>
      </w:r>
    </w:p>
    <w:p>
      <w:pPr>
        <w:pStyle w:val="Heading2"/>
        <w:spacing w:after="140" w:before="280"/>
      </w:pPr>
      <w:r>
        <w:rPr>
          <w:rFonts w:ascii="Arial" w:cs="Arial" w:eastAsia="Arial" w:hAnsi="Arial"/>
          <w:b/>
          <w:bCs/>
          <w:color w:val="7C2D12"/>
          <w:sz w:val="28"/>
          <w:szCs w:val="28"/>
        </w:rPr>
        <w:t xml:space="preserve">4.1 Grant management software TAM</w:t>
      </w:r>
    </w:p>
    <w:p>
      <w:pPr>
        <w:spacing w:after="80" w:before="60" w:line="300"/>
        <w:jc w:val="left"/>
      </w:pPr>
      <w:r>
        <w:rPr>
          <w:rFonts w:ascii="Arial" w:cs="Arial" w:eastAsia="Arial" w:hAnsi="Arial"/>
          <w:color w:val="1A1410"/>
          <w:sz w:val="22"/>
          <w:szCs w:val="22"/>
        </w:rPr>
        <w:t xml:space="preserve">Three independent research firms have cluster forecasts that broadly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2025 market</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2030 forecast</w:t>
            </w:r>
          </w:p>
        </w:tc>
        <w:tc>
          <w:tcPr>
            <w:tcW w:type="dxa" w:w="3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Method note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Mordor Intelligence</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2.56B</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4.23B (10.57% CAGR)</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North America = 45.12% of 2024 revenue. Authoritative methodology page published.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Grand View Research</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2.88B (2025 est.)</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6.19B by 2033 (10.0% CAGR 25-33)</w:t>
            </w:r>
          </w:p>
        </w:tc>
        <w:tc>
          <w:tcPr>
            <w:tcW w:type="dxa" w:w="3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Major firm; methodology consistent with sister forecasts.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Precedence Research</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3.38B (2026 est.)</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8.09B by 2035</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Mid-tier; useful third data point.</w:t>
            </w:r>
          </w:p>
        </w:tc>
      </w:tr>
    </w:tbl>
    <w:p>
      <w:pPr>
        <w:spacing w:after="80" w:before="60" w:line="300"/>
        <w:jc w:val="left"/>
      </w:pPr>
      <w:r>
        <w:rPr>
          <w:rFonts w:ascii="Arial" w:cs="Arial" w:eastAsia="Arial" w:hAnsi="Arial"/>
          <w:i/>
          <w:iCs/>
          <w:color w:val="6B6660"/>
          <w:sz w:val="18"/>
          <w:szCs w:val="18"/>
        </w:rPr>
        <w:t xml:space="preserve">Sources: Mordor Intelligence (https://www.mordorintelligence.com/industry-reports/grant-management-software-market); Grand View Research; Precedence Research.</w:t>
      </w:r>
    </w:p>
    <w:p>
      <w:pPr>
        <w:spacing w:after="80" w:before="60" w:line="300"/>
        <w:jc w:val="left"/>
      </w:pPr>
      <w:r>
        <w:rPr>
          <w:rFonts w:ascii="Arial" w:cs="Arial" w:eastAsia="Arial" w:hAnsi="Arial"/>
          <w:color w:val="1A1410"/>
          <w:sz w:val="22"/>
          <w:szCs w:val="22"/>
        </w:rPr>
        <w:t xml:space="preserve">Convergent reading: a USD 2.5B-2.9B 2025 market growing at ~10-12% CAGR. North America is roughly 45%. Global South geography is the structurally underserved tier — the figures all reflect the incumbent vendor footprint, which is 80%+ US/Canada/UK.</w:t>
      </w:r>
    </w:p>
    <w:p>
      <w:pPr>
        <w:pStyle w:val="Heading2"/>
        <w:spacing w:after="140" w:before="280"/>
      </w:pPr>
      <w:r>
        <w:rPr>
          <w:rFonts w:ascii="Arial" w:cs="Arial" w:eastAsia="Arial" w:hAnsi="Arial"/>
          <w:b/>
          <w:bCs/>
          <w:color w:val="7C2D12"/>
          <w:sz w:val="28"/>
          <w:szCs w:val="28"/>
        </w:rPr>
        <w:t xml:space="preserve">4.2 The NGO universe — verified counts</w:t>
      </w:r>
    </w:p>
    <w:p>
      <w:pPr>
        <w:spacing w:after="80" w:before="60" w:line="300"/>
        <w:jc w:val="left"/>
      </w:pPr>
      <w:r>
        <w:rPr>
          <w:rFonts w:ascii="Arial" w:cs="Arial" w:eastAsia="Arial" w:hAnsi="Arial"/>
          <w:color w:val="1A1410"/>
          <w:sz w:val="22"/>
          <w:szCs w:val="22"/>
        </w:rPr>
        <w:t xml:space="preserve">No single authoritative figure exists for "Global NGO population." Verified country and region figures from official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Geography</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Count</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 + caveat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United States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~1.8 million 501(c) tax-exempt orgs</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Candid + IRS SOI Tax Stats. Headline includes private foundations and all 501(c) subtypes. Specific Form 990-filer count requires IRS SOI Tax Stats; not all file 990.</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Brazil</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897,054 active CSOs (2024)</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IPEA Mapa das OSCs, latest release. 79% are private associations; ~30% religious. Government statistical body; authoritative. (ipea.gov.br; mapaosc.ipea.gov.br)</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India</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~187,000 NGOs on Darpan (2023)</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Darpan / NITI Aayog. Authoritative for registered VOs. Higher unverified figures circulate; do not cite.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United Kingdom</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~210,000 (Charity Commission, ENW)</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Charity Commission for England and Wales; separate registers for Scotland and Northern Ireland.</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Kenya</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~13,500 NGOs (NGOs Coordination Board)</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Government registry; mid-size NGO band (~$1M-$50M annual revenue) is a small fraction.</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South Africa</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~280,000 NPOs (Department of Social Development)</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Department of Social Development NPO register; mostly small.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Africa-wide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No authoritative figure</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African Union CSO Division still building its database. UN OSAA NGO Database lists Africa-active CSOs without continent total. Country-level proxies must be used.</w:t>
            </w:r>
          </w:p>
        </w:tc>
      </w:tr>
    </w:tbl>
    <w:p>
      <w:pPr>
        <w:spacing w:after="80" w:before="60" w:line="300"/>
        <w:jc w:val="left"/>
      </w:pPr>
      <w:r>
        <w:rPr>
          <w:rFonts w:ascii="Arial" w:cs="Arial" w:eastAsia="Arial" w:hAnsi="Arial"/>
          <w:color w:val="1A1410"/>
          <w:sz w:val="22"/>
          <w:szCs w:val="22"/>
        </w:rPr>
        <w:t xml:space="preserve">A defensible mid-size NGO band globally — annual revenue USD 1M-50M, operational complexity that justifies grant management software, and active funding relationships with donors — is 150,000-300,000 organizations. This aligns with the band identified in the Kuja Elevate Market Analysis and used across the strategy.</w:t>
      </w:r>
    </w:p>
    <w:p>
      <w:pPr>
        <w:pStyle w:val="Heading2"/>
        <w:spacing w:after="140" w:before="280"/>
      </w:pPr>
      <w:r>
        <w:rPr>
          <w:rFonts w:ascii="Arial" w:cs="Arial" w:eastAsia="Arial" w:hAnsi="Arial"/>
          <w:b/>
          <w:bCs/>
          <w:color w:val="7C2D12"/>
          <w:sz w:val="28"/>
          <w:szCs w:val="28"/>
        </w:rPr>
        <w:t xml:space="preserve">4.3 Kuja Grant SAM by flavor</w:t>
      </w:r>
    </w:p>
    <w:p>
      <w:pPr>
        <w:spacing w:after="80" w:before="60" w:line="300"/>
        <w:jc w:val="left"/>
      </w:pPr>
      <w:r>
        <w:rPr>
          <w:rFonts w:ascii="Arial" w:cs="Arial" w:eastAsia="Arial" w:hAnsi="Arial"/>
          <w:color w:val="1A1410"/>
          <w:sz w:val="22"/>
          <w:szCs w:val="22"/>
        </w:rPr>
        <w:t xml:space="preserve">Kuja Grant's sellable flavors target different units, and the serviceable addressable market is computed differently for each. (Flavor 3, the Crisis-Context Fund, is Adeso-operated proof rather than a separately sized SAM today — its commercial value flows through the credibility of the other two motions and future crisis-fund partnerships.)</w:t>
      </w:r>
    </w:p>
    <w:p>
      <w:pPr>
        <w:pStyle w:val="Heading3"/>
        <w:spacing w:after="100" w:before="220"/>
      </w:pPr>
      <w:r>
        <w:rPr>
          <w:rFonts w:ascii="Arial" w:cs="Arial" w:eastAsia="Arial" w:hAnsi="Arial"/>
          <w:b/>
          <w:bCs/>
          <w:color w:val="1A1410"/>
          <w:sz w:val="24"/>
          <w:szCs w:val="24"/>
        </w:rPr>
        <w:t xml:space="preserve">4.3.1 Closed Network flavor SAM</w:t>
      </w:r>
    </w:p>
    <w:p>
      <w:pPr>
        <w:spacing w:after="80" w:before="60" w:line="300"/>
        <w:jc w:val="left"/>
      </w:pPr>
      <w:r>
        <w:rPr>
          <w:rFonts w:ascii="Arial" w:cs="Arial" w:eastAsia="Arial" w:hAnsi="Arial"/>
          <w:color w:val="1A1410"/>
          <w:sz w:val="22"/>
          <w:szCs w:val="22"/>
        </w:rPr>
        <w:t xml:space="preserve">The buyer unit is the network secretariat, not the individual NGO. Networks vary from 5-member affiliations to NEAR-scale networks of 60+ members.</w:t>
      </w:r>
    </w:p>
    <w:p>
      <w:pPr>
        <w:pStyle w:val="ListParagraph"/>
        <w:numPr>
          <w:ilvl w:val="0"/>
          <w:numId w:val="2"/>
        </w:numPr>
        <w:spacing w:after="60" w:before="30" w:line="280"/>
      </w:pPr>
      <w:r>
        <w:rPr>
          <w:rFonts w:ascii="Arial" w:cs="Arial" w:eastAsia="Arial" w:hAnsi="Arial"/>
          <w:b/>
          <w:bCs/>
          <w:color w:val="1A1410"/>
          <w:sz w:val="22"/>
          <w:szCs w:val="22"/>
        </w:rPr>
        <w:t xml:space="preserve">Identified network candidates: </w:t>
      </w:r>
      <w:r>
        <w:rPr>
          <w:rFonts w:ascii="Arial" w:cs="Arial" w:eastAsia="Arial" w:hAnsi="Arial"/>
          <w:color w:val="1A1410"/>
          <w:sz w:val="22"/>
          <w:szCs w:val="22"/>
        </w:rPr>
        <w:t xml:space="preserve">NEAR (lead pilot prospect), regional CSO coalitions in Africa, Asia, and MENA, INGO federations, faith-based donor networks. A conservative count of addressable networks globally is 150-400.</w:t>
      </w:r>
    </w:p>
    <w:p>
      <w:pPr>
        <w:pStyle w:val="ListParagraph"/>
        <w:numPr>
          <w:ilvl w:val="0"/>
          <w:numId w:val="2"/>
        </w:numPr>
        <w:spacing w:after="60" w:before="30" w:line="280"/>
      </w:pPr>
      <w:r>
        <w:rPr>
          <w:rFonts w:ascii="Arial" w:cs="Arial" w:eastAsia="Arial" w:hAnsi="Arial"/>
          <w:b/>
          <w:bCs/>
          <w:color w:val="1A1410"/>
          <w:sz w:val="22"/>
          <w:szCs w:val="22"/>
        </w:rPr>
        <w:t xml:space="preserve">Average network size: </w:t>
      </w:r>
      <w:r>
        <w:rPr>
          <w:rFonts w:ascii="Arial" w:cs="Arial" w:eastAsia="Arial" w:hAnsi="Arial"/>
          <w:color w:val="1A1410"/>
          <w:sz w:val="22"/>
          <w:szCs w:val="22"/>
        </w:rPr>
        <w:t xml:space="preserve">15-40 member NGOs. NEAR is at the larger end (60+).</w:t>
      </w:r>
    </w:p>
    <w:p>
      <w:pPr>
        <w:pStyle w:val="ListParagraph"/>
        <w:numPr>
          <w:ilvl w:val="0"/>
          <w:numId w:val="2"/>
        </w:numPr>
        <w:spacing w:after="60" w:before="30" w:line="280"/>
      </w:pPr>
      <w:r>
        <w:rPr>
          <w:rFonts w:ascii="Arial" w:cs="Arial" w:eastAsia="Arial" w:hAnsi="Arial"/>
          <w:b/>
          <w:bCs/>
          <w:color w:val="1A1410"/>
          <w:sz w:val="22"/>
          <w:szCs w:val="22"/>
        </w:rPr>
        <w:t xml:space="preserve">Revenue per network: </w:t>
      </w:r>
      <w:r>
        <w:rPr>
          <w:rFonts w:ascii="Arial" w:cs="Arial" w:eastAsia="Arial" w:hAnsi="Arial"/>
          <w:color w:val="1A1410"/>
          <w:sz w:val="22"/>
          <w:szCs w:val="22"/>
        </w:rPr>
        <w:t xml:space="preserve">USD 80K-$250K Year 1 (network host fee + per-member seat). Steady-state ARR USD 60K-$200K.</w:t>
      </w:r>
    </w:p>
    <w:p>
      <w:pPr>
        <w:pStyle w:val="ListParagraph"/>
        <w:numPr>
          <w:ilvl w:val="0"/>
          <w:numId w:val="2"/>
        </w:numPr>
        <w:spacing w:after="60" w:before="30" w:line="280"/>
      </w:pPr>
      <w:r>
        <w:rPr>
          <w:rFonts w:ascii="Arial" w:cs="Arial" w:eastAsia="Arial" w:hAnsi="Arial"/>
          <w:b/>
          <w:bCs/>
          <w:color w:val="1A1410"/>
          <w:sz w:val="22"/>
          <w:szCs w:val="22"/>
        </w:rPr>
        <w:t xml:space="preserve">Closed Network SAM revenue ceiling: </w:t>
      </w:r>
      <w:r>
        <w:rPr>
          <w:rFonts w:ascii="Arial" w:cs="Arial" w:eastAsia="Arial" w:hAnsi="Arial"/>
          <w:color w:val="1A1410"/>
          <w:sz w:val="22"/>
          <w:szCs w:val="22"/>
        </w:rPr>
        <w:t xml:space="preserve">USD 12M-$80M ARR. Smaller than Direct Compliance but higher LTV per account, higher switching cost, and strategically critical for the localization narrative.</w:t>
      </w:r>
    </w:p>
    <w:p>
      <w:pPr>
        <w:pStyle w:val="Heading3"/>
        <w:spacing w:after="100" w:before="220"/>
      </w:pPr>
      <w:r>
        <w:rPr>
          <w:rFonts w:ascii="Arial" w:cs="Arial" w:eastAsia="Arial" w:hAnsi="Arial"/>
          <w:b/>
          <w:bCs/>
          <w:color w:val="1A1410"/>
          <w:sz w:val="24"/>
          <w:szCs w:val="24"/>
        </w:rPr>
        <w:t xml:space="preserve">4.3.2 Direct Compliance flavor SAM</w:t>
      </w:r>
    </w:p>
    <w:p>
      <w:pPr>
        <w:spacing w:after="80" w:before="60" w:line="300"/>
        <w:jc w:val="left"/>
      </w:pPr>
      <w:r>
        <w:rPr>
          <w:rFonts w:ascii="Arial" w:cs="Arial" w:eastAsia="Arial" w:hAnsi="Arial"/>
          <w:color w:val="1A1410"/>
          <w:sz w:val="22"/>
          <w:szCs w:val="22"/>
        </w:rPr>
        <w:t xml:space="preserve">The buyer unit is the donor tenant — foundation, bilateral, multilateral, or corporate giving program.</w:t>
      </w:r>
    </w:p>
    <w:p>
      <w:pPr>
        <w:pStyle w:val="ListParagraph"/>
        <w:numPr>
          <w:ilvl w:val="0"/>
          <w:numId w:val="2"/>
        </w:numPr>
        <w:spacing w:after="60" w:before="30" w:line="280"/>
      </w:pPr>
      <w:r>
        <w:rPr>
          <w:rFonts w:ascii="Arial" w:cs="Arial" w:eastAsia="Arial" w:hAnsi="Arial"/>
          <w:b/>
          <w:bCs/>
          <w:color w:val="1A1410"/>
          <w:sz w:val="22"/>
          <w:szCs w:val="22"/>
        </w:rPr>
        <w:t xml:space="preserve">Foundation tier: </w:t>
      </w:r>
      <w:r>
        <w:rPr>
          <w:rFonts w:ascii="Arial" w:cs="Arial" w:eastAsia="Arial" w:hAnsi="Arial"/>
          <w:color w:val="1A1410"/>
          <w:sz w:val="22"/>
          <w:szCs w:val="22"/>
        </w:rPr>
        <w:t xml:space="preserve">US private foundations alone number 100,000+. The addressable subset (foundations awarding 5+ grants per year, with budget for grant management software) is in the 15,000-40,000 range globally — verified by overlap with Foundant's 2,100 client count and SmartSimple's 327 tracked GMS360 customers.</w:t>
      </w:r>
    </w:p>
    <w:p>
      <w:pPr>
        <w:pStyle w:val="ListParagraph"/>
        <w:numPr>
          <w:ilvl w:val="0"/>
          <w:numId w:val="2"/>
        </w:numPr>
        <w:spacing w:after="60" w:before="30" w:line="280"/>
      </w:pPr>
      <w:r>
        <w:rPr>
          <w:rFonts w:ascii="Arial" w:cs="Arial" w:eastAsia="Arial" w:hAnsi="Arial"/>
          <w:b/>
          <w:bCs/>
          <w:color w:val="1A1410"/>
          <w:sz w:val="22"/>
          <w:szCs w:val="22"/>
        </w:rPr>
        <w:t xml:space="preserve">Bilateral / multilateral tier: </w:t>
      </w:r>
      <w:r>
        <w:rPr>
          <w:rFonts w:ascii="Arial" w:cs="Arial" w:eastAsia="Arial" w:hAnsi="Arial"/>
          <w:color w:val="1A1410"/>
          <w:sz w:val="22"/>
          <w:szCs w:val="22"/>
        </w:rPr>
        <w:t xml:space="preserve">Numbered in the hundreds — but each is a larger ACV ($50K-$150K/year tenant + sponsored grantee tenants).</w:t>
      </w:r>
    </w:p>
    <w:p>
      <w:pPr>
        <w:pStyle w:val="ListParagraph"/>
        <w:numPr>
          <w:ilvl w:val="0"/>
          <w:numId w:val="2"/>
        </w:numPr>
        <w:spacing w:after="60" w:before="30" w:line="280"/>
      </w:pPr>
      <w:r>
        <w:rPr>
          <w:rFonts w:ascii="Arial" w:cs="Arial" w:eastAsia="Arial" w:hAnsi="Arial"/>
          <w:b/>
          <w:bCs/>
          <w:color w:val="1A1410"/>
          <w:sz w:val="22"/>
          <w:szCs w:val="22"/>
        </w:rPr>
        <w:t xml:space="preserve">Corporate giving tier: </w:t>
      </w:r>
      <w:r>
        <w:rPr>
          <w:rFonts w:ascii="Arial" w:cs="Arial" w:eastAsia="Arial" w:hAnsi="Arial"/>
          <w:color w:val="1A1410"/>
          <w:sz w:val="22"/>
          <w:szCs w:val="22"/>
        </w:rPr>
        <w:t xml:space="preserve">Mid-to-large corporate giving programs. Addressable subset 2,000-8,000 globally.</w:t>
      </w:r>
    </w:p>
    <w:p>
      <w:pPr>
        <w:pStyle w:val="ListParagraph"/>
        <w:numPr>
          <w:ilvl w:val="0"/>
          <w:numId w:val="2"/>
        </w:numPr>
        <w:spacing w:after="60" w:before="30" w:line="280"/>
      </w:pPr>
      <w:r>
        <w:rPr>
          <w:rFonts w:ascii="Arial" w:cs="Arial" w:eastAsia="Arial" w:hAnsi="Arial"/>
          <w:b/>
          <w:bCs/>
          <w:color w:val="1A1410"/>
          <w:sz w:val="22"/>
          <w:szCs w:val="22"/>
        </w:rPr>
        <w:t xml:space="preserve">Direct Compliance SAM revenue ceiling: </w:t>
      </w:r>
      <w:r>
        <w:rPr>
          <w:rFonts w:ascii="Arial" w:cs="Arial" w:eastAsia="Arial" w:hAnsi="Arial"/>
          <w:color w:val="1A1410"/>
          <w:sz w:val="22"/>
          <w:szCs w:val="22"/>
        </w:rPr>
        <w:t xml:space="preserve">USD 400M-$2.5B ARR at Kuja Grant ACVs ($25K-$120K per donor tenant). This is the volume motion.</w:t>
      </w:r>
    </w:p>
    <w:p>
      <w:pPr>
        <w:pStyle w:val="Heading2"/>
        <w:spacing w:after="140" w:before="280"/>
      </w:pPr>
      <w:r>
        <w:rPr>
          <w:rFonts w:ascii="Arial" w:cs="Arial" w:eastAsia="Arial" w:hAnsi="Arial"/>
          <w:b/>
          <w:bCs/>
          <w:color w:val="7C2D12"/>
          <w:sz w:val="28"/>
          <w:szCs w:val="28"/>
        </w:rPr>
        <w:t xml:space="preserve">4.4 The path to $100M ARR</w:t>
      </w:r>
    </w:p>
    <w:p>
      <w:pPr>
        <w:spacing w:after="80" w:before="60" w:line="300"/>
        <w:jc w:val="left"/>
      </w:pPr>
      <w:r>
        <w:rPr>
          <w:rFonts w:ascii="Arial" w:cs="Arial" w:eastAsia="Arial" w:hAnsi="Arial"/>
          <w:color w:val="1A1410"/>
          <w:sz w:val="22"/>
          <w:szCs w:val="22"/>
        </w:rPr>
        <w:t xml:space="preserve">Combining the two sellable flavors and overlaying the ERP add-on attach rate:</w:t>
      </w:r>
    </w:p>
    <w:p>
      <w:pPr>
        <w:pStyle w:val="ListParagraph"/>
        <w:numPr>
          <w:ilvl w:val="0"/>
          <w:numId w:val="2"/>
        </w:numPr>
        <w:spacing w:after="60" w:before="30" w:line="280"/>
      </w:pPr>
      <w:r>
        <w:rPr>
          <w:rFonts w:ascii="Arial" w:cs="Arial" w:eastAsia="Arial" w:hAnsi="Arial"/>
          <w:b/>
          <w:bCs/>
          <w:color w:val="1A1410"/>
          <w:sz w:val="22"/>
          <w:szCs w:val="22"/>
        </w:rPr>
        <w:t xml:space="preserve">Closed Network: </w:t>
      </w:r>
      <w:r>
        <w:rPr>
          <w:rFonts w:ascii="Arial" w:cs="Arial" w:eastAsia="Arial" w:hAnsi="Arial"/>
          <w:color w:val="1A1410"/>
          <w:sz w:val="22"/>
          <w:szCs w:val="22"/>
        </w:rPr>
        <w:t xml:space="preserve">100 networks × $120K ACV = USD 12M ARR.</w:t>
      </w:r>
    </w:p>
    <w:p>
      <w:pPr>
        <w:pStyle w:val="ListParagraph"/>
        <w:numPr>
          <w:ilvl w:val="0"/>
          <w:numId w:val="2"/>
        </w:numPr>
        <w:spacing w:after="60" w:before="30" w:line="280"/>
      </w:pPr>
      <w:r>
        <w:rPr>
          <w:rFonts w:ascii="Arial" w:cs="Arial" w:eastAsia="Arial" w:hAnsi="Arial"/>
          <w:b/>
          <w:bCs/>
          <w:color w:val="1A1410"/>
          <w:sz w:val="22"/>
          <w:szCs w:val="22"/>
        </w:rPr>
        <w:t xml:space="preserve">Direct Compliance: </w:t>
      </w:r>
      <w:r>
        <w:rPr>
          <w:rFonts w:ascii="Arial" w:cs="Arial" w:eastAsia="Arial" w:hAnsi="Arial"/>
          <w:color w:val="1A1410"/>
          <w:sz w:val="22"/>
          <w:szCs w:val="22"/>
        </w:rPr>
        <w:t xml:space="preserve">2,500 donor tenants × $35K average ACV = USD 87.5M ARR.</w:t>
      </w:r>
    </w:p>
    <w:p>
      <w:pPr>
        <w:pStyle w:val="ListParagraph"/>
        <w:numPr>
          <w:ilvl w:val="0"/>
          <w:numId w:val="2"/>
        </w:numPr>
        <w:spacing w:after="60" w:before="30" w:line="280"/>
      </w:pPr>
      <w:r>
        <w:rPr>
          <w:rFonts w:ascii="Arial" w:cs="Arial" w:eastAsia="Arial" w:hAnsi="Arial"/>
          <w:b/>
          <w:bCs/>
          <w:color w:val="1A1410"/>
          <w:sz w:val="22"/>
          <w:szCs w:val="22"/>
        </w:rPr>
        <w:t xml:space="preserve">ERP add-on: </w:t>
      </w:r>
      <w:r>
        <w:rPr>
          <w:rFonts w:ascii="Arial" w:cs="Arial" w:eastAsia="Arial" w:hAnsi="Arial"/>
          <w:color w:val="1A1410"/>
          <w:sz w:val="22"/>
          <w:szCs w:val="22"/>
        </w:rPr>
        <w:t xml:space="preserve">20% attach × 2,500 = 500 × $25K = USD 12.5M ARR.</w:t>
      </w:r>
    </w:p>
    <w:p>
      <w:pPr>
        <w:pStyle w:val="ListParagraph"/>
        <w:numPr>
          <w:ilvl w:val="0"/>
          <w:numId w:val="2"/>
        </w:numPr>
        <w:spacing w:after="60" w:before="30" w:line="280"/>
      </w:pPr>
      <w:r>
        <w:rPr>
          <w:rFonts w:ascii="Arial" w:cs="Arial" w:eastAsia="Arial" w:hAnsi="Arial"/>
          <w:b/>
          <w:bCs/>
          <w:color w:val="1A1410"/>
          <w:sz w:val="22"/>
          <w:szCs w:val="22"/>
        </w:rPr>
        <w:t xml:space="preserve">Combined: </w:t>
      </w:r>
      <w:r>
        <w:rPr>
          <w:rFonts w:ascii="Arial" w:cs="Arial" w:eastAsia="Arial" w:hAnsi="Arial"/>
          <w:color w:val="1A1410"/>
          <w:sz w:val="22"/>
          <w:szCs w:val="22"/>
        </w:rPr>
        <w:t xml:space="preserve">USD 112M ARR. Captures &lt;1% of Direct Compliance SAM. Structural runway, not aspirational.</w:t>
      </w:r>
    </w:p>
    <w:p>
      <w:pPr>
        <w:pStyle w:val="Heading1"/>
        <w:pageBreakBefore/>
        <w:spacing w:after="200" w:before="320"/>
      </w:pPr>
      <w:r>
        <w:rPr>
          <w:rFonts w:ascii="Arial" w:cs="Arial" w:eastAsia="Arial" w:hAnsi="Arial"/>
          <w:b/>
          <w:bCs/>
          <w:color w:val="C2410C"/>
          <w:sz w:val="36"/>
          <w:szCs w:val="36"/>
        </w:rPr>
        <w:t xml:space="preserve">5. Competitive Landscape — Vendor by Vendor</w:t>
      </w:r>
    </w:p>
    <w:p>
      <w:pPr>
        <w:spacing w:after="80" w:before="60" w:line="300"/>
        <w:jc w:val="left"/>
      </w:pPr>
      <w:r>
        <w:rPr>
          <w:rFonts w:ascii="Arial" w:cs="Arial" w:eastAsia="Arial" w:hAnsi="Arial"/>
          <w:color w:val="1A1410"/>
          <w:sz w:val="22"/>
          <w:szCs w:val="22"/>
        </w:rPr>
        <w:t xml:space="preserve">Seven incumbent vendors are profiled in this section, ordered from mid-market to enterprise. Each profile draws on public pricing pages, vendor product documentation, G2 and Capterra reviews, and case studies. Where claims could not be verified, the profile notes "not documented" rather than asserting absence.</w:t>
      </w:r>
    </w:p>
    <w:p>
      <w:pPr>
        <w:spacing w:after="80" w:before="60" w:line="300"/>
        <w:jc w:val="left"/>
      </w:pPr>
      <w:r>
        <w:rPr>
          <w:rFonts w:ascii="Arial" w:cs="Arial" w:eastAsia="Arial" w:hAnsi="Arial"/>
          <w:color w:val="1A1410"/>
          <w:sz w:val="22"/>
          <w:szCs w:val="22"/>
        </w:rPr>
        <w:t xml:space="preserve">Important market structure note: Foundant Technologies acquired SmartSimple and now sells the two products side-by-side — Grant Lifecycle Manager (GLM) for small and mid-sized foundations, SmartSimple Cloud for the enterprise. Together they are profiled in 5.2 and 5.3.</w:t>
      </w:r>
    </w:p>
    <w:p>
      <w:pPr>
        <w:pStyle w:val="Heading2"/>
        <w:spacing w:after="140" w:before="280"/>
      </w:pPr>
      <w:r>
        <w:rPr>
          <w:rFonts w:ascii="Arial" w:cs="Arial" w:eastAsia="Arial" w:hAnsi="Arial"/>
          <w:b/>
          <w:bCs/>
          <w:color w:val="7C2D12"/>
          <w:sz w:val="28"/>
          <w:szCs w:val="28"/>
        </w:rPr>
        <w:t xml:space="preserve">5.1 Submittable</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Applicant-experience-led GMS for smaller and lighter grant cycles. Best-in-class applicant UX. US-centric.</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Public pricing not posted. Triangulated ranges: entry tier ~$399/month for up to 5 users (Plinth); programs under 500 submissions $5K-$8K/year; enterprise tier $20K-$40K+/year (SmartThoughts). ITQlick cites starting points around $10K/year. Multi-source consensus: custom quote model with steep tier jumps.</w:t>
      </w:r>
    </w:p>
    <w:p>
      <w:pPr>
        <w:spacing w:after="80" w:before="60" w:line="300"/>
        <w:jc w:val="left"/>
      </w:pPr>
      <w:r>
        <w:rPr>
          <w:rFonts w:ascii="Arial" w:cs="Arial" w:eastAsia="Arial" w:hAnsi="Arial"/>
          <w:b/>
          <w:bCs/>
          <w:color w:val="1A1410"/>
          <w:sz w:val="22"/>
          <w:szCs w:val="22"/>
        </w:rPr>
        <w:t xml:space="preserve">AI features: </w:t>
      </w:r>
      <w:r>
        <w:rPr>
          <w:rFonts w:ascii="Arial" w:cs="Arial" w:eastAsia="Arial" w:hAnsi="Arial"/>
          <w:color w:val="1A1410"/>
          <w:sz w:val="22"/>
          <w:szCs w:val="22"/>
        </w:rPr>
        <w:t xml:space="preserve">Review AI (premium add-on): rubric-based automated scoring, data extraction from tax forms and IDs, identity verification via video, essay/media analysis, multi-stage workflow automation, cross-reference to third-party databases for fraud prevention. AI Assistant (June 2025): generates application forms from 4 predefined templates and translates them into English, Spanish, French, and German only — admin-only.</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Platform UI localization available in 50 languages including Arabic, Swahili (Kiswahili), and Somali (Soomaaliga) — but only as a paid add-on activated by sales. Scope is "buttons, menus, static text, and dialog boxes" only. Forms, emails, reviewer comments are NOT auto-translated. RTL Arabic acknowledged as "not fully supported."</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documented WhatsApp integration. No voice-to-report. No photo-as-evidence workflow. No offline mobile field collection. Mobile experience is responsive web only.</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Best-in-class applicant UX; strong side-by-side reviewer interface; strong customer support.</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Reporting tools weak for multi-layered data pulls; workflow automation limited; expensive at scale with steep tier jumps and add-on fees; form-builder AI limited to four European languages.</w:t>
      </w:r>
    </w:p>
    <w:p>
      <w:pPr>
        <w:spacing w:after="80" w:before="60" w:line="300"/>
        <w:jc w:val="left"/>
      </w:pPr>
      <w:r>
        <w:rPr>
          <w:rFonts w:ascii="Arial" w:cs="Arial" w:eastAsia="Arial" w:hAnsi="Arial"/>
          <w:i/>
          <w:iCs/>
          <w:color w:val="6B6660"/>
          <w:sz w:val="18"/>
          <w:szCs w:val="18"/>
        </w:rPr>
        <w:t xml:space="preserve">Sources: submittable.com/pricing; submittable.help (language and AI Assistant docs); G2 reviews; Capterra reviews; SmartThoughts review; Plinth comparison.</w:t>
      </w:r>
    </w:p>
    <w:p>
      <w:pPr>
        <w:pStyle w:val="Heading2"/>
        <w:spacing w:after="140" w:before="280"/>
      </w:pPr>
      <w:r>
        <w:rPr>
          <w:rFonts w:ascii="Arial" w:cs="Arial" w:eastAsia="Arial" w:hAnsi="Arial"/>
          <w:b/>
          <w:bCs/>
          <w:color w:val="7C2D12"/>
          <w:sz w:val="28"/>
          <w:szCs w:val="28"/>
        </w:rPr>
        <w:t xml:space="preserve">5.2 Foundant Grant Lifecycle Manager (GLM)</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Predictable-pricing GMS for small to mid-sized US foundations. 2,100+ clients. "Out of the box without enterprise complexity."</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Custom; not publicly listed. Distinguishing model feature: subscription does NOT scale with number of grantees or evaluators (Plinth). Plinth positions GLM as "more accessible than Fluxx or SmartSimple, though still significant for very small funders."</w:t>
      </w:r>
    </w:p>
    <w:p>
      <w:pPr>
        <w:spacing w:after="80" w:before="60" w:line="300"/>
        <w:jc w:val="left"/>
      </w:pPr>
      <w:r>
        <w:rPr>
          <w:rFonts w:ascii="Arial" w:cs="Arial" w:eastAsia="Arial" w:hAnsi="Arial"/>
          <w:b/>
          <w:bCs/>
          <w:color w:val="1A1410"/>
          <w:sz w:val="22"/>
          <w:szCs w:val="22"/>
        </w:rPr>
        <w:t xml:space="preserve">AI features: </w:t>
      </w:r>
      <w:r>
        <w:rPr>
          <w:rFonts w:ascii="Arial" w:cs="Arial" w:eastAsia="Arial" w:hAnsi="Arial"/>
          <w:color w:val="1A1410"/>
          <w:sz w:val="22"/>
          <w:szCs w:val="22"/>
        </w:rPr>
        <w:t xml:space="preserve">AI-powered application summarization for reviewers; automatic tagging/categorization by funding area, geography, grant size; eligibility screening with flagging of incomplete or noncompliant submissions; automated communications; accessibility/readability analysis of application questions. No documented automated scoring rubrics (versus Submittable). No documented per-requirement compliance evaluation against grant agreements.</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English only documented. Product page shows EN / EN-GB. No mention of Arabic, Swahili, Somali, French, or Spanish.</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mobile app. No WhatsApp. No voice features. Cloud-based responsive web only.</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Predictable pricing model; strong customer service; user-driven roadmap; accessible to small staff teams without dedicated IT.</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English-only — a structural gap for Global South. Less configurable for complex workflows. AI features still early.</w:t>
      </w:r>
    </w:p>
    <w:p>
      <w:pPr>
        <w:spacing w:after="80" w:before="60" w:line="300"/>
        <w:jc w:val="left"/>
      </w:pPr>
      <w:r>
        <w:rPr>
          <w:rFonts w:ascii="Arial" w:cs="Arial" w:eastAsia="Arial" w:hAnsi="Arial"/>
          <w:i/>
          <w:iCs/>
          <w:color w:val="6B6660"/>
          <w:sz w:val="18"/>
          <w:szCs w:val="18"/>
        </w:rPr>
        <w:t xml:space="preserve">Sources: foundant.com; community.foundant.com; foundant.com/blog/ai-for-grantmaking; TrustRadius reviews; Plinth.</w:t>
      </w:r>
    </w:p>
    <w:p>
      <w:pPr>
        <w:pStyle w:val="Heading2"/>
        <w:spacing w:after="140" w:before="280"/>
      </w:pPr>
      <w:r>
        <w:rPr>
          <w:rFonts w:ascii="Arial" w:cs="Arial" w:eastAsia="Arial" w:hAnsi="Arial"/>
          <w:b/>
          <w:bCs/>
          <w:color w:val="7C2D12"/>
          <w:sz w:val="28"/>
          <w:szCs w:val="28"/>
        </w:rPr>
        <w:t xml:space="preserve">5.3 SmartSimple Cloud for Grants Management (GMS360)</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Enterprise GMS for large foundations, Fortune 500 CSR programs, government and research funders. Most mature AI feature set in the comparison group.</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Listed entry point ~$500/month (Capterra/SoftwareAdvice); in practice enterprise custom pricing with multi-month implementations. "Significant investment" and "requires full-time staff to manage" (Plinth, TrustRadius).</w:t>
      </w:r>
    </w:p>
    <w:p>
      <w:pPr>
        <w:spacing w:after="80" w:before="60" w:line="300"/>
        <w:jc w:val="left"/>
      </w:pPr>
      <w:r>
        <w:rPr>
          <w:rFonts w:ascii="Arial" w:cs="Arial" w:eastAsia="Arial" w:hAnsi="Arial"/>
          <w:b/>
          <w:bCs/>
          <w:color w:val="1A1410"/>
          <w:sz w:val="22"/>
          <w:szCs w:val="22"/>
        </w:rPr>
        <w:t xml:space="preserve">AI features (SmartSimple Cloud +AI, launched March 2023): </w:t>
      </w:r>
      <w:r>
        <w:rPr>
          <w:rFonts w:ascii="Arial" w:cs="Arial" w:eastAsia="Arial" w:hAnsi="Arial"/>
          <w:color w:val="1A1410"/>
          <w:sz w:val="22"/>
          <w:szCs w:val="22"/>
        </w:rPr>
        <w:t xml:space="preserve">Most comprehensive AI feature set in the comparison group. Program stage: program summaries, suggested questions, applicant shortlisting, ineligibility flagging, duplicate checks, due diligence. Application/Review stage: applicant assistance, application summarization, grammar correction, board-book narrative generation, thank-you note generation, application-to-reviewer matching/suggestion, instant language translation. Award/Post-Award stage: award/declination letter generation, narrative generation from report responses, grant annotations, revision summarization. Powered by OpenAI and Google. No per-requirement evaluation of submitted reports against agreement obligations.</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40+ languages claimed for field captions, help text, validation messages, multi-currency. No specific public confirmation of Arabic/Swahili/Somali parity (translation relies on OpenAI quality, not curated localization).</w:t>
      </w:r>
    </w:p>
    <w:p>
      <w:pPr>
        <w:spacing w:after="80" w:before="60" w:line="300"/>
        <w:jc w:val="left"/>
      </w:pPr>
      <w:r>
        <w:rPr>
          <w:rFonts w:ascii="Arial" w:cs="Arial" w:eastAsia="Arial" w:hAnsi="Arial"/>
          <w:b/>
          <w:bCs/>
          <w:color w:val="1A1410"/>
          <w:sz w:val="22"/>
          <w:szCs w:val="22"/>
        </w:rPr>
        <w:t xml:space="preserve">Customer mix: </w:t>
      </w:r>
      <w:r>
        <w:rPr>
          <w:rFonts w:ascii="Arial" w:cs="Arial" w:eastAsia="Arial" w:hAnsi="Arial"/>
          <w:color w:val="1A1410"/>
          <w:sz w:val="22"/>
          <w:szCs w:val="22"/>
        </w:rPr>
        <w:t xml:space="preserve">80% US, 11% Canada, 2% Australia of 327 tracked customers (6sense). Heavily Anglo-North-American.</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documented WhatsApp, voice-to-report, or photo-as-evidence. Responsive cloud web; mobile cited as click-heavy and slow.</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Deepest enterprise configurability; most mature AI feature set; trusted at high transaction volume (2,000+ grants/year clients).</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Steep learning curve; "complex and challenging to build without support"; requires full-time staff; portal downtime reported; heavy customization causes performance lag.</w:t>
      </w:r>
    </w:p>
    <w:p>
      <w:pPr>
        <w:spacing w:after="80" w:before="60" w:line="300"/>
        <w:jc w:val="left"/>
      </w:pPr>
      <w:r>
        <w:rPr>
          <w:rFonts w:ascii="Arial" w:cs="Arial" w:eastAsia="Arial" w:hAnsi="Arial"/>
          <w:i/>
          <w:iCs/>
          <w:color w:val="6B6660"/>
          <w:sz w:val="18"/>
          <w:szCs w:val="18"/>
        </w:rPr>
        <w:t xml:space="preserve">Sources: smartsimple.com/blog; prnewswire SmartSimple +AI launch press release; 6sense market share; TrustRadius; Plinth.</w:t>
      </w:r>
    </w:p>
    <w:p>
      <w:pPr>
        <w:pStyle w:val="Heading2"/>
        <w:spacing w:after="140" w:before="280"/>
      </w:pPr>
      <w:r>
        <w:rPr>
          <w:rFonts w:ascii="Arial" w:cs="Arial" w:eastAsia="Arial" w:hAnsi="Arial"/>
          <w:b/>
          <w:bCs/>
          <w:color w:val="7C2D12"/>
          <w:sz w:val="28"/>
          <w:szCs w:val="28"/>
        </w:rPr>
        <w:t xml:space="preserve">5.4 Fluxx Grantmaker</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Enterprise GMS market leader by foundation footprint. Serves 10 of the 20 largest US foundations including Ford, MacArthur, Knight. 300+ foundations managing USD 13B+ in grants. Endowment range $1M-$10B.</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Custom annual, unlimited-users model. No public tiers. No free trial. Implementation typically 3-6 months. Pricing only via direct sales contact.</w:t>
      </w:r>
    </w:p>
    <w:p>
      <w:pPr>
        <w:spacing w:after="80" w:before="60" w:line="300"/>
        <w:jc w:val="left"/>
      </w:pPr>
      <w:r>
        <w:rPr>
          <w:rFonts w:ascii="Arial" w:cs="Arial" w:eastAsia="Arial" w:hAnsi="Arial"/>
          <w:b/>
          <w:bCs/>
          <w:color w:val="1A1410"/>
          <w:sz w:val="22"/>
          <w:szCs w:val="22"/>
        </w:rPr>
        <w:t xml:space="preserve">AI features (2025-2026): </w:t>
      </w:r>
      <w:r>
        <w:rPr>
          <w:rFonts w:ascii="Arial" w:cs="Arial" w:eastAsia="Arial" w:hAnsi="Arial"/>
          <w:color w:val="1A1410"/>
          <w:sz w:val="22"/>
          <w:szCs w:val="22"/>
        </w:rPr>
        <w:t xml:space="preserve">Native AI suite on AWS Bedrock (data stays in-tenant, not used for training). Documented capabilities: AI Summarization of applications, Organization Intelligence (grantee history), Grantee Report Extraction (pulls updates from progress reports), Payment Clarity, Amendment Review, Document Analysis. Launched Grantelligence analytics platform with 7,000+ visualizations.</w:t>
      </w:r>
    </w:p>
    <w:p>
      <w:pPr>
        <w:spacing w:after="80" w:before="60" w:line="300"/>
        <w:jc w:val="left"/>
      </w:pPr>
      <w:r>
        <w:rPr>
          <w:rFonts w:ascii="Arial" w:cs="Arial" w:eastAsia="Arial" w:hAnsi="Arial"/>
          <w:b/>
          <w:bCs/>
          <w:color w:val="1A1410"/>
          <w:sz w:val="22"/>
          <w:szCs w:val="22"/>
        </w:rPr>
        <w:t xml:space="preserve">Accessibility: </w:t>
      </w:r>
      <w:r>
        <w:rPr>
          <w:rFonts w:ascii="Arial" w:cs="Arial" w:eastAsia="Arial" w:hAnsi="Arial"/>
          <w:color w:val="1A1410"/>
          <w:sz w:val="22"/>
          <w:szCs w:val="22"/>
        </w:rPr>
        <w:t xml:space="preserve">Mature WCAG 2.2 AA accessibility (NVDA, JAWS, VoiceOver, 200% zoom). Third-party audited by Be Accessible Inc. — the strongest accessibility credential in the comparison group on the disability-access dimension.</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No non-English languages documented at workflow level. English-only documentation.</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"Cloud-based, mobile-optimized" means responsive web — NOT offline-first. No WhatsApp, voice, photo features documented.</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Market leader by foundation count and AUM coverage; unlimited-users pricing favorable at scale; strongest WCAG accessibility.</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Steep learning curve — form customization requires Liquid templating; admin dependency; support reviews cite slow response, sparse technical docs, bugs unfixed; implementation 3-6 months; English-only documentation.</w:t>
      </w:r>
    </w:p>
    <w:p>
      <w:pPr>
        <w:spacing w:after="80" w:before="60" w:line="300"/>
        <w:jc w:val="left"/>
      </w:pPr>
      <w:r>
        <w:rPr>
          <w:rFonts w:ascii="Arial" w:cs="Arial" w:eastAsia="Arial" w:hAnsi="Arial"/>
          <w:i/>
          <w:iCs/>
          <w:color w:val="6B6660"/>
          <w:sz w:val="18"/>
          <w:szCs w:val="18"/>
        </w:rPr>
        <w:t xml:space="preserve">Sources: fluxx.io/ai-grants-management-software; fluxx.io/accessibility; Capterra reviews; NonprofitPro Grantelligence coverage; PRNewswire.</w:t>
      </w:r>
    </w:p>
    <w:p>
      <w:pPr>
        <w:pStyle w:val="Heading2"/>
        <w:spacing w:after="140" w:before="280"/>
      </w:pPr>
      <w:r>
        <w:rPr>
          <w:rFonts w:ascii="Arial" w:cs="Arial" w:eastAsia="Arial" w:hAnsi="Arial"/>
          <w:b/>
          <w:bCs/>
          <w:color w:val="7C2D12"/>
          <w:sz w:val="28"/>
          <w:szCs w:val="28"/>
        </w:rPr>
        <w:t xml:space="preserve">5.5 Salesforce Nonprofit Cloud for Grantmaking</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Broad-ecosystem GMS leveraging the Salesforce platform. Strong fit for organizations already in the Salesforce ecosystem.</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Published — USD 175/user/month Enterprise / USD 225/user/month Unlimited, billed annually. 10 free licenses for eligible nonprofits. Implementation typically requires external consultant — "very expensive" per reviews.</w:t>
      </w:r>
    </w:p>
    <w:p>
      <w:pPr>
        <w:spacing w:after="80" w:before="60" w:line="300"/>
        <w:jc w:val="left"/>
      </w:pPr>
      <w:r>
        <w:rPr>
          <w:rFonts w:ascii="Arial" w:cs="Arial" w:eastAsia="Arial" w:hAnsi="Arial"/>
          <w:b/>
          <w:bCs/>
          <w:color w:val="1A1410"/>
          <w:sz w:val="22"/>
          <w:szCs w:val="22"/>
        </w:rPr>
        <w:t xml:space="preserve">AI features (2025-2026): </w:t>
      </w:r>
      <w:r>
        <w:rPr>
          <w:rFonts w:ascii="Arial" w:cs="Arial" w:eastAsia="Arial" w:hAnsi="Arial"/>
          <w:color w:val="1A1410"/>
          <w:sz w:val="22"/>
          <w:szCs w:val="22"/>
        </w:rPr>
        <w:t xml:space="preserve">Einstein/Agentforce-powered Grantmaking Summaries (one-page summaries of applications for board review), Program Summaries, Major Donor Meeting Briefs, Notes Summaries — all GA fall 2025. Tracks grants against indicators. Agents for Impact 2025 accelerator (USD 2M grants + 18 months consulting for NGO AI adoption).</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Arabic supported as End-User language; French fully supported; Swahili in Marketing Cloud International Sends only. Somali absent from Salesforce language list. Workflow-level parity in EN/FR/AR/SW/SO/ES for Grantmaking specifically is not documented.</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WhatsApp available via Service Cloud add-ons (not native to Grants Management workflow). No native voice-to-report or photo-as-evidence with AI labeling for grants.</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Massive ecosystem + AppExchange integrations; strong AI summary capability tied to mature Einstein platform; WCAG 2.2 AA conformance.</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UX described as "clunky" and sales-mindset rather than nonprofit-built; high TCO ($175-$225/user/month before implementation/consulting); grants module "may not be most suitable for fiscal sponsorship"; integration gaps with external platforms.</w:t>
      </w:r>
    </w:p>
    <w:p>
      <w:pPr>
        <w:spacing w:after="80" w:before="60" w:line="300"/>
        <w:jc w:val="left"/>
      </w:pPr>
      <w:r>
        <w:rPr>
          <w:rFonts w:ascii="Arial" w:cs="Arial" w:eastAsia="Arial" w:hAnsi="Arial"/>
          <w:i/>
          <w:iCs/>
          <w:color w:val="6B6660"/>
          <w:sz w:val="18"/>
          <w:szCs w:val="18"/>
        </w:rPr>
        <w:t xml:space="preserve">Sources: salesforce.com/nonprofit/grantmaking-pricing; salesforce.com/news/stories/ai-tools-for-nonprofits; help.salesforce.com language docs; compliance.salesforce.com WCAG; G2.</w:t>
      </w:r>
    </w:p>
    <w:p>
      <w:pPr>
        <w:pStyle w:val="Heading2"/>
        <w:spacing w:after="140" w:before="280"/>
      </w:pPr>
      <w:r>
        <w:rPr>
          <w:rFonts w:ascii="Arial" w:cs="Arial" w:eastAsia="Arial" w:hAnsi="Arial"/>
          <w:b/>
          <w:bCs/>
          <w:color w:val="7C2D12"/>
          <w:sz w:val="28"/>
          <w:szCs w:val="28"/>
        </w:rPr>
        <w:t xml:space="preserve">5.6 Blackbaud Grantmaking</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Legacy US foundation GMS (formerly MicroEdge GIFTS). Deep US foundation footprint. Part of broader Blackbaud nonprofit portfolio.</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Custom enterprise. Third-party estimates: $15K-$25K/yr for small foundations; $30K-$60K for 50-200 grants/yr; $75K-$150K+ for larger volume. Multi-year discounts 10-20%. First-year 30-50% higher due to implementation.</w:t>
      </w:r>
    </w:p>
    <w:p>
      <w:pPr>
        <w:spacing w:after="80" w:before="60" w:line="300"/>
        <w:jc w:val="left"/>
      </w:pPr>
      <w:r>
        <w:rPr>
          <w:rFonts w:ascii="Arial" w:cs="Arial" w:eastAsia="Arial" w:hAnsi="Arial"/>
          <w:b/>
          <w:bCs/>
          <w:color w:val="1A1410"/>
          <w:sz w:val="22"/>
          <w:szCs w:val="22"/>
        </w:rPr>
        <w:t xml:space="preserve">AI features (2025-2026): </w:t>
      </w:r>
      <w:r>
        <w:rPr>
          <w:rFonts w:ascii="Arial" w:cs="Arial" w:eastAsia="Arial" w:hAnsi="Arial"/>
          <w:color w:val="1A1410"/>
          <w:sz w:val="22"/>
          <w:szCs w:val="22"/>
        </w:rPr>
        <w:t xml:space="preserve">Bbcon 2025 unveiled 70+ embedded AI capabilities across portfolio — but most are fundraising/finance-specific. For grantmaking specifically: Impact Edge (predictive outcome-based insights, integrations with True Impact + Candid, natural-language nonprofit partner search), Financial Edge NXT Document Intelligence (extracts vendor names/amounts/dates from PDFs/photos — for finance, not grant impact evidence). First "Agent for Good" GA in 2025 was the Development Agent — fundraising, not grantmaking.</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No non-English workflow languages documented.</w:t>
      </w:r>
    </w:p>
    <w:p>
      <w:pPr>
        <w:spacing w:after="80" w:before="60" w:line="300"/>
        <w:jc w:val="left"/>
      </w:pPr>
      <w:r>
        <w:rPr>
          <w:rFonts w:ascii="Arial" w:cs="Arial" w:eastAsia="Arial" w:hAnsi="Arial"/>
          <w:b/>
          <w:bCs/>
          <w:color w:val="1A1410"/>
          <w:sz w:val="22"/>
          <w:szCs w:val="22"/>
        </w:rPr>
        <w:t xml:space="preserve">Registries: </w:t>
      </w:r>
      <w:r>
        <w:rPr>
          <w:rFonts w:ascii="Arial" w:cs="Arial" w:eastAsia="Arial" w:hAnsi="Arial"/>
          <w:color w:val="1A1410"/>
          <w:sz w:val="22"/>
          <w:szCs w:val="22"/>
        </w:rPr>
        <w:t xml:space="preserve">Built for US; UK Charity Commission / OFSI / Companies House NOT built-in; same gap implied for African registries.</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WhatsApp, voice, photo-as-evidence. Document Intelligence extracts from invoice photos — for finance.</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Deep legacy footprint in US foundations; broad portfolio (CSR via YourCause, Financial Edge, Raiser's Edge); strong responsible-AI governance framework.</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UI consistently rated outdated/unintuitive — "a task that takes minutes elsewhere takes hours"; reporting basic; built for US, not Global South; frequent CSM turnover, slow support escalation.</w:t>
      </w:r>
    </w:p>
    <w:p>
      <w:pPr>
        <w:spacing w:after="80" w:before="60" w:line="300"/>
        <w:jc w:val="left"/>
      </w:pPr>
      <w:r>
        <w:rPr>
          <w:rFonts w:ascii="Arial" w:cs="Arial" w:eastAsia="Arial" w:hAnsi="Arial"/>
          <w:i/>
          <w:iCs/>
          <w:color w:val="6B6660"/>
          <w:sz w:val="18"/>
          <w:szCs w:val="18"/>
        </w:rPr>
        <w:t xml:space="preserve">Sources: blackbaud.com/newsroom (Bbcon 2025 AI rollout); blackbaud.com/intelligence-for-good; Vendr marketplace; G2; Plinth.</w:t>
      </w:r>
    </w:p>
    <w:p>
      <w:pPr>
        <w:pStyle w:val="Heading2"/>
        <w:spacing w:after="140" w:before="280"/>
      </w:pPr>
      <w:r>
        <w:rPr>
          <w:rFonts w:ascii="Arial" w:cs="Arial" w:eastAsia="Arial" w:hAnsi="Arial"/>
          <w:b/>
          <w:bCs/>
          <w:color w:val="7C2D12"/>
          <w:sz w:val="28"/>
          <w:szCs w:val="28"/>
        </w:rPr>
        <w:t xml:space="preserve">5.7 GivingData</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Mid-market US foundation GMS. Strong grantee-portal UX with relationship-management focus.</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Starts at USD 9,950/year (Capterra). Three tiers: Go / Pro / Enterprise (announced February 2021). Implementation USD 5K-$25K. Data migration USD 2K-$15K. Training USD 1K-$5K. Add-ons USD 2K-$10K (External Reviewer Portal, OFAC Risk Management, e-Signature). No free trial.</w:t>
      </w:r>
    </w:p>
    <w:p>
      <w:pPr>
        <w:spacing w:after="80" w:before="60" w:line="300"/>
        <w:jc w:val="left"/>
      </w:pPr>
      <w:r>
        <w:rPr>
          <w:rFonts w:ascii="Arial" w:cs="Arial" w:eastAsia="Arial" w:hAnsi="Arial"/>
          <w:b/>
          <w:bCs/>
          <w:color w:val="1A1410"/>
          <w:sz w:val="22"/>
          <w:szCs w:val="22"/>
        </w:rPr>
        <w:t xml:space="preserve">AI features: </w:t>
      </w:r>
      <w:r>
        <w:rPr>
          <w:rFonts w:ascii="Arial" w:cs="Arial" w:eastAsia="Arial" w:hAnsi="Arial"/>
          <w:color w:val="1A1410"/>
          <w:sz w:val="22"/>
          <w:szCs w:val="22"/>
        </w:rPr>
        <w:t xml:space="preserve">Sparsely documented. GDConnect 2025 covered "AI's Potential in Philanthropy" thematically. Platform reportedly uses text-quality analysis and plagiarism/generative-AI detection. No named generative-AI features comparable to Fluxx's six-feature suite or Salesforce Grantmaking Summaries. GDConnect 2026 (September) expected to add detail.</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No non-English documented.</w:t>
      </w:r>
    </w:p>
    <w:p>
      <w:pPr>
        <w:spacing w:after="80" w:before="60" w:line="300"/>
        <w:jc w:val="left"/>
      </w:pPr>
      <w:r>
        <w:rPr>
          <w:rFonts w:ascii="Arial" w:cs="Arial" w:eastAsia="Arial" w:hAnsi="Arial"/>
          <w:b/>
          <w:bCs/>
          <w:color w:val="1A1410"/>
          <w:sz w:val="22"/>
          <w:szCs w:val="22"/>
        </w:rPr>
        <w:t xml:space="preserve">Registries: </w:t>
      </w:r>
      <w:r>
        <w:rPr>
          <w:rFonts w:ascii="Arial" w:cs="Arial" w:eastAsia="Arial" w:hAnsi="Arial"/>
          <w:color w:val="1A1410"/>
          <w:sz w:val="22"/>
          <w:szCs w:val="22"/>
        </w:rPr>
        <w:t xml:space="preserve">OFAC Risk Management add-on. No African government registries documented.</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WhatsApp, voice, photo-as-evidence.</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Strong grantee-portal UX; tiered pricing offers entry point well below Salesforce/Fluxx; OFAC Risk Management add-on available.</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Minimal public AI feature documentation versus peers; US-centric; requires sales engagement to assess (no self-serve trial).</w:t>
      </w:r>
    </w:p>
    <w:p>
      <w:pPr>
        <w:spacing w:after="80" w:before="60" w:line="300"/>
        <w:jc w:val="left"/>
      </w:pPr>
      <w:r>
        <w:rPr>
          <w:rFonts w:ascii="Arial" w:cs="Arial" w:eastAsia="Arial" w:hAnsi="Arial"/>
          <w:i/>
          <w:iCs/>
          <w:color w:val="6B6660"/>
          <w:sz w:val="18"/>
          <w:szCs w:val="18"/>
        </w:rPr>
        <w:t xml:space="preserve">Sources: givingdata.com/product; givingdata.com/blog (subscription tiers); knowledgebase.givingdata.com; Capterra; SoftwareFinder; Plinth.</w:t>
      </w:r>
    </w:p>
    <w:p>
      <w:pPr>
        <w:pStyle w:val="Heading2"/>
        <w:spacing w:after="140" w:before="280"/>
      </w:pPr>
      <w:r>
        <w:rPr>
          <w:rFonts w:ascii="Arial" w:cs="Arial" w:eastAsia="Arial" w:hAnsi="Arial"/>
          <w:b/>
          <w:bCs/>
          <w:color w:val="7C2D12"/>
          <w:sz w:val="28"/>
          <w:szCs w:val="28"/>
        </w:rPr>
        <w:t xml:space="preserve">5.8 Cross-vendor gap summary</w:t>
      </w:r>
    </w:p>
    <w:p>
      <w:pPr>
        <w:spacing w:after="80" w:before="60" w:line="300"/>
        <w:jc w:val="left"/>
      </w:pPr>
      <w:r>
        <w:rPr>
          <w:rFonts w:ascii="Arial" w:cs="Arial" w:eastAsia="Arial" w:hAnsi="Arial"/>
          <w:color w:val="1A1410"/>
          <w:sz w:val="22"/>
          <w:szCs w:val="22"/>
        </w:rPr>
        <w:t xml:space="preserve">Verified by direct source review across all seven vendors. None of these capabilities is publicly documented in any incumbent:</w:t>
      </w:r>
    </w:p>
    <w:p>
      <w:pPr>
        <w:pStyle w:val="ListParagraph"/>
        <w:numPr>
          <w:ilvl w:val="0"/>
          <w:numId w:val="2"/>
        </w:numPr>
        <w:spacing w:after="60" w:before="30" w:line="280"/>
      </w:pPr>
      <w:r>
        <w:rPr>
          <w:rFonts w:ascii="Arial" w:cs="Arial" w:eastAsia="Arial" w:hAnsi="Arial"/>
          <w:b/>
          <w:bCs/>
          <w:color w:val="1A1410"/>
          <w:sz w:val="22"/>
          <w:szCs w:val="22"/>
        </w:rPr>
        <w:t xml:space="preserve">Closed-network secretariat hosting vetted member NGOs </w:t>
      </w:r>
      <w:r>
        <w:rPr>
          <w:rFonts w:ascii="Arial" w:cs="Arial" w:eastAsia="Arial" w:hAnsi="Arial"/>
          <w:color w:val="1A1410"/>
          <w:sz w:val="22"/>
          <w:szCs w:val="22"/>
        </w:rPr>
        <w:t xml:space="preserve">with multi-sig governance and emergency declaration workflow.</w:t>
      </w:r>
    </w:p>
    <w:p>
      <w:pPr>
        <w:pStyle w:val="ListParagraph"/>
        <w:numPr>
          <w:ilvl w:val="0"/>
          <w:numId w:val="2"/>
        </w:numPr>
        <w:spacing w:after="60" w:before="30" w:line="280"/>
      </w:pPr>
      <w:r>
        <w:rPr>
          <w:rFonts w:ascii="Arial" w:cs="Arial" w:eastAsia="Arial" w:hAnsi="Arial"/>
          <w:b/>
          <w:bCs/>
          <w:color w:val="1A1410"/>
          <w:sz w:val="22"/>
          <w:szCs w:val="22"/>
        </w:rPr>
        <w:t xml:space="preserve">AI per-requirement evaluation of NGO reports against the specific obligations in each grant agreement </w:t>
      </w:r>
      <w:r>
        <w:rPr>
          <w:rFonts w:ascii="Arial" w:cs="Arial" w:eastAsia="Arial" w:hAnsi="Arial"/>
          <w:color w:val="1A1410"/>
          <w:sz w:val="22"/>
          <w:szCs w:val="22"/>
        </w:rPr>
        <w:t xml:space="preserve">with citations to source. (All seven offer summary-level AI; none extracts agreement obligations and grades reports against them line-by-line.)</w:t>
      </w:r>
    </w:p>
    <w:p>
      <w:pPr>
        <w:pStyle w:val="ListParagraph"/>
        <w:numPr>
          <w:ilvl w:val="0"/>
          <w:numId w:val="2"/>
        </w:numPr>
        <w:spacing w:after="60" w:before="30" w:line="280"/>
      </w:pPr>
      <w:r>
        <w:rPr>
          <w:rFonts w:ascii="Arial" w:cs="Arial" w:eastAsia="Arial" w:hAnsi="Arial"/>
          <w:b/>
          <w:bCs/>
          <w:color w:val="1A1410"/>
          <w:sz w:val="22"/>
          <w:szCs w:val="22"/>
        </w:rPr>
        <w:t xml:space="preserve">Native WhatsApp Business API </w:t>
      </w:r>
      <w:r>
        <w:rPr>
          <w:rFonts w:ascii="Arial" w:cs="Arial" w:eastAsia="Arial" w:hAnsi="Arial"/>
          <w:color w:val="1A1410"/>
          <w:sz w:val="22"/>
          <w:szCs w:val="22"/>
        </w:rPr>
        <w:t xml:space="preserve">integrated into the grant lifecycle (versus Service Cloud bolt-ons or middleware).</w:t>
      </w:r>
    </w:p>
    <w:p>
      <w:pPr>
        <w:pStyle w:val="ListParagraph"/>
        <w:numPr>
          <w:ilvl w:val="0"/>
          <w:numId w:val="2"/>
        </w:numPr>
        <w:spacing w:after="60" w:before="30" w:line="280"/>
      </w:pPr>
      <w:r>
        <w:rPr>
          <w:rFonts w:ascii="Arial" w:cs="Arial" w:eastAsia="Arial" w:hAnsi="Arial"/>
          <w:b/>
          <w:bCs/>
          <w:color w:val="1A1410"/>
          <w:sz w:val="22"/>
          <w:szCs w:val="22"/>
        </w:rPr>
        <w:t xml:space="preserve">Voice-to-report </w:t>
      </w:r>
      <w:r>
        <w:rPr>
          <w:rFonts w:ascii="Arial" w:cs="Arial" w:eastAsia="Arial" w:hAnsi="Arial"/>
          <w:color w:val="1A1410"/>
          <w:sz w:val="22"/>
          <w:szCs w:val="22"/>
        </w:rPr>
        <w:t xml:space="preserve">(mobile, multilingual) at the NGO side of the workflow.</w:t>
      </w:r>
    </w:p>
    <w:p>
      <w:pPr>
        <w:pStyle w:val="ListParagraph"/>
        <w:numPr>
          <w:ilvl w:val="0"/>
          <w:numId w:val="2"/>
        </w:numPr>
        <w:spacing w:after="60" w:before="30" w:line="280"/>
      </w:pPr>
      <w:r>
        <w:rPr>
          <w:rFonts w:ascii="Arial" w:cs="Arial" w:eastAsia="Arial" w:hAnsi="Arial"/>
          <w:b/>
          <w:bCs/>
          <w:color w:val="1A1410"/>
          <w:sz w:val="22"/>
          <w:szCs w:val="22"/>
        </w:rPr>
        <w:t xml:space="preserve">Photo-as-evidence with AI labeling </w:t>
      </w:r>
      <w:r>
        <w:rPr>
          <w:rFonts w:ascii="Arial" w:cs="Arial" w:eastAsia="Arial" w:hAnsi="Arial"/>
          <w:color w:val="1A1410"/>
          <w:sz w:val="22"/>
          <w:szCs w:val="22"/>
        </w:rPr>
        <w:t xml:space="preserve">as a grant compliance artifact (versus invoice extraction).</w:t>
      </w:r>
    </w:p>
    <w:p>
      <w:pPr>
        <w:pStyle w:val="ListParagraph"/>
        <w:numPr>
          <w:ilvl w:val="0"/>
          <w:numId w:val="2"/>
        </w:numPr>
        <w:spacing w:after="60" w:before="30" w:line="280"/>
      </w:pPr>
      <w:r>
        <w:rPr>
          <w:rFonts w:ascii="Arial" w:cs="Arial" w:eastAsia="Arial" w:hAnsi="Arial"/>
          <w:b/>
          <w:bCs/>
          <w:color w:val="1A1410"/>
          <w:sz w:val="22"/>
          <w:szCs w:val="22"/>
        </w:rPr>
        <w:t xml:space="preserve">Workflow-level six-language parity </w:t>
      </w:r>
      <w:r>
        <w:rPr>
          <w:rFonts w:ascii="Arial" w:cs="Arial" w:eastAsia="Arial" w:hAnsi="Arial"/>
          <w:color w:val="1A1410"/>
          <w:sz w:val="22"/>
          <w:szCs w:val="22"/>
        </w:rPr>
        <w:t xml:space="preserve">including Arabic, Swahili, AND Somali. (Submittable's 50-language UI is the closest — but is paywall, UI-only, and lacks complete RTL.)</w:t>
      </w:r>
    </w:p>
    <w:p>
      <w:pPr>
        <w:pStyle w:val="ListParagraph"/>
        <w:numPr>
          <w:ilvl w:val="0"/>
          <w:numId w:val="2"/>
        </w:numPr>
        <w:spacing w:after="60" w:before="30" w:line="280"/>
      </w:pPr>
      <w:r>
        <w:rPr>
          <w:rFonts w:ascii="Arial" w:cs="Arial" w:eastAsia="Arial" w:hAnsi="Arial"/>
          <w:b/>
          <w:bCs/>
          <w:color w:val="1A1410"/>
          <w:sz w:val="22"/>
          <w:szCs w:val="22"/>
        </w:rPr>
        <w:t xml:space="preserve">Hash-anchored audit chain </w:t>
      </w:r>
      <w:r>
        <w:rPr>
          <w:rFonts w:ascii="Arial" w:cs="Arial" w:eastAsia="Arial" w:hAnsi="Arial"/>
          <w:color w:val="1A1410"/>
          <w:sz w:val="22"/>
          <w:szCs w:val="22"/>
        </w:rPr>
        <w:t xml:space="preserve">— cryptographically tamper-evident, not just audit log.</w:t>
      </w:r>
    </w:p>
    <w:p>
      <w:pPr>
        <w:pStyle w:val="ListParagraph"/>
        <w:numPr>
          <w:ilvl w:val="0"/>
          <w:numId w:val="2"/>
        </w:numPr>
        <w:spacing w:after="60" w:before="30" w:line="280"/>
      </w:pPr>
      <w:r>
        <w:rPr>
          <w:rFonts w:ascii="Arial" w:cs="Arial" w:eastAsia="Arial" w:hAnsi="Arial"/>
          <w:b/>
          <w:bCs/>
          <w:color w:val="1A1410"/>
          <w:sz w:val="22"/>
          <w:szCs w:val="22"/>
        </w:rPr>
        <w:t xml:space="preserve">African government registry verification </w:t>
      </w:r>
      <w:r>
        <w:rPr>
          <w:rFonts w:ascii="Arial" w:cs="Arial" w:eastAsia="Arial" w:hAnsi="Arial"/>
          <w:color w:val="1A1410"/>
          <w:sz w:val="22"/>
          <w:szCs w:val="22"/>
        </w:rPr>
        <w:t xml:space="preserve">for Kenya, Nigeria, South Africa, Uganda, Tanzania, Somalia, Ethiopia. (GivingData has OFAC; no vendor has African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The list of "not documented in any incumbent" is the Kuja Grant feature set as it ships today.</w:t>
            </w:r>
          </w:p>
          <w:p>
            <w:pPr>
              <w:spacing w:before="80"/>
            </w:pPr>
            <w:r>
              <w:rPr>
                <w:rFonts w:ascii="Arial" w:cs="Arial" w:eastAsia="Arial" w:hAnsi="Arial"/>
                <w:color w:val="1A1410"/>
                <w:sz w:val="22"/>
                <w:szCs w:val="22"/>
              </w:rPr>
              <w:t xml:space="preserve">Section 6 makes this concrete with a 15-feature comparison matrix across all seven vendors. Section 7 details the accessibility moat. Section 8 details the AI compliance moat.</w:t>
            </w:r>
          </w:p>
        </w:tc>
      </w:tr>
    </w:tbl>
    <w:p>
      <w:pPr>
        <w:pStyle w:val="Heading1"/>
        <w:pageBreakBefore/>
        <w:spacing w:after="200" w:before="320"/>
      </w:pPr>
      <w:r>
        <w:rPr>
          <w:rFonts w:ascii="Arial" w:cs="Arial" w:eastAsia="Arial" w:hAnsi="Arial"/>
          <w:b/>
          <w:bCs/>
          <w:color w:val="C2410C"/>
          <w:sz w:val="36"/>
          <w:szCs w:val="36"/>
        </w:rPr>
        <w:t xml:space="preserve">6. Feature Comparison Matrix</w:t>
      </w:r>
    </w:p>
    <w:p>
      <w:pPr>
        <w:spacing w:after="80" w:before="60" w:line="300"/>
        <w:jc w:val="left"/>
      </w:pPr>
      <w:r>
        <w:rPr>
          <w:rFonts w:ascii="Arial" w:cs="Arial" w:eastAsia="Arial" w:hAnsi="Arial"/>
          <w:color w:val="1A1410"/>
          <w:sz w:val="22"/>
          <w:szCs w:val="22"/>
        </w:rPr>
        <w:t xml:space="preserve">The matrix evaluates 15 capabilities against Kuja Grant and the seven incumbents profiled in Section 5. "Yes" means the capability is publicly documented as shipping. "Partial" means a related capability ships with material limits (paywalled, UI-only, summary-only, etc.). "No" means not documented in current public materials.</w:t>
      </w:r>
    </w:p>
    <w:p>
      <w:pPr>
        <w:spacing w:after="80" w:before="60" w:line="300"/>
        <w:jc w:val="left"/>
      </w:pPr>
      <w:r>
        <w:rPr>
          <w:rFonts w:ascii="Arial" w:cs="Arial" w:eastAsia="Arial" w:hAnsi="Arial"/>
          <w:color w:val="1A1410"/>
          <w:sz w:val="22"/>
          <w:szCs w:val="22"/>
        </w:rPr>
        <w:t xml:space="preserve">The methodology is conservative — we default to "Partial" over "No" wherever any related capability ships at any depth. The matrix is intended to map verified product reality, not to disparage incumbents.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45"/>
        <w:gridCol w:w="845"/>
        <w:gridCol w:w="845"/>
        <w:gridCol w:w="845"/>
        <w:gridCol w:w="845"/>
        <w:gridCol w:w="845"/>
        <w:gridCol w:w="845"/>
        <w:gridCol w:w="845"/>
      </w:tblGrid>
      <w:tr>
        <w:trPr>
          <w:tblHeader/>
        </w:trPr>
        <w:tc>
          <w:tcPr>
            <w:tcW w:type="dxa" w:w="260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845"/>
            <w:tcBorders>
              <w:top w:val="single" w:color="7C2D12" w:sz="4"/>
              <w:left w:val="single" w:color="7C2D12" w:sz="4"/>
              <w:bottom w:val="single" w:color="7C2D12" w:sz="4"/>
              <w:right w:val="single" w:color="7C2D12" w:sz="4"/>
            </w:tcBorders>
            <w:shd w:fill="C2410C"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Kuja Grant</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Submittable</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Foundant GLM</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SmartSimple Cloud</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Fluxx</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Salesforce GM</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Blackbaud GM</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GivingData</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GRANT LIFECYCLE</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End-to-end lifecycle (Design → Apply → Review → Award → Report)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Closed-network secretariat hosting vetted members</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Multi-sig signature flow + COI capture per signature</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Emergency declaration workflow (multi-sig + audit)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AI / REPORTING &amp; COMPLIANCE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AI rubric scoring with citations to source</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AI per-requirement evaluation of reports vs agreement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AI obligation extraction from uploaded agreement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AI compliance coach for NGO grantee</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NGO ACCESSIBILITY</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WhatsApp interaction channel (native, not bolt-on)</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Voice-to-report (mobile, multilingual)</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Photo-as-evidence with AI labeling</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Six-language workflow parity (incl. AR/SW/SO)</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Mobile-first / low-bandwidth / offline-tolerant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TRUST ARCHITECTURE</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Hash-anchored audit chain (cryptographically chained, not just audit log)</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African government registry verification (7 countries)</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Opt-in ERP integration for real-time multi-tenant donor visibility</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bl>
    <w:p>
      <w:pPr>
        <w:spacing w:after="0" w:before="160"/>
      </w:pPr>
      <w:r>
        <w:t xml:space="preserve"/>
      </w:r>
    </w:p>
    <w:p>
      <w:pPr>
        <w:spacing w:after="80" w:before="60" w:line="300"/>
        <w:jc w:val="left"/>
      </w:pPr>
      <w:r>
        <w:rPr>
          <w:rFonts w:ascii="Arial" w:cs="Arial" w:eastAsia="Arial" w:hAnsi="Arial"/>
          <w:color w:val="1A1410"/>
          <w:sz w:val="22"/>
          <w:szCs w:val="22"/>
        </w:rPr>
        <w:t xml:space="preserve">Reading the matrix:</w:t>
      </w:r>
    </w:p>
    <w:p>
      <w:pPr>
        <w:pStyle w:val="ListParagraph"/>
        <w:numPr>
          <w:ilvl w:val="0"/>
          <w:numId w:val="2"/>
        </w:numPr>
        <w:spacing w:after="60" w:before="30" w:line="280"/>
      </w:pPr>
      <w:r>
        <w:rPr>
          <w:rFonts w:ascii="Arial" w:cs="Arial" w:eastAsia="Arial" w:hAnsi="Arial"/>
          <w:b/>
          <w:bCs/>
          <w:color w:val="1A1410"/>
          <w:sz w:val="22"/>
          <w:szCs w:val="22"/>
        </w:rPr>
        <w:t xml:space="preserve">Kuja Grant is "Yes" on all 15 rows. </w:t>
      </w:r>
      <w:r>
        <w:rPr>
          <w:rFonts w:ascii="Arial" w:cs="Arial" w:eastAsia="Arial" w:hAnsi="Arial"/>
          <w:color w:val="1A1410"/>
          <w:sz w:val="22"/>
          <w:szCs w:val="22"/>
        </w:rPr>
        <w:t xml:space="preserve">No other vendor is "Yes" on more than 4 of the 15 differentiating rows (the first row, end-to-end lifecycle, is "Yes" for all).</w:t>
      </w:r>
    </w:p>
    <w:p>
      <w:pPr>
        <w:pStyle w:val="ListParagraph"/>
        <w:numPr>
          <w:ilvl w:val="0"/>
          <w:numId w:val="2"/>
        </w:numPr>
        <w:spacing w:after="60" w:before="30" w:line="280"/>
      </w:pPr>
      <w:r>
        <w:rPr>
          <w:rFonts w:ascii="Arial" w:cs="Arial" w:eastAsia="Arial" w:hAnsi="Arial"/>
          <w:b/>
          <w:bCs/>
          <w:color w:val="1A1410"/>
          <w:sz w:val="22"/>
          <w:szCs w:val="22"/>
        </w:rPr>
        <w:t xml:space="preserve">The closed-network, AI per-requirement evaluation, voice-to-report, photo evidence, hash-anchored audit, African registry, and emergency declaration rows are "No" for ALL seven incumbents. </w:t>
      </w:r>
      <w:r>
        <w:rPr>
          <w:rFonts w:ascii="Arial" w:cs="Arial" w:eastAsia="Arial" w:hAnsi="Arial"/>
          <w:color w:val="1A1410"/>
          <w:sz w:val="22"/>
          <w:szCs w:val="22"/>
        </w:rPr>
        <w:t xml:space="preserve">These are seven of fifteen rows — close to half the matrix — where no incumbent ships any version of the capability.</w:t>
      </w:r>
    </w:p>
    <w:p>
      <w:pPr>
        <w:pStyle w:val="ListParagraph"/>
        <w:numPr>
          <w:ilvl w:val="0"/>
          <w:numId w:val="2"/>
        </w:numPr>
        <w:spacing w:after="60" w:before="30" w:line="280"/>
      </w:pPr>
      <w:r>
        <w:rPr>
          <w:rFonts w:ascii="Arial" w:cs="Arial" w:eastAsia="Arial" w:hAnsi="Arial"/>
          <w:b/>
          <w:bCs/>
          <w:color w:val="1A1410"/>
          <w:sz w:val="22"/>
          <w:szCs w:val="22"/>
        </w:rPr>
        <w:t xml:space="preserve">Submittable's "Partial" on six-language workflow parity </w:t>
      </w:r>
      <w:r>
        <w:rPr>
          <w:rFonts w:ascii="Arial" w:cs="Arial" w:eastAsia="Arial" w:hAnsi="Arial"/>
          <w:color w:val="1A1410"/>
          <w:sz w:val="22"/>
          <w:szCs w:val="22"/>
        </w:rPr>
        <w:t xml:space="preserve">is the strongest accessibility credential among incumbents — and is paywalled, UI-only, and lacks full RTL.</w:t>
      </w:r>
    </w:p>
    <w:p>
      <w:pPr>
        <w:pStyle w:val="ListParagraph"/>
        <w:numPr>
          <w:ilvl w:val="0"/>
          <w:numId w:val="2"/>
        </w:numPr>
        <w:spacing w:after="60" w:before="30" w:line="280"/>
      </w:pPr>
      <w:r>
        <w:rPr>
          <w:rFonts w:ascii="Arial" w:cs="Arial" w:eastAsia="Arial" w:hAnsi="Arial"/>
          <w:b/>
          <w:bCs/>
          <w:color w:val="1A1410"/>
          <w:sz w:val="22"/>
          <w:szCs w:val="22"/>
        </w:rPr>
        <w:t xml:space="preserve">Salesforce's "Partial" on WhatsApp </w:t>
      </w:r>
      <w:r>
        <w:rPr>
          <w:rFonts w:ascii="Arial" w:cs="Arial" w:eastAsia="Arial" w:hAnsi="Arial"/>
          <w:color w:val="1A1410"/>
          <w:sz w:val="22"/>
          <w:szCs w:val="22"/>
        </w:rPr>
        <w:t xml:space="preserve">reflects Service Cloud add-on capability (Mogli, Message Blink, 360 SMS, WatBox) — not Grants-Management-native.</w:t>
      </w:r>
    </w:p>
    <w:p>
      <w:pPr>
        <w:pStyle w:val="ListParagraph"/>
        <w:numPr>
          <w:ilvl w:val="0"/>
          <w:numId w:val="2"/>
        </w:numPr>
        <w:spacing w:after="60" w:before="30" w:line="280"/>
      </w:pPr>
      <w:r>
        <w:rPr>
          <w:rFonts w:ascii="Arial" w:cs="Arial" w:eastAsia="Arial" w:hAnsi="Arial"/>
          <w:b/>
          <w:bCs/>
          <w:color w:val="1A1410"/>
          <w:sz w:val="22"/>
          <w:szCs w:val="22"/>
        </w:rPr>
        <w:t xml:space="preserve">Fluxx's "Partial" on AI rubric scoring </w:t>
      </w:r>
      <w:r>
        <w:rPr>
          <w:rFonts w:ascii="Arial" w:cs="Arial" w:eastAsia="Arial" w:hAnsi="Arial"/>
          <w:color w:val="1A1410"/>
          <w:sz w:val="22"/>
          <w:szCs w:val="22"/>
        </w:rPr>
        <w:t xml:space="preserve">reflects its summarization and document analysis capabilities; the matrix differentiates summary-level AI from rubric-grounded scoring with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The combination is the moat.</w:t>
            </w:r>
          </w:p>
          <w:p>
            <w:pPr>
              <w:spacing w:before="80"/>
            </w:pPr>
            <w:r>
              <w:rPr>
                <w:rFonts w:ascii="Arial" w:cs="Arial" w:eastAsia="Arial" w:hAnsi="Arial"/>
                <w:color w:val="1A1410"/>
                <w:sz w:val="22"/>
                <w:szCs w:val="22"/>
              </w:rPr>
              <w:t xml:space="preserve">Any single feature on this matrix can be reproduced. The architectural feat is shipping all fifteen in one integrated product, in production, with the same Trust Profile and the same audit chain underneath. To match, an incumbent would need to rewrite its data model, retrofit its AI surface, build the accessibility stack from scratch, and add a closed-network governance layer their architecture was not designed for.</w:t>
            </w:r>
          </w:p>
        </w:tc>
      </w:tr>
    </w:tbl>
    <w:p>
      <w:pPr>
        <w:pStyle w:val="Heading1"/>
        <w:pageBreakBefore/>
        <w:spacing w:after="200" w:before="320"/>
      </w:pPr>
      <w:r>
        <w:rPr>
          <w:rFonts w:ascii="Arial" w:cs="Arial" w:eastAsia="Arial" w:hAnsi="Arial"/>
          <w:b/>
          <w:bCs/>
          <w:color w:val="C2410C"/>
          <w:sz w:val="36"/>
          <w:szCs w:val="36"/>
        </w:rPr>
        <w:t xml:space="preserve">7. The Accessibility Moat — Meet them where they are</w:t>
      </w:r>
    </w:p>
    <w:p>
      <w:pPr>
        <w:spacing w:after="80" w:before="60" w:line="300"/>
        <w:jc w:val="left"/>
      </w:pPr>
      <w:r>
        <w:rPr>
          <w:rFonts w:ascii="Arial" w:cs="Arial" w:eastAsia="Arial" w:hAnsi="Arial"/>
          <w:color w:val="1A1410"/>
          <w:sz w:val="22"/>
          <w:szCs w:val="22"/>
        </w:rPr>
        <w:t xml:space="preserve">This section is the answer to a question every donor asks: "Why is Kuja Grant different from Submittable?" The structural answer is: because Submittable was built for a foundation officer with broadband and a desk. Kuja Grant was built for a field officer with a Tecno phone and intermittent 3G. The product is shaped by who it expects to interact with it.</w:t>
      </w:r>
    </w:p>
    <w:p>
      <w:pPr>
        <w:spacing w:after="80" w:before="60" w:line="300"/>
        <w:jc w:val="left"/>
      </w:pPr>
      <w:r>
        <w:rPr>
          <w:rFonts w:ascii="Arial" w:cs="Arial" w:eastAsia="Arial" w:hAnsi="Arial"/>
          <w:color w:val="1A1410"/>
          <w:sz w:val="22"/>
          <w:szCs w:val="22"/>
        </w:rPr>
        <w:t xml:space="preserve">Six accessibility surfaces define the moat. For each, this section names the prior art in adjacent categories — because individual feature precedents exist — and then identifies the specific Kuja Grant innovation: combining them with grant lifecycle and AI compliance.</w:t>
      </w:r>
    </w:p>
    <w:p>
      <w:pPr>
        <w:pStyle w:val="Heading2"/>
        <w:spacing w:after="140" w:before="280"/>
      </w:pPr>
      <w:r>
        <w:rPr>
          <w:rFonts w:ascii="Arial" w:cs="Arial" w:eastAsia="Arial" w:hAnsi="Arial"/>
          <w:b/>
          <w:bCs/>
          <w:color w:val="7C2D12"/>
          <w:sz w:val="28"/>
          <w:szCs w:val="28"/>
        </w:rPr>
        <w:t xml:space="preserve">7.1 WhatsApp interaction</w:t>
      </w:r>
    </w:p>
    <w:p>
      <w:pPr>
        <w:spacing w:after="80" w:before="60" w:line="300"/>
        <w:jc w:val="left"/>
      </w:pPr>
      <w:r>
        <w:rPr>
          <w:rFonts w:ascii="Arial" w:cs="Arial" w:eastAsia="Arial" w:hAnsi="Arial"/>
          <w:color w:val="1A1410"/>
          <w:sz w:val="22"/>
          <w:szCs w:val="22"/>
        </w:rPr>
        <w:t xml:space="preserve">The case: WhatsApp is the dominant business channel for the population Kuja Grant serves. A Kenyan NGO's communication with its donor often starts in WhatsApp before it touches email. A field officer's log of a school visit often lives in a WhatsApp thread.</w:t>
      </w:r>
    </w:p>
    <w:p>
      <w:pPr>
        <w:spacing w:after="80" w:before="60" w:line="300"/>
        <w:jc w:val="left"/>
      </w:pPr>
      <w:r>
        <w:rPr>
          <w:rFonts w:ascii="Arial" w:cs="Arial" w:eastAsia="Arial" w:hAnsi="Arial"/>
          <w:color w:val="1A1410"/>
          <w:sz w:val="22"/>
          <w:szCs w:val="22"/>
        </w:rPr>
        <w:t xml:space="preserve">Prior art (adjacent categories):</w:t>
      </w:r>
    </w:p>
    <w:p>
      <w:pPr>
        <w:pStyle w:val="ListParagraph"/>
        <w:numPr>
          <w:ilvl w:val="0"/>
          <w:numId w:val="2"/>
        </w:numPr>
        <w:spacing w:after="60" w:before="30" w:line="280"/>
      </w:pPr>
      <w:r>
        <w:rPr>
          <w:rFonts w:ascii="Arial" w:cs="Arial" w:eastAsia="Arial" w:hAnsi="Arial"/>
          <w:b/>
          <w:bCs/>
          <w:color w:val="1A1410"/>
          <w:sz w:val="22"/>
          <w:szCs w:val="22"/>
        </w:rPr>
        <w:t xml:space="preserve">Glific (Project Tech4Dev, India) </w:t>
      </w:r>
      <w:r>
        <w:rPr>
          <w:rFonts w:ascii="Arial" w:cs="Arial" w:eastAsia="Arial" w:hAnsi="Arial"/>
          <w:color w:val="1A1410"/>
          <w:sz w:val="22"/>
          <w:szCs w:val="22"/>
        </w:rPr>
        <w:t xml:space="preserve">— Open-source WhatsApp chatbot platform explicitly for NGOs. 110+ NGOs, 100M+ messages, 1M+ beneficiaries. No-code flow builder, NLP/ML. Targets Global South. No grant lifecycle. (glific.org)</w:t>
      </w:r>
    </w:p>
    <w:p>
      <w:pPr>
        <w:pStyle w:val="ListParagraph"/>
        <w:numPr>
          <w:ilvl w:val="0"/>
          <w:numId w:val="2"/>
        </w:numPr>
        <w:spacing w:after="60" w:before="30" w:line="280"/>
      </w:pPr>
      <w:r>
        <w:rPr>
          <w:rFonts w:ascii="Arial" w:cs="Arial" w:eastAsia="Arial" w:hAnsi="Arial"/>
          <w:b/>
          <w:bCs/>
          <w:color w:val="1A1410"/>
          <w:sz w:val="22"/>
          <w:szCs w:val="22"/>
        </w:rPr>
        <w:t xml:space="preserve">Turn.io (Cape Town, PBC) </w:t>
      </w:r>
      <w:r>
        <w:rPr>
          <w:rFonts w:ascii="Arial" w:cs="Arial" w:eastAsia="Arial" w:hAnsi="Arial"/>
          <w:color w:val="1A1410"/>
          <w:sz w:val="22"/>
          <w:szCs w:val="22"/>
        </w:rPr>
        <w:t xml:space="preserve">— WhatsApp helpdesk + chatbot + behavior-change platform for social impact orgs. Used by WHO (14.7M users), CARE Bangladesh (34.2M), Taskeen Pakistan (35M). Real-time AI translation. 40% nonprofit discount on Pro. No grant lifecycle. (turn.io)</w:t>
      </w:r>
    </w:p>
    <w:p>
      <w:pPr>
        <w:pStyle w:val="ListParagraph"/>
        <w:numPr>
          <w:ilvl w:val="0"/>
          <w:numId w:val="2"/>
        </w:numPr>
        <w:spacing w:after="60" w:before="30" w:line="280"/>
      </w:pPr>
      <w:r>
        <w:rPr>
          <w:rFonts w:ascii="Arial" w:cs="Arial" w:eastAsia="Arial" w:hAnsi="Arial"/>
          <w:b/>
          <w:bCs/>
          <w:color w:val="1A1410"/>
          <w:sz w:val="22"/>
          <w:szCs w:val="22"/>
        </w:rPr>
        <w:t xml:space="preserve">Mogli, Message Blink, 360 SMS, WatBox </w:t>
      </w:r>
      <w:r>
        <w:rPr>
          <w:rFonts w:ascii="Arial" w:cs="Arial" w:eastAsia="Arial" w:hAnsi="Arial"/>
          <w:color w:val="1A1410"/>
          <w:sz w:val="22"/>
          <w:szCs w:val="22"/>
        </w:rPr>
        <w:t xml:space="preserve">— Salesforce AppExchange WhatsApp bolt-ons. Used by nonprofits on NPSP. Not GMS-native.</w:t>
      </w:r>
    </w:p>
    <w:p>
      <w:pPr>
        <w:spacing w:after="80" w:before="60" w:line="300"/>
        <w:jc w:val="left"/>
      </w:pPr>
      <w:r>
        <w:rPr>
          <w:rFonts w:ascii="Arial" w:cs="Arial" w:eastAsia="Arial" w:hAnsi="Arial"/>
          <w:color w:val="1A1410"/>
          <w:sz w:val="22"/>
          <w:szCs w:val="22"/>
        </w:rPr>
        <w:t xml:space="preserve">Verified GMS gap: no Submittable, Foundant, SmartSimple, Fluxx, Salesforce GM, Blackbaud, or GivingData ships native WhatsApp. Salesforce GM customers can layer it via Service Cloud add-ons. The Kuja Grant innovation: WhatsApp as a first-class channel in the lifecycle — submit a status, get a deadline nudge, reply to a clarification — wired to the grant data model, not as a separate messaging app.</w:t>
      </w:r>
    </w:p>
    <w:p>
      <w:pPr>
        <w:pStyle w:val="Heading2"/>
        <w:spacing w:after="140" w:before="280"/>
      </w:pPr>
      <w:r>
        <w:rPr>
          <w:rFonts w:ascii="Arial" w:cs="Arial" w:eastAsia="Arial" w:hAnsi="Arial"/>
          <w:b/>
          <w:bCs/>
          <w:color w:val="7C2D12"/>
          <w:sz w:val="28"/>
          <w:szCs w:val="28"/>
        </w:rPr>
        <w:t xml:space="preserve">7.2 Voice-to-report (multilingual)</w:t>
      </w:r>
    </w:p>
    <w:p>
      <w:pPr>
        <w:spacing w:after="80" w:before="60" w:line="300"/>
        <w:jc w:val="left"/>
      </w:pPr>
      <w:r>
        <w:rPr>
          <w:rFonts w:ascii="Arial" w:cs="Arial" w:eastAsia="Arial" w:hAnsi="Arial"/>
          <w:color w:val="1A1410"/>
          <w:sz w:val="22"/>
          <w:szCs w:val="22"/>
        </w:rPr>
        <w:t xml:space="preserve">The case: writing a quarterly report in English takes a Kenyan field officer 3-4 hours. Speaking the same content in Swahili and letting AI transcribe and structure it takes 20 minutes. The barrier is not effort. It is the modality.</w:t>
      </w:r>
    </w:p>
    <w:p>
      <w:pPr>
        <w:spacing w:after="80" w:before="60" w:line="300"/>
        <w:jc w:val="left"/>
      </w:pPr>
      <w:r>
        <w:rPr>
          <w:rFonts w:ascii="Arial" w:cs="Arial" w:eastAsia="Arial" w:hAnsi="Arial"/>
          <w:color w:val="1A1410"/>
          <w:sz w:val="22"/>
          <w:szCs w:val="22"/>
        </w:rPr>
        <w:t xml:space="preserve">Prior art (M&amp;E category):</w:t>
      </w:r>
    </w:p>
    <w:p>
      <w:pPr>
        <w:pStyle w:val="ListParagraph"/>
        <w:numPr>
          <w:ilvl w:val="0"/>
          <w:numId w:val="2"/>
        </w:numPr>
        <w:spacing w:after="60" w:before="30" w:line="280"/>
      </w:pPr>
      <w:r>
        <w:rPr>
          <w:rFonts w:ascii="Arial" w:cs="Arial" w:eastAsia="Arial" w:hAnsi="Arial"/>
          <w:b/>
          <w:bCs/>
          <w:color w:val="1A1410"/>
          <w:sz w:val="22"/>
          <w:szCs w:val="22"/>
        </w:rPr>
        <w:t xml:space="preserve">KoboToolbox + CLEAR Global (Translators without Borders) </w:t>
      </w:r>
      <w:r>
        <w:rPr>
          <w:rFonts w:ascii="Arial" w:cs="Arial" w:eastAsia="Arial" w:hAnsi="Arial"/>
          <w:color w:val="1A1410"/>
          <w:sz w:val="22"/>
          <w:szCs w:val="22"/>
        </w:rPr>
        <w:t xml:space="preserve">— Integrated automatic speech recognition for marginalized languages via Cisco Foundation funding. Documentation states automatic transcription in 80 languages, automatic translation in 129 languages via Google Cloud. Manual transcription for unsupported languages. Targets Global South NGOs — most widely used humanitarian data platform.</w:t>
      </w:r>
    </w:p>
    <w:p>
      <w:pPr>
        <w:pStyle w:val="ListParagraph"/>
        <w:numPr>
          <w:ilvl w:val="0"/>
          <w:numId w:val="2"/>
        </w:numPr>
        <w:spacing w:after="60" w:before="30" w:line="280"/>
      </w:pPr>
      <w:r>
        <w:rPr>
          <w:rFonts w:ascii="Arial" w:cs="Arial" w:eastAsia="Arial" w:hAnsi="Arial"/>
          <w:b/>
          <w:bCs/>
          <w:color w:val="1A1410"/>
          <w:sz w:val="22"/>
          <w:szCs w:val="22"/>
        </w:rPr>
        <w:t xml:space="preserve">CommCare, SurveyCTO, ODK, ONA, mWater </w:t>
      </w:r>
      <w:r>
        <w:rPr>
          <w:rFonts w:ascii="Arial" w:cs="Arial" w:eastAsia="Arial" w:hAnsi="Arial"/>
          <w:color w:val="1A1410"/>
          <w:sz w:val="22"/>
          <w:szCs w:val="22"/>
        </w:rPr>
        <w:t xml:space="preserve">— Audio capture supported; no native AI transcription.</w:t>
      </w:r>
    </w:p>
    <w:p>
      <w:pPr>
        <w:spacing w:after="80" w:before="60" w:line="300"/>
        <w:jc w:val="left"/>
      </w:pPr>
      <w:r>
        <w:rPr>
          <w:rFonts w:ascii="Arial" w:cs="Arial" w:eastAsia="Arial" w:hAnsi="Arial"/>
          <w:color w:val="1A1410"/>
          <w:sz w:val="22"/>
          <w:szCs w:val="22"/>
        </w:rPr>
        <w:t xml:space="preserve">Verified GMS gap: zero incumbent GMS offers voice-to-report. The Kuja Grant innovation: voice as a first-class NGO reporting modality, with AI transcription, structuring, and translation built into the grant lifecycle — so the field officer's voice becomes a graded report line, not a transcription artifact in a separate tool.</w:t>
      </w:r>
    </w:p>
    <w:p>
      <w:pPr>
        <w:pStyle w:val="Heading2"/>
        <w:spacing w:after="140" w:before="280"/>
      </w:pPr>
      <w:r>
        <w:rPr>
          <w:rFonts w:ascii="Arial" w:cs="Arial" w:eastAsia="Arial" w:hAnsi="Arial"/>
          <w:b/>
          <w:bCs/>
          <w:color w:val="7C2D12"/>
          <w:sz w:val="28"/>
          <w:szCs w:val="28"/>
        </w:rPr>
        <w:t xml:space="preserve">7.3 Photo-as-evidence with AI labeling</w:t>
      </w:r>
    </w:p>
    <w:p>
      <w:pPr>
        <w:spacing w:after="80" w:before="60" w:line="300"/>
        <w:jc w:val="left"/>
      </w:pPr>
      <w:r>
        <w:rPr>
          <w:rFonts w:ascii="Arial" w:cs="Arial" w:eastAsia="Arial" w:hAnsi="Arial"/>
          <w:color w:val="1A1410"/>
          <w:sz w:val="22"/>
          <w:szCs w:val="22"/>
        </w:rPr>
        <w:t xml:space="preserve">The case: a borehole is built. A training is held. A water tank is delivered. The NGO's evidence to the donor is a photo. Today, that photo lives in an attachment to a quarterly report — context-less, manually labeled if at all, and indexed nowhere.</w:t>
      </w:r>
    </w:p>
    <w:p>
      <w:pPr>
        <w:spacing w:after="80" w:before="60" w:line="300"/>
        <w:jc w:val="left"/>
      </w:pPr>
      <w:r>
        <w:rPr>
          <w:rFonts w:ascii="Arial" w:cs="Arial" w:eastAsia="Arial" w:hAnsi="Arial"/>
          <w:color w:val="1A1410"/>
          <w:sz w:val="22"/>
          <w:szCs w:val="22"/>
        </w:rPr>
        <w:t xml:space="preserve">Prior art:</w:t>
      </w:r>
    </w:p>
    <w:p>
      <w:pPr>
        <w:pStyle w:val="ListParagraph"/>
        <w:numPr>
          <w:ilvl w:val="0"/>
          <w:numId w:val="2"/>
        </w:numPr>
        <w:spacing w:after="60" w:before="30" w:line="280"/>
      </w:pPr>
      <w:r>
        <w:rPr>
          <w:rFonts w:ascii="Arial" w:cs="Arial" w:eastAsia="Arial" w:hAnsi="Arial"/>
          <w:b/>
          <w:bCs/>
          <w:color w:val="1A1410"/>
          <w:sz w:val="22"/>
          <w:szCs w:val="22"/>
        </w:rPr>
        <w:t xml:space="preserve">SurveyCTO </w:t>
      </w:r>
      <w:r>
        <w:rPr>
          <w:rFonts w:ascii="Arial" w:cs="Arial" w:eastAsia="Arial" w:hAnsi="Arial"/>
          <w:color w:val="1A1410"/>
          <w:sz w:val="22"/>
          <w:szCs w:val="22"/>
        </w:rPr>
        <w:t xml:space="preserve">— Supports image capture and image annotation (user-driven `annotate` field) but no AI auto-labeling.</w:t>
      </w:r>
    </w:p>
    <w:p>
      <w:pPr>
        <w:pStyle w:val="ListParagraph"/>
        <w:numPr>
          <w:ilvl w:val="0"/>
          <w:numId w:val="2"/>
        </w:numPr>
        <w:spacing w:after="60" w:before="30" w:line="280"/>
      </w:pPr>
      <w:r>
        <w:rPr>
          <w:rFonts w:ascii="Arial" w:cs="Arial" w:eastAsia="Arial" w:hAnsi="Arial"/>
          <w:b/>
          <w:bCs/>
          <w:color w:val="1A1410"/>
          <w:sz w:val="22"/>
          <w:szCs w:val="22"/>
        </w:rPr>
        <w:t xml:space="preserve">KoboToolbox, ODK, CommCare </w:t>
      </w:r>
      <w:r>
        <w:rPr>
          <w:rFonts w:ascii="Arial" w:cs="Arial" w:eastAsia="Arial" w:hAnsi="Arial"/>
          <w:color w:val="1A1410"/>
          <w:sz w:val="22"/>
          <w:szCs w:val="22"/>
        </w:rPr>
        <w:t xml:space="preserve">— Image capture, geotag, manual tagging. No documented AI auto-labeling.</w:t>
      </w:r>
    </w:p>
    <w:p>
      <w:pPr>
        <w:pStyle w:val="ListParagraph"/>
        <w:numPr>
          <w:ilvl w:val="0"/>
          <w:numId w:val="2"/>
        </w:numPr>
        <w:spacing w:after="60" w:before="30" w:line="280"/>
      </w:pPr>
      <w:r>
        <w:rPr>
          <w:rFonts w:ascii="Arial" w:cs="Arial" w:eastAsia="Arial" w:hAnsi="Arial"/>
          <w:b/>
          <w:bCs/>
          <w:color w:val="1A1410"/>
          <w:sz w:val="22"/>
          <w:szCs w:val="22"/>
        </w:rPr>
        <w:t xml:space="preserve">Commercial image-recognition products (FieldPie, Form.com, Reveal) </w:t>
      </w:r>
      <w:r>
        <w:rPr>
          <w:rFonts w:ascii="Arial" w:cs="Arial" w:eastAsia="Arial" w:hAnsi="Arial"/>
          <w:color w:val="1A1410"/>
          <w:sz w:val="22"/>
          <w:szCs w:val="22"/>
        </w:rPr>
        <w:t xml:space="preserve">— Exist for retail and eDiscovery. Not nonprofit or NGO-specific.</w:t>
      </w:r>
    </w:p>
    <w:p>
      <w:pPr>
        <w:spacing w:after="80" w:before="60" w:line="300"/>
        <w:jc w:val="left"/>
      </w:pPr>
      <w:r>
        <w:rPr>
          <w:rFonts w:ascii="Arial" w:cs="Arial" w:eastAsia="Arial" w:hAnsi="Arial"/>
          <w:color w:val="1A1410"/>
          <w:sz w:val="22"/>
          <w:szCs w:val="22"/>
        </w:rPr>
        <w:t xml:space="preserve">Verified GMS gap: not documented in any GMS. Blackbaud's Financial Edge NXT Document Intelligence extracts data from invoice photos — for finance, not grant impact evidence. The Kuja Grant innovation: photo-as-evidence is a grant compliance artifact. AI labels the photo, geo-tags it, attaches it to the right report line, and feeds it into the per-requirement evaluation. This is the strongest pure differentiator in the accessibility stack.</w:t>
      </w:r>
    </w:p>
    <w:p>
      <w:pPr>
        <w:pStyle w:val="Heading2"/>
        <w:spacing w:after="140" w:before="280"/>
      </w:pPr>
      <w:r>
        <w:rPr>
          <w:rFonts w:ascii="Arial" w:cs="Arial" w:eastAsia="Arial" w:hAnsi="Arial"/>
          <w:b/>
          <w:bCs/>
          <w:color w:val="7C2D12"/>
          <w:sz w:val="28"/>
          <w:szCs w:val="28"/>
        </w:rPr>
        <w:t xml:space="preserve">7.4 Six-language workflow parity (EN / FR / AR / SW / SO / ES)</w:t>
      </w:r>
    </w:p>
    <w:p>
      <w:pPr>
        <w:spacing w:after="80" w:before="60" w:line="300"/>
        <w:jc w:val="left"/>
      </w:pPr>
      <w:r>
        <w:rPr>
          <w:rFonts w:ascii="Arial" w:cs="Arial" w:eastAsia="Arial" w:hAnsi="Arial"/>
          <w:color w:val="1A1410"/>
          <w:sz w:val="22"/>
          <w:szCs w:val="22"/>
        </w:rPr>
        <w:t xml:space="preserve">The case: a Somali NGO field officer should be able to read a grant call, draft an application, file a report, and read the reviewer feedback in Somali. None of those things exists in any incumbent GMS workflow today.</w:t>
      </w:r>
    </w:p>
    <w:p>
      <w:pPr>
        <w:spacing w:after="80" w:before="60" w:line="300"/>
        <w:jc w:val="left"/>
      </w:pPr>
      <w:r>
        <w:rPr>
          <w:rFonts w:ascii="Arial" w:cs="Arial" w:eastAsia="Arial" w:hAnsi="Arial"/>
          <w:color w:val="1A1410"/>
          <w:sz w:val="22"/>
          <w:szCs w:val="22"/>
        </w:rPr>
        <w:t xml:space="preserve">Prior art:</w:t>
      </w:r>
    </w:p>
    <w:p>
      <w:pPr>
        <w:pStyle w:val="ListParagraph"/>
        <w:numPr>
          <w:ilvl w:val="0"/>
          <w:numId w:val="2"/>
        </w:numPr>
        <w:spacing w:after="60" w:before="30" w:line="280"/>
      </w:pPr>
      <w:r>
        <w:rPr>
          <w:rFonts w:ascii="Arial" w:cs="Arial" w:eastAsia="Arial" w:hAnsi="Arial"/>
          <w:b/>
          <w:bCs/>
          <w:color w:val="1A1410"/>
          <w:sz w:val="22"/>
          <w:szCs w:val="22"/>
        </w:rPr>
        <w:t xml:space="preserve">Submittable </w:t>
      </w:r>
      <w:r>
        <w:rPr>
          <w:rFonts w:ascii="Arial" w:cs="Arial" w:eastAsia="Arial" w:hAnsi="Arial"/>
          <w:color w:val="1A1410"/>
          <w:sz w:val="22"/>
          <w:szCs w:val="22"/>
        </w:rPr>
        <w:t xml:space="preserve">— 50 UI languages including Kiswahili and Soomaaliga. Paywall add-on. UI-only — buttons, menus, static text, dialog boxes. Forms, emails, reviewer comments are NOT translated. RTL Arabic acknowledged as "not fully supported." The closest accessibility credential in the comparison group.</w:t>
      </w:r>
    </w:p>
    <w:p>
      <w:pPr>
        <w:pStyle w:val="ListParagraph"/>
        <w:numPr>
          <w:ilvl w:val="0"/>
          <w:numId w:val="2"/>
        </w:numPr>
        <w:spacing w:after="60" w:before="30" w:line="280"/>
      </w:pPr>
      <w:r>
        <w:rPr>
          <w:rFonts w:ascii="Arial" w:cs="Arial" w:eastAsia="Arial" w:hAnsi="Arial"/>
          <w:b/>
          <w:bCs/>
          <w:color w:val="1A1410"/>
          <w:sz w:val="22"/>
          <w:szCs w:val="22"/>
        </w:rPr>
        <w:t xml:space="preserve">Good Grants </w:t>
      </w:r>
      <w:r>
        <w:rPr>
          <w:rFonts w:ascii="Arial" w:cs="Arial" w:eastAsia="Arial" w:hAnsi="Arial"/>
          <w:color w:val="1A1410"/>
          <w:sz w:val="22"/>
          <w:szCs w:val="22"/>
        </w:rPr>
        <w:t xml:space="preserve">— Supports Arabic, French, Swahili and "many other languages" for multi-currency + multilingual grantmaking. Workflow scope not verified.</w:t>
      </w:r>
    </w:p>
    <w:p>
      <w:pPr>
        <w:pStyle w:val="ListParagraph"/>
        <w:numPr>
          <w:ilvl w:val="0"/>
          <w:numId w:val="2"/>
        </w:numPr>
        <w:spacing w:after="60" w:before="30" w:line="280"/>
      </w:pPr>
      <w:r>
        <w:rPr>
          <w:rFonts w:ascii="Arial" w:cs="Arial" w:eastAsia="Arial" w:hAnsi="Arial"/>
          <w:b/>
          <w:bCs/>
          <w:color w:val="1A1410"/>
          <w:sz w:val="22"/>
          <w:szCs w:val="22"/>
        </w:rPr>
        <w:t xml:space="preserve">SmartSimple Cloud </w:t>
      </w:r>
      <w:r>
        <w:rPr>
          <w:rFonts w:ascii="Arial" w:cs="Arial" w:eastAsia="Arial" w:hAnsi="Arial"/>
          <w:color w:val="1A1410"/>
          <w:sz w:val="22"/>
          <w:szCs w:val="22"/>
        </w:rPr>
        <w:t xml:space="preserve">— True localization with per-field multilingual captions, help text, validation messages. Languages not enumerated. Translation via OpenAI relies on LLM quality.</w:t>
      </w:r>
    </w:p>
    <w:p>
      <w:pPr>
        <w:pStyle w:val="ListParagraph"/>
        <w:numPr>
          <w:ilvl w:val="0"/>
          <w:numId w:val="2"/>
        </w:numPr>
        <w:spacing w:after="60" w:before="30" w:line="280"/>
      </w:pPr>
      <w:r>
        <w:rPr>
          <w:rFonts w:ascii="Arial" w:cs="Arial" w:eastAsia="Arial" w:hAnsi="Arial"/>
          <w:b/>
          <w:bCs/>
          <w:color w:val="1A1410"/>
          <w:sz w:val="22"/>
          <w:szCs w:val="22"/>
        </w:rPr>
        <w:t xml:space="preserve">Foundant, Fluxx, Blackbaud, GivingData </w:t>
      </w:r>
      <w:r>
        <w:rPr>
          <w:rFonts w:ascii="Arial" w:cs="Arial" w:eastAsia="Arial" w:hAnsi="Arial"/>
          <w:color w:val="1A1410"/>
          <w:sz w:val="22"/>
          <w:szCs w:val="22"/>
        </w:rPr>
        <w:t xml:space="preserve">— No documented language-parity claim for African languages.</w:t>
      </w:r>
    </w:p>
    <w:p>
      <w:pPr>
        <w:pStyle w:val="ListParagraph"/>
        <w:numPr>
          <w:ilvl w:val="0"/>
          <w:numId w:val="2"/>
        </w:numPr>
        <w:spacing w:after="60" w:before="30" w:line="280"/>
      </w:pPr>
      <w:r>
        <w:rPr>
          <w:rFonts w:ascii="Arial" w:cs="Arial" w:eastAsia="Arial" w:hAnsi="Arial"/>
          <w:b/>
          <w:bCs/>
          <w:color w:val="1A1410"/>
          <w:sz w:val="22"/>
          <w:szCs w:val="22"/>
        </w:rPr>
        <w:t xml:space="preserve">Salesforce </w:t>
      </w:r>
      <w:r>
        <w:rPr>
          <w:rFonts w:ascii="Arial" w:cs="Arial" w:eastAsia="Arial" w:hAnsi="Arial"/>
          <w:color w:val="1A1410"/>
          <w:sz w:val="22"/>
          <w:szCs w:val="22"/>
        </w:rPr>
        <w:t xml:space="preserve">— Platform supports Arabic and French; Somali absent from language list. Grantmaking workflow-level parity not documented.</w:t>
      </w:r>
    </w:p>
    <w:p>
      <w:pPr>
        <w:spacing w:after="80" w:before="60" w:line="300"/>
        <w:jc w:val="left"/>
      </w:pPr>
      <w:r>
        <w:rPr>
          <w:rFonts w:ascii="Arial" w:cs="Arial" w:eastAsia="Arial" w:hAnsi="Arial"/>
          <w:color w:val="1A1410"/>
          <w:sz w:val="22"/>
          <w:szCs w:val="22"/>
        </w:rPr>
        <w:t xml:space="preserve">The Kuja Grant innovation, sharpened: not "the only GMS with any Somali support" — but the only GMS with workflow-level six-language parity (forms, emails, reviewer comments, AI scoring) including Somali. Submittable's UI-only support is a category precedent we acknowledge.</w:t>
      </w:r>
    </w:p>
    <w:p>
      <w:pPr>
        <w:pStyle w:val="Heading2"/>
        <w:spacing w:after="140" w:before="280"/>
      </w:pPr>
      <w:r>
        <w:rPr>
          <w:rFonts w:ascii="Arial" w:cs="Arial" w:eastAsia="Arial" w:hAnsi="Arial"/>
          <w:b/>
          <w:bCs/>
          <w:color w:val="7C2D12"/>
          <w:sz w:val="28"/>
          <w:szCs w:val="28"/>
        </w:rPr>
        <w:t xml:space="preserve">7.5 Mobile-first / low-bandwidth / offline-tolerant</w:t>
      </w:r>
    </w:p>
    <w:p>
      <w:pPr>
        <w:spacing w:after="80" w:before="60" w:line="300"/>
        <w:jc w:val="left"/>
      </w:pPr>
      <w:r>
        <w:rPr>
          <w:rFonts w:ascii="Arial" w:cs="Arial" w:eastAsia="Arial" w:hAnsi="Arial"/>
          <w:color w:val="1A1410"/>
          <w:sz w:val="22"/>
          <w:szCs w:val="22"/>
        </w:rPr>
        <w:t xml:space="preserve">The case: a field officer's phone has 3G, intermittently. A grant report should be drafted offline and synced when the connection is restored. The web app should load progressively. The voice and photo features should work without a live connection.</w:t>
      </w:r>
    </w:p>
    <w:p>
      <w:pPr>
        <w:spacing w:after="80" w:before="60" w:line="300"/>
        <w:jc w:val="left"/>
      </w:pPr>
      <w:r>
        <w:rPr>
          <w:rFonts w:ascii="Arial" w:cs="Arial" w:eastAsia="Arial" w:hAnsi="Arial"/>
          <w:color w:val="1A1410"/>
          <w:sz w:val="22"/>
          <w:szCs w:val="22"/>
        </w:rPr>
        <w:t xml:space="preserve">Prior art (well-established in M&amp;E):</w:t>
      </w:r>
    </w:p>
    <w:p>
      <w:pPr>
        <w:pStyle w:val="ListParagraph"/>
        <w:numPr>
          <w:ilvl w:val="0"/>
          <w:numId w:val="2"/>
        </w:numPr>
        <w:spacing w:after="60" w:before="30" w:line="280"/>
      </w:pPr>
      <w:r>
        <w:rPr>
          <w:rFonts w:ascii="Arial" w:cs="Arial" w:eastAsia="Arial" w:hAnsi="Arial"/>
          <w:b/>
          <w:bCs/>
          <w:color w:val="1A1410"/>
          <w:sz w:val="22"/>
          <w:szCs w:val="22"/>
        </w:rPr>
        <w:t xml:space="preserve">CommCare (Dimagi) </w:t>
      </w:r>
      <w:r>
        <w:rPr>
          <w:rFonts w:ascii="Arial" w:cs="Arial" w:eastAsia="Arial" w:hAnsi="Arial"/>
          <w:color w:val="1A1410"/>
          <w:sz w:val="22"/>
          <w:szCs w:val="22"/>
        </w:rPr>
        <w:t xml:space="preserve">— Open-source, offline-first, Java + Android. Used by 700,000 community health workers in 80+ countries. Specialized for low-literate users. 400M+ people registered. Targets Global South.</w:t>
      </w:r>
    </w:p>
    <w:p>
      <w:pPr>
        <w:pStyle w:val="ListParagraph"/>
        <w:numPr>
          <w:ilvl w:val="0"/>
          <w:numId w:val="2"/>
        </w:numPr>
        <w:spacing w:after="60" w:before="30" w:line="280"/>
      </w:pPr>
      <w:r>
        <w:rPr>
          <w:rFonts w:ascii="Arial" w:cs="Arial" w:eastAsia="Arial" w:hAnsi="Arial"/>
          <w:b/>
          <w:bCs/>
          <w:color w:val="1A1410"/>
          <w:sz w:val="22"/>
          <w:szCs w:val="22"/>
        </w:rPr>
        <w:t xml:space="preserve">KoboToolbox </w:t>
      </w:r>
      <w:r>
        <w:rPr>
          <w:rFonts w:ascii="Arial" w:cs="Arial" w:eastAsia="Arial" w:hAnsi="Arial"/>
          <w:color w:val="1A1410"/>
          <w:sz w:val="22"/>
          <w:szCs w:val="22"/>
        </w:rPr>
        <w:t xml:space="preserve">— Offline-first via KoboCollect Android app. Widely deployed in humanitarian settings.</w:t>
      </w:r>
    </w:p>
    <w:p>
      <w:pPr>
        <w:pStyle w:val="ListParagraph"/>
        <w:numPr>
          <w:ilvl w:val="0"/>
          <w:numId w:val="2"/>
        </w:numPr>
        <w:spacing w:after="60" w:before="30" w:line="280"/>
      </w:pPr>
      <w:r>
        <w:rPr>
          <w:rFonts w:ascii="Arial" w:cs="Arial" w:eastAsia="Arial" w:hAnsi="Arial"/>
          <w:b/>
          <w:bCs/>
          <w:color w:val="1A1410"/>
          <w:sz w:val="22"/>
          <w:szCs w:val="22"/>
        </w:rPr>
        <w:t xml:space="preserve">ODK </w:t>
      </w:r>
      <w:r>
        <w:rPr>
          <w:rFonts w:ascii="Arial" w:cs="Arial" w:eastAsia="Arial" w:hAnsi="Arial"/>
          <w:color w:val="1A1410"/>
          <w:sz w:val="22"/>
          <w:szCs w:val="22"/>
        </w:rPr>
        <w:t xml:space="preserve">— The parent ecosystem CommCare, Kobo, SurveyCTO derive from.</w:t>
      </w:r>
    </w:p>
    <w:p>
      <w:pPr>
        <w:pStyle w:val="ListParagraph"/>
        <w:numPr>
          <w:ilvl w:val="0"/>
          <w:numId w:val="2"/>
        </w:numPr>
        <w:spacing w:after="60" w:before="30" w:line="280"/>
      </w:pPr>
      <w:r>
        <w:rPr>
          <w:rFonts w:ascii="Arial" w:cs="Arial" w:eastAsia="Arial" w:hAnsi="Arial"/>
          <w:b/>
          <w:bCs/>
          <w:color w:val="1A1410"/>
          <w:sz w:val="22"/>
          <w:szCs w:val="22"/>
        </w:rPr>
        <w:t xml:space="preserve">SurveyCTO </w:t>
      </w:r>
      <w:r>
        <w:rPr>
          <w:rFonts w:ascii="Arial" w:cs="Arial" w:eastAsia="Arial" w:hAnsi="Arial"/>
          <w:color w:val="1A1410"/>
          <w:sz w:val="22"/>
          <w:szCs w:val="22"/>
        </w:rPr>
        <w:t xml:space="preserve">— "Fully offline data collection, syncing seamlessly once connection is available." Used by J-PAL globally.</w:t>
      </w:r>
    </w:p>
    <w:p>
      <w:pPr>
        <w:pStyle w:val="ListParagraph"/>
        <w:numPr>
          <w:ilvl w:val="0"/>
          <w:numId w:val="2"/>
        </w:numPr>
        <w:spacing w:after="60" w:before="30" w:line="280"/>
      </w:pPr>
      <w:r>
        <w:rPr>
          <w:rFonts w:ascii="Arial" w:cs="Arial" w:eastAsia="Arial" w:hAnsi="Arial"/>
          <w:b/>
          <w:bCs/>
          <w:color w:val="1A1410"/>
          <w:sz w:val="22"/>
          <w:szCs w:val="22"/>
        </w:rPr>
        <w:t xml:space="preserve">DHIS2 / OpenMRS </w:t>
      </w:r>
      <w:r>
        <w:rPr>
          <w:rFonts w:ascii="Arial" w:cs="Arial" w:eastAsia="Arial" w:hAnsi="Arial"/>
          <w:color w:val="1A1410"/>
          <w:sz w:val="22"/>
          <w:szCs w:val="22"/>
        </w:rPr>
        <w:t xml:space="preserve">— Offline-first via mobile capture apps. Deployed in MoH settings across Africa and Asia.</w:t>
      </w:r>
    </w:p>
    <w:p>
      <w:pPr>
        <w:spacing w:after="80" w:before="60" w:line="300"/>
        <w:jc w:val="left"/>
      </w:pPr>
      <w:r>
        <w:rPr>
          <w:rFonts w:ascii="Arial" w:cs="Arial" w:eastAsia="Arial" w:hAnsi="Arial"/>
          <w:color w:val="1A1410"/>
          <w:sz w:val="22"/>
          <w:szCs w:val="22"/>
        </w:rPr>
        <w:t xml:space="preserve">Verified GMS gap: Fluxx markets "cloud-based, mobile-optimized" — meaning responsive web, not offline-first. No GMS vendor markets offline-first reporting or low-bandwidth design. The Kuja Grant innovation: bringing the M&amp;E offline-first ethos to GMS — and acknowledging the precedent rather than claiming pioneer status.</w:t>
      </w:r>
    </w:p>
    <w:p>
      <w:pPr>
        <w:pStyle w:val="Heading2"/>
        <w:spacing w:after="140" w:before="280"/>
      </w:pPr>
      <w:r>
        <w:rPr>
          <w:rFonts w:ascii="Arial" w:cs="Arial" w:eastAsia="Arial" w:hAnsi="Arial"/>
          <w:b/>
          <w:bCs/>
          <w:color w:val="7C2D12"/>
          <w:sz w:val="28"/>
          <w:szCs w:val="28"/>
        </w:rPr>
        <w:t xml:space="preserve">7.6 AI compliance coach (the expertise gap, addressed inline)</w:t>
      </w:r>
    </w:p>
    <w:p>
      <w:pPr>
        <w:spacing w:after="80" w:before="60" w:line="300"/>
        <w:jc w:val="left"/>
      </w:pPr>
      <w:r>
        <w:rPr>
          <w:rFonts w:ascii="Arial" w:cs="Arial" w:eastAsia="Arial" w:hAnsi="Arial"/>
          <w:color w:val="1A1410"/>
          <w:sz w:val="22"/>
          <w:szCs w:val="22"/>
        </w:rPr>
        <w:t xml:space="preserve">The case: a small NGO doesn't have a dedicated compliance team. Its program lead is also its finance lead is also its M&amp;E lead. Today, the expertise gap is addressed by donor-side consultants — expensive and slow. Or by hard-coded compliance forms — rigid and uninformative.</w:t>
      </w:r>
    </w:p>
    <w:p>
      <w:pPr>
        <w:spacing w:after="80" w:before="60" w:line="300"/>
        <w:jc w:val="left"/>
      </w:pPr>
      <w:r>
        <w:rPr>
          <w:rFonts w:ascii="Arial" w:cs="Arial" w:eastAsia="Arial" w:hAnsi="Arial"/>
          <w:color w:val="1A1410"/>
          <w:sz w:val="22"/>
          <w:szCs w:val="22"/>
        </w:rPr>
        <w:t xml:space="preserve">Kuja Grant's AI compliance coach addresses each agreement requirement with plain-language explanations: what the requirement actually asks for, why the donor cares, how to satisfy it, and what evidence to attach. Built on Anthropic Claude, grounded in the agreement and the NGO's prior reports, audited and citable.</w:t>
      </w:r>
    </w:p>
    <w:p>
      <w:pPr>
        <w:spacing w:after="80" w:before="60" w:line="300"/>
        <w:jc w:val="left"/>
      </w:pPr>
      <w:r>
        <w:rPr>
          <w:rFonts w:ascii="Arial" w:cs="Arial" w:eastAsia="Arial" w:hAnsi="Arial"/>
          <w:color w:val="1A1410"/>
          <w:sz w:val="22"/>
          <w:szCs w:val="22"/>
        </w:rPr>
        <w:t xml:space="preserve">No incumbent ships an NGO-side AI compliance coach. This is a pure differentiator.</w:t>
      </w:r>
    </w:p>
    <w:p>
      <w:pPr>
        <w:pStyle w:val="Heading2"/>
        <w:spacing w:after="140" w:before="280"/>
      </w:pPr>
      <w:r>
        <w:rPr>
          <w:rFonts w:ascii="Arial" w:cs="Arial" w:eastAsia="Arial" w:hAnsi="Arial"/>
          <w:b/>
          <w:bCs/>
          <w:color w:val="7C2D12"/>
          <w:sz w:val="28"/>
          <w:szCs w:val="28"/>
        </w:rPr>
        <w:t xml:space="preserve">7.7 The combination is the moat</w:t>
      </w:r>
    </w:p>
    <w:p>
      <w:pPr>
        <w:spacing w:after="80" w:before="60" w:line="300"/>
        <w:jc w:val="left"/>
      </w:pPr>
      <w:r>
        <w:rPr>
          <w:rFonts w:ascii="Arial" w:cs="Arial" w:eastAsia="Arial" w:hAnsi="Arial"/>
          <w:color w:val="1A1410"/>
          <w:sz w:val="22"/>
          <w:szCs w:val="22"/>
        </w:rPr>
        <w:t xml:space="preserve">Re-stating the headline of Section 1: individual feature precedents exist in adjacent categories. WhatsApp middleware exists (Glific, Turn.io). Voice-to-text exists in M&amp;E (Kobo + CLEAR Global). Offline-first exists in field tools (CommCare, Kobo, SurveyCTO). UI localization exists in one GMS (Submittable).</w:t>
      </w:r>
    </w:p>
    <w:p>
      <w:pPr>
        <w:spacing w:after="80" w:before="60" w:line="300"/>
        <w:jc w:val="left"/>
      </w:pPr>
      <w:r>
        <w:rPr>
          <w:rFonts w:ascii="Arial" w:cs="Arial" w:eastAsia="Arial" w:hAnsi="Arial"/>
          <w:color w:val="1A1410"/>
          <w:sz w:val="22"/>
          <w:szCs w:val="22"/>
        </w:rPr>
        <w:t xml:space="preserve">The product that combines ALL of these with the grant lifecycle and AI compliance evaluation does not exist outside Kuja Grant. That is not a marketing claim — it is the verified finding of this analysis after reviewing seven incumbent vendors and the adjacent middleware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2"/>
                <w:szCs w:val="22"/>
              </w:rPr>
              <w:t xml:space="preserve">The right framing: Kuja Grant brings M&amp;E-grade field tooling and AI compliance to the GMS category.</w:t>
            </w:r>
          </w:p>
          <w:p>
            <w:pPr>
              <w:spacing w:before="80"/>
            </w:pPr>
            <w:r>
              <w:rPr>
                <w:rFonts w:ascii="Arial" w:cs="Arial" w:eastAsia="Arial" w:hAnsi="Arial"/>
                <w:color w:val="1A1410"/>
                <w:sz w:val="22"/>
                <w:szCs w:val="22"/>
              </w:rPr>
              <w:t xml:space="preserve">It is not the first to do voice transcription or offline forms or WhatsApp messaging. It is the first to integrate all of them into a product that runs the grant lifecycle, grades reports against agreements, and anchors every signature in a tamper-evident audit chain.</w:t>
            </w:r>
          </w:p>
        </w:tc>
      </w:tr>
    </w:tbl>
    <w:p>
      <w:pPr>
        <w:pStyle w:val="Heading1"/>
        <w:pageBreakBefore/>
        <w:spacing w:after="200" w:before="320"/>
      </w:pPr>
      <w:r>
        <w:rPr>
          <w:rFonts w:ascii="Arial" w:cs="Arial" w:eastAsia="Arial" w:hAnsi="Arial"/>
          <w:b/>
          <w:bCs/>
          <w:color w:val="C2410C"/>
          <w:sz w:val="36"/>
          <w:szCs w:val="36"/>
        </w:rPr>
        <w:t xml:space="preserve">8. AI-Driven Reporting &amp; Compliance — The Headline Differentiator</w:t>
      </w:r>
    </w:p>
    <w:p>
      <w:pPr>
        <w:spacing w:after="80" w:before="60" w:line="300"/>
        <w:jc w:val="left"/>
      </w:pPr>
      <w:r>
        <w:rPr>
          <w:rFonts w:ascii="Arial" w:cs="Arial" w:eastAsia="Arial" w:hAnsi="Arial"/>
          <w:color w:val="1A1410"/>
          <w:sz w:val="22"/>
          <w:szCs w:val="22"/>
        </w:rPr>
        <w:t xml:space="preserve">If the accessibility moat (Section 7) is the surface that makes the floor lower, the AI-driven reporting and compliance layer is the surface that makes the donor write the check. Every conversation with foundation officers and bilateral compliance leads comes back to the same question: "What changes from today's grant management practice?"</w:t>
      </w:r>
    </w:p>
    <w:p>
      <w:pPr>
        <w:spacing w:after="80" w:before="60" w:line="300"/>
        <w:jc w:val="left"/>
      </w:pPr>
      <w:r>
        <w:rPr>
          <w:rFonts w:ascii="Arial" w:cs="Arial" w:eastAsia="Arial" w:hAnsi="Arial"/>
          <w:color w:val="1A1410"/>
          <w:sz w:val="22"/>
          <w:szCs w:val="22"/>
        </w:rPr>
        <w:t xml:space="preserve">The answer is the per-requirement evaluation pipeline. This section describes it and contrasts it with what incumbent vendors ship.</w:t>
      </w:r>
    </w:p>
    <w:p>
      <w:pPr>
        <w:pStyle w:val="Heading2"/>
        <w:spacing w:after="140" w:before="280"/>
      </w:pPr>
      <w:r>
        <w:rPr>
          <w:rFonts w:ascii="Arial" w:cs="Arial" w:eastAsia="Arial" w:hAnsi="Arial"/>
          <w:b/>
          <w:bCs/>
          <w:color w:val="7C2D12"/>
          <w:sz w:val="28"/>
          <w:szCs w:val="28"/>
        </w:rPr>
        <w:t xml:space="preserve">8.1 What incumbent AI does today</w:t>
      </w:r>
    </w:p>
    <w:p>
      <w:pPr>
        <w:spacing w:after="80" w:before="60" w:line="300"/>
        <w:jc w:val="left"/>
      </w:pPr>
      <w:r>
        <w:rPr>
          <w:rFonts w:ascii="Arial" w:cs="Arial" w:eastAsia="Arial" w:hAnsi="Arial"/>
          <w:color w:val="1A1410"/>
          <w:sz w:val="22"/>
          <w:szCs w:val="22"/>
        </w:rPr>
        <w:t xml:space="preserve">The verified state across the seven incumbents:</w:t>
      </w:r>
    </w:p>
    <w:p>
      <w:pPr>
        <w:pStyle w:val="ListParagraph"/>
        <w:numPr>
          <w:ilvl w:val="0"/>
          <w:numId w:val="2"/>
        </w:numPr>
        <w:spacing w:after="60" w:before="30" w:line="280"/>
      </w:pPr>
      <w:r>
        <w:rPr>
          <w:rFonts w:ascii="Arial" w:cs="Arial" w:eastAsia="Arial" w:hAnsi="Arial"/>
          <w:b/>
          <w:bCs/>
          <w:color w:val="1A1410"/>
          <w:sz w:val="22"/>
          <w:szCs w:val="22"/>
        </w:rPr>
        <w:t xml:space="preserve">Application summarization. </w:t>
      </w:r>
      <w:r>
        <w:rPr>
          <w:rFonts w:ascii="Arial" w:cs="Arial" w:eastAsia="Arial" w:hAnsi="Arial"/>
          <w:color w:val="1A1410"/>
          <w:sz w:val="22"/>
          <w:szCs w:val="22"/>
        </w:rPr>
        <w:t xml:space="preserve">Salesforce Einstein Grantmaking Summaries (GA fall 2025). Fluxx AI Summarization. SmartSimple application summarization. Foundant AI summarization. Common pattern: take the long application, produce a short summary for the reviewer.</w:t>
      </w:r>
    </w:p>
    <w:p>
      <w:pPr>
        <w:pStyle w:val="ListParagraph"/>
        <w:numPr>
          <w:ilvl w:val="0"/>
          <w:numId w:val="2"/>
        </w:numPr>
        <w:spacing w:after="60" w:before="30" w:line="280"/>
      </w:pPr>
      <w:r>
        <w:rPr>
          <w:rFonts w:ascii="Arial" w:cs="Arial" w:eastAsia="Arial" w:hAnsi="Arial"/>
          <w:b/>
          <w:bCs/>
          <w:color w:val="1A1410"/>
          <w:sz w:val="22"/>
          <w:szCs w:val="22"/>
        </w:rPr>
        <w:t xml:space="preserve">Rubric-based scoring. </w:t>
      </w:r>
      <w:r>
        <w:rPr>
          <w:rFonts w:ascii="Arial" w:cs="Arial" w:eastAsia="Arial" w:hAnsi="Arial"/>
          <w:color w:val="1A1410"/>
          <w:sz w:val="22"/>
          <w:szCs w:val="22"/>
        </w:rPr>
        <w:t xml:space="preserve">Submittable Review AI is the most advanced — automated rubric scoring with extraction from forms and IDs. SmartSimple +AI offers application-to-reviewer matching. No incumbent grounds scores with verifiable citations back to the application.</w:t>
      </w:r>
    </w:p>
    <w:p>
      <w:pPr>
        <w:pStyle w:val="ListParagraph"/>
        <w:numPr>
          <w:ilvl w:val="0"/>
          <w:numId w:val="2"/>
        </w:numPr>
        <w:spacing w:after="60" w:before="30" w:line="280"/>
      </w:pPr>
      <w:r>
        <w:rPr>
          <w:rFonts w:ascii="Arial" w:cs="Arial" w:eastAsia="Arial" w:hAnsi="Arial"/>
          <w:b/>
          <w:bCs/>
          <w:color w:val="1A1410"/>
          <w:sz w:val="22"/>
          <w:szCs w:val="22"/>
        </w:rPr>
        <w:t xml:space="preserve">Document extraction. </w:t>
      </w:r>
      <w:r>
        <w:rPr>
          <w:rFonts w:ascii="Arial" w:cs="Arial" w:eastAsia="Arial" w:hAnsi="Arial"/>
          <w:color w:val="1A1410"/>
          <w:sz w:val="22"/>
          <w:szCs w:val="22"/>
        </w:rPr>
        <w:t xml:space="preserve">Fluxx Grantee Report Extraction (pulls updates from progress reports). Blackbaud Financial Edge NXT Document Intelligence (vendor names, amounts, dates from invoices). Common pattern: parse the document, surface key fields.</w:t>
      </w:r>
    </w:p>
    <w:p>
      <w:pPr>
        <w:pStyle w:val="ListParagraph"/>
        <w:numPr>
          <w:ilvl w:val="0"/>
          <w:numId w:val="2"/>
        </w:numPr>
        <w:spacing w:after="60" w:before="30" w:line="280"/>
      </w:pPr>
      <w:r>
        <w:rPr>
          <w:rFonts w:ascii="Arial" w:cs="Arial" w:eastAsia="Arial" w:hAnsi="Arial"/>
          <w:b/>
          <w:bCs/>
          <w:color w:val="1A1410"/>
          <w:sz w:val="22"/>
          <w:szCs w:val="22"/>
        </w:rPr>
        <w:t xml:space="preserve">Generative drafting. </w:t>
      </w:r>
      <w:r>
        <w:rPr>
          <w:rFonts w:ascii="Arial" w:cs="Arial" w:eastAsia="Arial" w:hAnsi="Arial"/>
          <w:color w:val="1A1410"/>
          <w:sz w:val="22"/>
          <w:szCs w:val="22"/>
        </w:rPr>
        <w:t xml:space="preserve">SmartSimple +AI generates award letters, declination letters, board-book narratives, thank-you notes. Salesforce Notes Summaries.</w:t>
      </w:r>
    </w:p>
    <w:p>
      <w:pPr>
        <w:pStyle w:val="ListParagraph"/>
        <w:numPr>
          <w:ilvl w:val="0"/>
          <w:numId w:val="2"/>
        </w:numPr>
        <w:spacing w:after="60" w:before="30" w:line="280"/>
      </w:pPr>
      <w:r>
        <w:rPr>
          <w:rFonts w:ascii="Arial" w:cs="Arial" w:eastAsia="Arial" w:hAnsi="Arial"/>
          <w:b/>
          <w:bCs/>
          <w:color w:val="1A1410"/>
          <w:sz w:val="22"/>
          <w:szCs w:val="22"/>
        </w:rPr>
        <w:t xml:space="preserve">Eligibility screening. </w:t>
      </w:r>
      <w:r>
        <w:rPr>
          <w:rFonts w:ascii="Arial" w:cs="Arial" w:eastAsia="Arial" w:hAnsi="Arial"/>
          <w:color w:val="1A1410"/>
          <w:sz w:val="22"/>
          <w:szCs w:val="22"/>
        </w:rPr>
        <w:t xml:space="preserve">Foundant flags incomplete/noncompliant submissions. SmartSimple ineligibility flagging.</w:t>
      </w:r>
    </w:p>
    <w:p>
      <w:pPr>
        <w:spacing w:after="80" w:before="60" w:line="300"/>
        <w:jc w:val="left"/>
      </w:pPr>
      <w:r>
        <w:rPr>
          <w:rFonts w:ascii="Arial" w:cs="Arial" w:eastAsia="Arial" w:hAnsi="Arial"/>
          <w:color w:val="1A1410"/>
          <w:sz w:val="22"/>
          <w:szCs w:val="22"/>
        </w:rPr>
        <w:t xml:space="preserve">What none of them ship: an AI pipeline that takes an uploaded grant agreement, extracts every reporting requirement, deadline, deliverable, and indicator from it, structures that into a queryable object, and then — when the NGO files a report — grades each requirement individually with citations back to the report and the agreement.</w:t>
      </w:r>
    </w:p>
    <w:p>
      <w:pPr>
        <w:pStyle w:val="Heading2"/>
        <w:spacing w:after="140" w:before="280"/>
      </w:pPr>
      <w:r>
        <w:rPr>
          <w:rFonts w:ascii="Arial" w:cs="Arial" w:eastAsia="Arial" w:hAnsi="Arial"/>
          <w:b/>
          <w:bCs/>
          <w:color w:val="7C2D12"/>
          <w:sz w:val="28"/>
          <w:szCs w:val="28"/>
        </w:rPr>
        <w:t xml:space="preserve">8.2 What Kuja Grant ships</w:t>
      </w:r>
    </w:p>
    <w:p>
      <w:pPr>
        <w:spacing w:after="80" w:before="60" w:line="300"/>
        <w:jc w:val="left"/>
      </w:pPr>
      <w:r>
        <w:rPr>
          <w:rFonts w:ascii="Arial" w:cs="Arial" w:eastAsia="Arial" w:hAnsi="Arial"/>
          <w:color w:val="1A1410"/>
          <w:sz w:val="22"/>
          <w:szCs w:val="22"/>
        </w:rPr>
        <w:t xml:space="preserve">Three stages, all in production today.</w:t>
      </w:r>
    </w:p>
    <w:p>
      <w:pPr>
        <w:pStyle w:val="Heading3"/>
        <w:spacing w:after="100" w:before="220"/>
      </w:pPr>
      <w:r>
        <w:rPr>
          <w:rFonts w:ascii="Arial" w:cs="Arial" w:eastAsia="Arial" w:hAnsi="Arial"/>
          <w:b/>
          <w:bCs/>
          <w:color w:val="1A1410"/>
          <w:sz w:val="24"/>
          <w:szCs w:val="24"/>
        </w:rPr>
        <w:t xml:space="preserve">8.2.1 Donor agreement → AI obligation extract</w:t>
      </w:r>
    </w:p>
    <w:p>
      <w:pPr>
        <w:spacing w:after="80" w:before="60" w:line="300"/>
        <w:jc w:val="left"/>
      </w:pPr>
      <w:r>
        <w:rPr>
          <w:rFonts w:ascii="Arial" w:cs="Arial" w:eastAsia="Arial" w:hAnsi="Arial"/>
          <w:color w:val="1A1410"/>
          <w:sz w:val="22"/>
          <w:szCs w:val="22"/>
        </w:rPr>
        <w:t xml:space="preserve">On agreement upload, AI parses the document and structures every reporting requirement, deadline, deliverable, and indicator. The agreement becomes a queryable object, not a PDF in inboxes. The donor reviews and confirms the extracted obligations before they are locked in.</w:t>
      </w:r>
    </w:p>
    <w:p>
      <w:pPr>
        <w:pStyle w:val="Heading3"/>
        <w:spacing w:after="100" w:before="220"/>
      </w:pPr>
      <w:r>
        <w:rPr>
          <w:rFonts w:ascii="Arial" w:cs="Arial" w:eastAsia="Arial" w:hAnsi="Arial"/>
          <w:b/>
          <w:bCs/>
          <w:color w:val="1A1410"/>
          <w:sz w:val="24"/>
          <w:szCs w:val="24"/>
        </w:rPr>
        <w:t xml:space="preserve">8.2.2 NGO report → per-requirement evaluation with citations</w:t>
      </w:r>
    </w:p>
    <w:p>
      <w:pPr>
        <w:spacing w:after="80" w:before="60" w:line="300"/>
        <w:jc w:val="left"/>
      </w:pPr>
      <w:r>
        <w:rPr>
          <w:rFonts w:ascii="Arial" w:cs="Arial" w:eastAsia="Arial" w:hAnsi="Arial"/>
          <w:color w:val="1A1410"/>
          <w:sz w:val="22"/>
          <w:szCs w:val="22"/>
        </w:rPr>
        <w:t xml:space="preserve">When the NGO submits a quarterly or annual report, AI grades each agreement obligation individually:</w:t>
      </w:r>
    </w:p>
    <w:p>
      <w:pPr>
        <w:pStyle w:val="ListParagraph"/>
        <w:numPr>
          <w:ilvl w:val="0"/>
          <w:numId w:val="2"/>
        </w:numPr>
        <w:spacing w:after="60" w:before="30" w:line="280"/>
      </w:pPr>
      <w:r>
        <w:rPr>
          <w:rFonts w:ascii="Arial" w:cs="Arial" w:eastAsia="Arial" w:hAnsi="Arial"/>
          <w:b/>
          <w:bCs/>
          <w:color w:val="1A1410"/>
          <w:sz w:val="22"/>
          <w:szCs w:val="22"/>
        </w:rPr>
        <w:t xml:space="preserve">Met. </w:t>
      </w:r>
      <w:r>
        <w:rPr>
          <w:rFonts w:ascii="Arial" w:cs="Arial" w:eastAsia="Arial" w:hAnsi="Arial"/>
          <w:color w:val="1A1410"/>
          <w:sz w:val="22"/>
          <w:szCs w:val="22"/>
        </w:rPr>
        <w:t xml:space="preserve">The report addresses the requirement with sufficient evidence. AI cites the specific section.</w:t>
      </w:r>
    </w:p>
    <w:p>
      <w:pPr>
        <w:pStyle w:val="ListParagraph"/>
        <w:numPr>
          <w:ilvl w:val="0"/>
          <w:numId w:val="2"/>
        </w:numPr>
        <w:spacing w:after="60" w:before="30" w:line="280"/>
      </w:pPr>
      <w:r>
        <w:rPr>
          <w:rFonts w:ascii="Arial" w:cs="Arial" w:eastAsia="Arial" w:hAnsi="Arial"/>
          <w:b/>
          <w:bCs/>
          <w:color w:val="1A1410"/>
          <w:sz w:val="22"/>
          <w:szCs w:val="22"/>
        </w:rPr>
        <w:t xml:space="preserve">Partial. </w:t>
      </w:r>
      <w:r>
        <w:rPr>
          <w:rFonts w:ascii="Arial" w:cs="Arial" w:eastAsia="Arial" w:hAnsi="Arial"/>
          <w:color w:val="1A1410"/>
          <w:sz w:val="22"/>
          <w:szCs w:val="22"/>
        </w:rPr>
        <w:t xml:space="preserve">The requirement is partially addressed. AI explains what is missing and what is present, with citations.</w:t>
      </w:r>
    </w:p>
    <w:p>
      <w:pPr>
        <w:pStyle w:val="ListParagraph"/>
        <w:numPr>
          <w:ilvl w:val="0"/>
          <w:numId w:val="2"/>
        </w:numPr>
        <w:spacing w:after="60" w:before="30" w:line="280"/>
      </w:pPr>
      <w:r>
        <w:rPr>
          <w:rFonts w:ascii="Arial" w:cs="Arial" w:eastAsia="Arial" w:hAnsi="Arial"/>
          <w:b/>
          <w:bCs/>
          <w:color w:val="1A1410"/>
          <w:sz w:val="22"/>
          <w:szCs w:val="22"/>
        </w:rPr>
        <w:t xml:space="preserve">Missing. </w:t>
      </w:r>
      <w:r>
        <w:rPr>
          <w:rFonts w:ascii="Arial" w:cs="Arial" w:eastAsia="Arial" w:hAnsi="Arial"/>
          <w:color w:val="1A1410"/>
          <w:sz w:val="22"/>
          <w:szCs w:val="22"/>
        </w:rPr>
        <w:t xml:space="preserve">The requirement is not addressed. AI flags it.</w:t>
      </w:r>
    </w:p>
    <w:p>
      <w:pPr>
        <w:spacing w:after="80" w:before="60" w:line="300"/>
        <w:jc w:val="left"/>
      </w:pPr>
      <w:r>
        <w:rPr>
          <w:rFonts w:ascii="Arial" w:cs="Arial" w:eastAsia="Arial" w:hAnsi="Arial"/>
          <w:color w:val="1A1410"/>
          <w:sz w:val="22"/>
          <w:szCs w:val="22"/>
        </w:rPr>
        <w:t xml:space="preserve">Every grade includes citations to (a) the source section of the agreement, and (b) the relevant or absent section of the report. The grade is not a black box. The donor sees the reasoning.</w:t>
      </w:r>
    </w:p>
    <w:p>
      <w:pPr>
        <w:pStyle w:val="Heading3"/>
        <w:spacing w:after="100" w:before="220"/>
      </w:pPr>
      <w:r>
        <w:rPr>
          <w:rFonts w:ascii="Arial" w:cs="Arial" w:eastAsia="Arial" w:hAnsi="Arial"/>
          <w:b/>
          <w:bCs/>
          <w:color w:val="1A1410"/>
          <w:sz w:val="24"/>
          <w:szCs w:val="24"/>
        </w:rPr>
        <w:t xml:space="preserve">8.2.3 Reconciled compliance scoring</w:t>
      </w:r>
    </w:p>
    <w:p>
      <w:pPr>
        <w:spacing w:after="80" w:before="60" w:line="300"/>
        <w:jc w:val="left"/>
      </w:pPr>
      <w:r>
        <w:rPr>
          <w:rFonts w:ascii="Arial" w:cs="Arial" w:eastAsia="Arial" w:hAnsi="Arial"/>
          <w:color w:val="1A1410"/>
          <w:sz w:val="22"/>
          <w:szCs w:val="22"/>
        </w:rPr>
        <w:t xml:space="preserve">Per-requirement grades roll into an overall compliance score reconciled across the agreement's pillars. AI risk flags surface in the donor dashboard before quarterly reviews would catch them — a programmatic AI surface, not a passive report. The Trust Profile compliance score updates from these reconciled grades, feeding back into eligibility for future grants.</w:t>
      </w:r>
    </w:p>
    <w:p>
      <w:pPr>
        <w:pStyle w:val="Heading2"/>
        <w:spacing w:after="140" w:before="280"/>
      </w:pPr>
      <w:r>
        <w:rPr>
          <w:rFonts w:ascii="Arial" w:cs="Arial" w:eastAsia="Arial" w:hAnsi="Arial"/>
          <w:b/>
          <w:bCs/>
          <w:color w:val="7C2D12"/>
          <w:sz w:val="28"/>
          <w:szCs w:val="28"/>
        </w:rPr>
        <w:t xml:space="preserve">8.3 The 35+ AI surface architecture</w:t>
      </w:r>
    </w:p>
    <w:p>
      <w:pPr>
        <w:spacing w:after="80" w:before="60" w:line="300"/>
        <w:jc w:val="left"/>
      </w:pPr>
      <w:r>
        <w:rPr>
          <w:rFonts w:ascii="Arial" w:cs="Arial" w:eastAsia="Arial" w:hAnsi="Arial"/>
          <w:color w:val="1A1410"/>
          <w:sz w:val="22"/>
          <w:szCs w:val="22"/>
        </w:rPr>
        <w:t xml:space="preserve">Per-requirement evaluation is one surface in a 35-surface AI architecture. The full architecture, mapped to the grant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Stage</w:t>
            </w:r>
          </w:p>
        </w:tc>
        <w:tc>
          <w:tcPr>
            <w:tcW w:type="dxa" w:w="7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AI surfaces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Design</w:t>
            </w:r>
          </w:p>
        </w:tc>
        <w:tc>
          <w:tcPr>
            <w:tcW w:type="dxa" w:w="7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Rubric weight suggester · Criteria templater · Eligibility validator · Call-summary generator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Apply</w:t>
            </w:r>
          </w:p>
        </w:tc>
        <w:tc>
          <w:tcPr>
            <w:tcW w:type="dxa" w:w="7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co-author (drafts from Trust Profile) · Voice-to-text · Photo-as-evidence (labeling, geo-tag) · Six-language translation · Plain-language explainer · Auto-extract budget from PDF</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Review</w:t>
            </w:r>
          </w:p>
        </w:tc>
        <w:tc>
          <w:tcPr>
            <w:tcW w:type="dxa" w:w="7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Per-criterion scoring · Score-breakdown explainer · Why-rejected constructive feedback · COI flagger · Reviewer-calibration coach · Bias detector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Award</w:t>
            </w:r>
          </w:p>
        </w:tc>
        <w:tc>
          <w:tcPr>
            <w:tcW w:type="dxa" w:w="7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Agreement obligation extract · Risk flag pre-flight · Signature pace coach · COI deep-check · Smart deadline negotiation</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Report</w:t>
            </w:r>
          </w:p>
        </w:tc>
        <w:tc>
          <w:tcPr>
            <w:tcW w:type="dxa" w:w="7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Per-requirement grade · AI compliance coach · Audit-ready folder export · Translation parity · Plain-language compliance flags · Continuous journey tracker · Today's focus banner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Network (Flavor 1)</w:t>
            </w:r>
          </w:p>
        </w:tc>
        <w:tc>
          <w:tcPr>
            <w:tcW w:type="dxa" w:w="7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Crisis Monitoring Report (weekly cron) · Top-risks surface · Declaration-as-conversation · OB calibration · Membership-fit advisor</w:t>
            </w:r>
          </w:p>
        </w:tc>
      </w:tr>
    </w:tbl>
    <w:p>
      <w:pPr>
        <w:spacing w:after="80" w:before="60" w:line="300"/>
        <w:jc w:val="left"/>
      </w:pPr>
      <w:r>
        <w:rPr>
          <w:rFonts w:ascii="Arial" w:cs="Arial" w:eastAsia="Arial" w:hAnsi="Arial"/>
          <w:color w:val="1A1410"/>
          <w:sz w:val="22"/>
          <w:szCs w:val="22"/>
        </w:rPr>
        <w:t xml:space="preserve">Every surface is grounded in the customer record. Every output is citable. Every interaction is telemetered: latency, cost per call, fallback usage, citation rate. Built on Anthropic Claude with disciplined fallbacks for service interruptions. The cost ceiling is a tenant-level configuration — donors can cap their AI spend per grant cycle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No grant management system on the market evaluates NGO reports against the grant agreement, per requirement, with citations, in production. We do.</w:t>
            </w:r>
          </w:p>
          <w:p>
            <w:pPr>
              <w:spacing w:before="80"/>
            </w:pPr>
            <w:r>
              <w:rPr>
                <w:rFonts w:ascii="Arial" w:cs="Arial" w:eastAsia="Arial" w:hAnsi="Arial"/>
                <w:color w:val="1A1410"/>
                <w:sz w:val="22"/>
                <w:szCs w:val="22"/>
              </w:rPr>
              <w:t xml:space="preserve">This is the single highest-leverage claim in the Kuja Grant pitch and the most defensible one. The competitive matrix in Section 6 supports it row by row. The architecture in Section 8.3 explains why incumbents cannot match without a data-model rewrite.</w:t>
            </w:r>
          </w:p>
        </w:tc>
      </w:tr>
    </w:tbl>
    <w:p>
      <w:pPr>
        <w:pStyle w:val="Heading1"/>
        <w:pageBreakBefore/>
        <w:spacing w:after="200" w:before="320"/>
      </w:pPr>
      <w:r>
        <w:rPr>
          <w:rFonts w:ascii="Arial" w:cs="Arial" w:eastAsia="Arial" w:hAnsi="Arial"/>
          <w:b/>
          <w:bCs/>
          <w:color w:val="C2410C"/>
          <w:sz w:val="36"/>
          <w:szCs w:val="36"/>
        </w:rPr>
        <w:t xml:space="preserve">9. The Trust Architecture</w:t>
      </w:r>
    </w:p>
    <w:p>
      <w:pPr>
        <w:spacing w:after="80" w:before="60" w:line="300"/>
        <w:jc w:val="left"/>
      </w:pPr>
      <w:r>
        <w:rPr>
          <w:rFonts w:ascii="Arial" w:cs="Arial" w:eastAsia="Arial" w:hAnsi="Arial"/>
          <w:color w:val="1A1410"/>
          <w:sz w:val="22"/>
          <w:szCs w:val="22"/>
        </w:rPr>
        <w:t xml:space="preserve">Trust is not a feature in Kuja Grant. It is the data layer. The Trust Profile, the audit chain, and the multi-sig governance flow are not optional surfaces — they are how every action on the platform is recorded and how every signature gets weight.</w:t>
      </w:r>
    </w:p>
    <w:p>
      <w:pPr>
        <w:pStyle w:val="Heading2"/>
        <w:spacing w:after="140" w:before="280"/>
      </w:pPr>
      <w:r>
        <w:rPr>
          <w:rFonts w:ascii="Arial" w:cs="Arial" w:eastAsia="Arial" w:hAnsi="Arial"/>
          <w:b/>
          <w:bCs/>
          <w:color w:val="7C2D12"/>
          <w:sz w:val="28"/>
          <w:szCs w:val="28"/>
        </w:rPr>
        <w:t xml:space="preserve">9.1 The Trust Profile — six pillars</w:t>
      </w:r>
    </w:p>
    <w:p>
      <w:pPr>
        <w:spacing w:after="80" w:before="60" w:line="300"/>
        <w:jc w:val="left"/>
      </w:pPr>
      <w:r>
        <w:rPr>
          <w:rFonts w:ascii="Arial" w:cs="Arial" w:eastAsia="Arial" w:hAnsi="Arial"/>
          <w:color w:val="1A1410"/>
          <w:sz w:val="22"/>
          <w:szCs w:val="22"/>
        </w:rPr>
        <w:t xml:space="preserve">Each NGO on the platform carries a Trust Profile with six pillars. The profile is assessed once, used by every funder.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7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verifies + how</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Identity &amp; Registration</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 African government registries pre-mapped (Kenya, Nigeria, South Africa, Uganda, Tanzania, Somalia, Ethiopia). Live verification at registration. Cross-referenced with Trust Profile.</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Sanctions</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OpenSanctions API (primary) with fallback to direct UN XML, OFAC CSV, EU CSV downloads. Daily refresh. Audit row on every check.</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Adverse Media</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24-month lookback with citations. AI-summarized, evidence-cited. Flags surface to compliance reviewer.</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Bank Verification</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Plaid (where supported) + IBAN validation + microdeposit fallback. Currency-aware.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Conflict of Interest</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Captured per signature step, not per grant. Includes related parties, board overlaps, prior employment.</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Capacity Assessment</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5-framework support: Kuja (proprietary), STEP, UN-HACT, CHS, NUPAS. Reusable across funders — the assess-once, fund-many model.</w:t>
            </w:r>
          </w:p>
        </w:tc>
      </w:tr>
    </w:tbl>
    <w:p>
      <w:pPr>
        <w:spacing w:after="80" w:before="60" w:line="300"/>
        <w:jc w:val="left"/>
      </w:pPr>
      <w:r>
        <w:rPr>
          <w:rFonts w:ascii="Arial" w:cs="Arial" w:eastAsia="Arial" w:hAnsi="Arial"/>
          <w:color w:val="1A1410"/>
          <w:sz w:val="22"/>
          <w:szCs w:val="22"/>
        </w:rPr>
        <w:t xml:space="preserve">The portable Trust Profile is the structural answer to the assess-everywhere, fund-rarely problem. An NGO that has been assessed for one funder should not have to start from zero with the next. The Trust Profile is the unit of portability.</w:t>
      </w:r>
    </w:p>
    <w:p>
      <w:pPr>
        <w:pStyle w:val="Heading2"/>
        <w:spacing w:after="140" w:before="280"/>
      </w:pPr>
      <w:r>
        <w:rPr>
          <w:rFonts w:ascii="Arial" w:cs="Arial" w:eastAsia="Arial" w:hAnsi="Arial"/>
          <w:b/>
          <w:bCs/>
          <w:color w:val="7C2D12"/>
          <w:sz w:val="28"/>
          <w:szCs w:val="28"/>
        </w:rPr>
        <w:t xml:space="preserve">9.2 Hash-anchored audit chain</w:t>
      </w:r>
    </w:p>
    <w:p>
      <w:pPr>
        <w:spacing w:after="80" w:before="60" w:line="300"/>
        <w:jc w:val="left"/>
      </w:pPr>
      <w:r>
        <w:rPr>
          <w:rFonts w:ascii="Arial" w:cs="Arial" w:eastAsia="Arial" w:hAnsi="Arial"/>
          <w:color w:val="1A1410"/>
          <w:sz w:val="22"/>
          <w:szCs w:val="22"/>
        </w:rPr>
        <w:t xml:space="preserve">Every governance action on the platform — application submit, reviewer score, OB release, agreement upload, report submit, payment release, COI declaration, emergency declaration — writes an audit row. Each audit row includes the cryptographic hash of the previous row. The audit chain is therefore tamper-evident at the row level.</w:t>
      </w:r>
    </w:p>
    <w:p>
      <w:pPr>
        <w:spacing w:after="80" w:before="60" w:line="300"/>
        <w:jc w:val="left"/>
      </w:pPr>
      <w:r>
        <w:rPr>
          <w:rFonts w:ascii="Arial" w:cs="Arial" w:eastAsia="Arial" w:hAnsi="Arial"/>
          <w:color w:val="1A1410"/>
          <w:sz w:val="22"/>
          <w:szCs w:val="22"/>
        </w:rPr>
        <w:t xml:space="preserve">What this means in practice:</w:t>
      </w:r>
    </w:p>
    <w:p>
      <w:pPr>
        <w:pStyle w:val="ListParagraph"/>
        <w:numPr>
          <w:ilvl w:val="0"/>
          <w:numId w:val="2"/>
        </w:numPr>
        <w:spacing w:after="60" w:before="30" w:line="280"/>
      </w:pPr>
      <w:r>
        <w:rPr>
          <w:rFonts w:ascii="Arial" w:cs="Arial" w:eastAsia="Arial" w:hAnsi="Arial"/>
          <w:b/>
          <w:bCs/>
          <w:color w:val="1A1410"/>
          <w:sz w:val="22"/>
          <w:szCs w:val="22"/>
        </w:rPr>
        <w:t xml:space="preserve">Tamper one row and every row after it breaks. </w:t>
      </w:r>
      <w:r>
        <w:rPr>
          <w:rFonts w:ascii="Arial" w:cs="Arial" w:eastAsia="Arial" w:hAnsi="Arial"/>
          <w:color w:val="1A1410"/>
          <w:sz w:val="22"/>
          <w:szCs w:val="22"/>
        </w:rPr>
        <w:t xml:space="preserve">You cannot rewrite history in this audit chain without leaving cryptographic evidence of the rewrite.</w:t>
      </w:r>
    </w:p>
    <w:p>
      <w:pPr>
        <w:pStyle w:val="ListParagraph"/>
        <w:numPr>
          <w:ilvl w:val="0"/>
          <w:numId w:val="2"/>
        </w:numPr>
        <w:spacing w:after="60" w:before="30" w:line="280"/>
      </w:pPr>
      <w:r>
        <w:rPr>
          <w:rFonts w:ascii="Arial" w:cs="Arial" w:eastAsia="Arial" w:hAnsi="Arial"/>
          <w:b/>
          <w:bCs/>
          <w:color w:val="1A1410"/>
          <w:sz w:val="22"/>
          <w:szCs w:val="22"/>
        </w:rPr>
        <w:t xml:space="preserve">Donors can export the full chain. </w:t>
      </w:r>
      <w:r>
        <w:rPr>
          <w:rFonts w:ascii="Arial" w:cs="Arial" w:eastAsia="Arial" w:hAnsi="Arial"/>
          <w:color w:val="1A1410"/>
          <w:sz w:val="22"/>
          <w:szCs w:val="22"/>
        </w:rPr>
        <w:t xml:space="preserve">Audit-ready folder export bundles the chain plus referenced artifacts (agreements, reports, signatures, evidence).</w:t>
      </w:r>
    </w:p>
    <w:p>
      <w:pPr>
        <w:pStyle w:val="ListParagraph"/>
        <w:numPr>
          <w:ilvl w:val="0"/>
          <w:numId w:val="2"/>
        </w:numPr>
        <w:spacing w:after="60" w:before="30" w:line="280"/>
      </w:pPr>
      <w:r>
        <w:rPr>
          <w:rFonts w:ascii="Arial" w:cs="Arial" w:eastAsia="Arial" w:hAnsi="Arial"/>
          <w:b/>
          <w:bCs/>
          <w:color w:val="1A1410"/>
          <w:sz w:val="22"/>
          <w:szCs w:val="22"/>
        </w:rPr>
        <w:t xml:space="preserve">Verification is offline. </w:t>
      </w:r>
      <w:r>
        <w:rPr>
          <w:rFonts w:ascii="Arial" w:cs="Arial" w:eastAsia="Arial" w:hAnsi="Arial"/>
          <w:color w:val="1A1410"/>
          <w:sz w:val="22"/>
          <w:szCs w:val="22"/>
        </w:rPr>
        <w:t xml:space="preserve">A donor or auditor can verify the chain independently of the Kuja platform.</w:t>
      </w:r>
    </w:p>
    <w:p>
      <w:pPr>
        <w:spacing w:after="80" w:before="60" w:line="300"/>
        <w:jc w:val="left"/>
      </w:pPr>
      <w:r>
        <w:rPr>
          <w:rFonts w:ascii="Arial" w:cs="Arial" w:eastAsia="Arial" w:hAnsi="Arial"/>
          <w:color w:val="1A1410"/>
          <w:sz w:val="22"/>
          <w:szCs w:val="22"/>
        </w:rPr>
        <w:t xml:space="preserve">No incumbent GMS ships hash-anchored audit chains. All seven have audit logs (sequential, mutable). None has the cryptographic chain. Fluxx has explored the concept publicly; no GMS has shipped it.</w:t>
      </w:r>
    </w:p>
    <w:p>
      <w:pPr>
        <w:pStyle w:val="Heading2"/>
        <w:spacing w:after="140" w:before="280"/>
      </w:pPr>
      <w:r>
        <w:rPr>
          <w:rFonts w:ascii="Arial" w:cs="Arial" w:eastAsia="Arial" w:hAnsi="Arial"/>
          <w:b/>
          <w:bCs/>
          <w:color w:val="7C2D12"/>
          <w:sz w:val="28"/>
          <w:szCs w:val="28"/>
        </w:rPr>
        <w:t xml:space="preserve">9.3 Multi-sig governance</w:t>
      </w:r>
    </w:p>
    <w:p>
      <w:pPr>
        <w:spacing w:after="80" w:before="60" w:line="300"/>
        <w:jc w:val="left"/>
      </w:pPr>
      <w:r>
        <w:rPr>
          <w:rFonts w:ascii="Arial" w:cs="Arial" w:eastAsia="Arial" w:hAnsi="Arial"/>
          <w:color w:val="1A1410"/>
          <w:sz w:val="22"/>
          <w:szCs w:val="22"/>
        </w:rPr>
        <w:t xml:space="preserve">In the Closed Network flavor, governance is multi-sig by default. Funds configure the signature requirement (2-of-3, 3-of-5, etc.). At each signature step:</w:t>
      </w:r>
    </w:p>
    <w:p>
      <w:pPr>
        <w:pStyle w:val="ListParagraph"/>
        <w:numPr>
          <w:ilvl w:val="0"/>
          <w:numId w:val="2"/>
        </w:numPr>
        <w:spacing w:after="60" w:before="30" w:line="280"/>
      </w:pPr>
      <w:r>
        <w:rPr>
          <w:rFonts w:ascii="Arial" w:cs="Arial" w:eastAsia="Arial" w:hAnsi="Arial"/>
          <w:b/>
          <w:bCs/>
          <w:color w:val="1A1410"/>
          <w:sz w:val="22"/>
          <w:szCs w:val="22"/>
        </w:rPr>
        <w:t xml:space="preserve">COI is captured. </w:t>
      </w:r>
      <w:r>
        <w:rPr>
          <w:rFonts w:ascii="Arial" w:cs="Arial" w:eastAsia="Arial" w:hAnsi="Arial"/>
          <w:color w:val="1A1410"/>
          <w:sz w:val="22"/>
          <w:szCs w:val="22"/>
        </w:rPr>
        <w:t xml:space="preserve">Signer must declare conflicts before the signature is recorded.</w:t>
      </w:r>
    </w:p>
    <w:p>
      <w:pPr>
        <w:pStyle w:val="ListParagraph"/>
        <w:numPr>
          <w:ilvl w:val="0"/>
          <w:numId w:val="2"/>
        </w:numPr>
        <w:spacing w:after="60" w:before="30" w:line="280"/>
      </w:pPr>
      <w:r>
        <w:rPr>
          <w:rFonts w:ascii="Arial" w:cs="Arial" w:eastAsia="Arial" w:hAnsi="Arial"/>
          <w:b/>
          <w:bCs/>
          <w:color w:val="1A1410"/>
          <w:sz w:val="22"/>
          <w:szCs w:val="22"/>
        </w:rPr>
        <w:t xml:space="preserve">Audit row is written. </w:t>
      </w:r>
      <w:r>
        <w:rPr>
          <w:rFonts w:ascii="Arial" w:cs="Arial" w:eastAsia="Arial" w:hAnsi="Arial"/>
          <w:color w:val="1A1410"/>
          <w:sz w:val="22"/>
          <w:szCs w:val="22"/>
        </w:rPr>
        <w:t xml:space="preserve">Signer, timestamp, COI declaration, action — all hashed into the chain.</w:t>
      </w:r>
    </w:p>
    <w:p>
      <w:pPr>
        <w:pStyle w:val="ListParagraph"/>
        <w:numPr>
          <w:ilvl w:val="0"/>
          <w:numId w:val="2"/>
        </w:numPr>
        <w:spacing w:after="60" w:before="30" w:line="280"/>
      </w:pPr>
      <w:r>
        <w:rPr>
          <w:rFonts w:ascii="Arial" w:cs="Arial" w:eastAsia="Arial" w:hAnsi="Arial"/>
          <w:b/>
          <w:bCs/>
          <w:color w:val="1A1410"/>
          <w:sz w:val="22"/>
          <w:szCs w:val="22"/>
        </w:rPr>
        <w:t xml:space="preserve">Banner reflects state. </w:t>
      </w:r>
      <w:r>
        <w:rPr>
          <w:rFonts w:ascii="Arial" w:cs="Arial" w:eastAsia="Arial" w:hAnsi="Arial"/>
          <w:color w:val="1A1410"/>
          <w:sz w:val="22"/>
          <w:szCs w:val="22"/>
        </w:rPr>
        <w:t xml:space="preserve">UI shows parallel peer review banner, executive approval gate banner, COI gate banner — based on the workflow state.</w:t>
      </w:r>
    </w:p>
    <w:p>
      <w:pPr>
        <w:spacing w:after="80" w:before="60" w:line="300"/>
        <w:jc w:val="left"/>
      </w:pPr>
      <w:r>
        <w:rPr>
          <w:rFonts w:ascii="Arial" w:cs="Arial" w:eastAsia="Arial" w:hAnsi="Arial"/>
          <w:color w:val="1A1410"/>
          <w:sz w:val="22"/>
          <w:szCs w:val="22"/>
        </w:rPr>
        <w:t xml:space="preserve">Multi-sig + COI + audit chain is the trust spine that makes the Closed Network flavor work. Networks like NEAR operate under the assumption that any member could review the OB's decisions and verify them. The architecture is built around that assumption.</w:t>
      </w:r>
    </w:p>
    <w:p>
      <w:pPr>
        <w:pStyle w:val="Heading1"/>
        <w:pageBreakBefore/>
        <w:spacing w:after="200" w:before="320"/>
      </w:pPr>
      <w:r>
        <w:rPr>
          <w:rFonts w:ascii="Arial" w:cs="Arial" w:eastAsia="Arial" w:hAnsi="Arial"/>
          <w:b/>
          <w:bCs/>
          <w:color w:val="C2410C"/>
          <w:sz w:val="36"/>
          <w:szCs w:val="36"/>
        </w:rPr>
        <w:t xml:space="preserve">10. Customer Personas</w:t>
      </w:r>
    </w:p>
    <w:p>
      <w:pPr>
        <w:spacing w:after="80" w:before="60" w:line="300"/>
        <w:jc w:val="left"/>
      </w:pPr>
      <w:r>
        <w:rPr>
          <w:rFonts w:ascii="Arial" w:cs="Arial" w:eastAsia="Arial" w:hAnsi="Arial"/>
          <w:color w:val="1A1410"/>
          <w:sz w:val="22"/>
          <w:szCs w:val="22"/>
        </w:rPr>
        <w:t xml:space="preserve">Six personas appear in the Kuja Grant sales motion. Two of them buy. Three of them use. One of them blocks. The sales motion is calibrated to all six.</w:t>
      </w:r>
    </w:p>
    <w:p>
      <w:pPr>
        <w:pStyle w:val="Heading2"/>
        <w:spacing w:after="140" w:before="280"/>
      </w:pPr>
      <w:r>
        <w:rPr>
          <w:rFonts w:ascii="Arial" w:cs="Arial" w:eastAsia="Arial" w:hAnsi="Arial"/>
          <w:b/>
          <w:bCs/>
          <w:color w:val="7C2D12"/>
          <w:sz w:val="28"/>
          <w:szCs w:val="28"/>
        </w:rPr>
        <w:t xml:space="preserve">10.1 The Network Secretariat Lead — Closed Network buyer</w:t>
      </w:r>
    </w:p>
    <w:p>
      <w:pPr>
        <w:spacing w:after="80" w:before="60" w:line="300"/>
        <w:jc w:val="left"/>
      </w:pPr>
      <w:r>
        <w:rPr>
          <w:rFonts w:ascii="Arial" w:cs="Arial" w:eastAsia="Arial" w:hAnsi="Arial"/>
          <w:b/>
          <w:bCs/>
          <w:color w:val="1A1410"/>
          <w:sz w:val="22"/>
          <w:szCs w:val="22"/>
        </w:rPr>
        <w:t xml:space="preserve">Title: </w:t>
      </w:r>
      <w:r>
        <w:rPr>
          <w:rFonts w:ascii="Arial" w:cs="Arial" w:eastAsia="Arial" w:hAnsi="Arial"/>
          <w:color w:val="1A1410"/>
          <w:sz w:val="22"/>
          <w:szCs w:val="22"/>
        </w:rPr>
        <w:t xml:space="preserve">Executive Director, Director of Programs, or Director of Operations at a network secretariat. NEAR-style mission.</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Operating a multi-member peer network on a stitched stack — Google Forms for applications, Excel for tracking, email for governance. Cannot show donors a coherent picture of the network's grant performance.</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Run a private grantmaking platform where members apply, the OB governs, and donors see the result.</w:t>
      </w:r>
    </w:p>
    <w:p>
      <w:pPr>
        <w:spacing w:after="80" w:before="60" w:line="300"/>
        <w:jc w:val="left"/>
      </w:pPr>
      <w:r>
        <w:rPr>
          <w:rFonts w:ascii="Arial" w:cs="Arial" w:eastAsia="Arial" w:hAnsi="Arial"/>
          <w:b/>
          <w:bCs/>
          <w:color w:val="1A1410"/>
          <w:sz w:val="22"/>
          <w:szCs w:val="22"/>
        </w:rPr>
        <w:t xml:space="preserve">Buying behavior: </w:t>
      </w:r>
      <w:r>
        <w:rPr>
          <w:rFonts w:ascii="Arial" w:cs="Arial" w:eastAsia="Arial" w:hAnsi="Arial"/>
          <w:color w:val="1A1410"/>
          <w:sz w:val="22"/>
          <w:szCs w:val="22"/>
        </w:rPr>
        <w:t xml:space="preserve">Champion-led. Will run a 6-week tenant pilot. Wants reference architecture (NEAR). Wants OB role separate from platform admin. Wants weekly Crisis Monitoring Report cron.</w:t>
      </w:r>
    </w:p>
    <w:p>
      <w:pPr>
        <w:spacing w:after="80" w:before="60" w:line="300"/>
        <w:jc w:val="left"/>
      </w:pPr>
      <w:r>
        <w:rPr>
          <w:rFonts w:ascii="Arial" w:cs="Arial" w:eastAsia="Arial" w:hAnsi="Arial"/>
          <w:b/>
          <w:bCs/>
          <w:color w:val="1A1410"/>
          <w:sz w:val="22"/>
          <w:szCs w:val="22"/>
        </w:rPr>
        <w:t xml:space="preserve">Objection: </w:t>
      </w:r>
      <w:r>
        <w:rPr>
          <w:rFonts w:ascii="Arial" w:cs="Arial" w:eastAsia="Arial" w:hAnsi="Arial"/>
          <w:color w:val="1A1410"/>
          <w:sz w:val="22"/>
          <w:szCs w:val="22"/>
        </w:rPr>
        <w:t xml:space="preserve">"Why not a smaller commitment? Why not a Google Workspace?" Answer: governance is data-model, not document storage. Pilot proves it.</w:t>
      </w:r>
    </w:p>
    <w:p>
      <w:pPr>
        <w:pStyle w:val="Heading2"/>
        <w:spacing w:after="140" w:before="280"/>
      </w:pPr>
      <w:r>
        <w:rPr>
          <w:rFonts w:ascii="Arial" w:cs="Arial" w:eastAsia="Arial" w:hAnsi="Arial"/>
          <w:b/>
          <w:bCs/>
          <w:color w:val="7C2D12"/>
          <w:sz w:val="28"/>
          <w:szCs w:val="28"/>
        </w:rPr>
        <w:t xml:space="preserve">10.2 The Foundation Grants Officer — Direct Compliance buyer</w:t>
      </w:r>
    </w:p>
    <w:p>
      <w:pPr>
        <w:spacing w:after="80" w:before="60" w:line="300"/>
        <w:jc w:val="left"/>
      </w:pPr>
      <w:r>
        <w:rPr>
          <w:rFonts w:ascii="Arial" w:cs="Arial" w:eastAsia="Arial" w:hAnsi="Arial"/>
          <w:b/>
          <w:bCs/>
          <w:color w:val="1A1410"/>
          <w:sz w:val="22"/>
          <w:szCs w:val="22"/>
        </w:rPr>
        <w:t xml:space="preserve">Title: </w:t>
      </w:r>
      <w:r>
        <w:rPr>
          <w:rFonts w:ascii="Arial" w:cs="Arial" w:eastAsia="Arial" w:hAnsi="Arial"/>
          <w:color w:val="1A1410"/>
          <w:sz w:val="22"/>
          <w:szCs w:val="22"/>
        </w:rPr>
        <w:t xml:space="preserve">Program Officer, Grants Manager, or Director of Grants at a US, European, or African foundation. Budget: $500K-$50M annual grantmaking.</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Running grant rounds on Submittable or Foundant. AI summarizes applications but doesn't grade reports. Compliance is a quarterly PDF review. Reports come in late, lightly evaluated, and the foundation cannot course-correct.</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Run grant rounds where AI evaluates every report against the agreement, per requirement, with citations — so the team can identify risk early.</w:t>
      </w:r>
    </w:p>
    <w:p>
      <w:pPr>
        <w:spacing w:after="80" w:before="60" w:line="300"/>
        <w:jc w:val="left"/>
      </w:pPr>
      <w:r>
        <w:rPr>
          <w:rFonts w:ascii="Arial" w:cs="Arial" w:eastAsia="Arial" w:hAnsi="Arial"/>
          <w:b/>
          <w:bCs/>
          <w:color w:val="1A1410"/>
          <w:sz w:val="22"/>
          <w:szCs w:val="22"/>
        </w:rPr>
        <w:t xml:space="preserve">Buying behavior: </w:t>
      </w:r>
      <w:r>
        <w:rPr>
          <w:rFonts w:ascii="Arial" w:cs="Arial" w:eastAsia="Arial" w:hAnsi="Arial"/>
          <w:color w:val="1A1410"/>
          <w:sz w:val="22"/>
          <w:szCs w:val="22"/>
        </w:rPr>
        <w:t xml:space="preserve">Pilot-led. Will run a 90-day Grant Pilot ($25K-$50K) on one grant cycle end-to-end. Compares output quality to current Submittable / Foundant practice.</w:t>
      </w:r>
    </w:p>
    <w:p>
      <w:pPr>
        <w:spacing w:after="80" w:before="60" w:line="300"/>
        <w:jc w:val="left"/>
      </w:pPr>
      <w:r>
        <w:rPr>
          <w:rFonts w:ascii="Arial" w:cs="Arial" w:eastAsia="Arial" w:hAnsi="Arial"/>
          <w:b/>
          <w:bCs/>
          <w:color w:val="1A1410"/>
          <w:sz w:val="22"/>
          <w:szCs w:val="22"/>
        </w:rPr>
        <w:t xml:space="preserve">Objection: </w:t>
      </w:r>
      <w:r>
        <w:rPr>
          <w:rFonts w:ascii="Arial" w:cs="Arial" w:eastAsia="Arial" w:hAnsi="Arial"/>
          <w:color w:val="1A1410"/>
          <w:sz w:val="22"/>
          <w:szCs w:val="22"/>
        </w:rPr>
        <w:t xml:space="preserve">"We have Submittable / Foundant — switching costs." Answer: parallel run on one cycle, no switch required.</w:t>
      </w:r>
    </w:p>
    <w:p>
      <w:pPr>
        <w:pStyle w:val="Heading2"/>
        <w:spacing w:after="140" w:before="280"/>
      </w:pPr>
      <w:r>
        <w:rPr>
          <w:rFonts w:ascii="Arial" w:cs="Arial" w:eastAsia="Arial" w:hAnsi="Arial"/>
          <w:b/>
          <w:bCs/>
          <w:color w:val="7C2D12"/>
          <w:sz w:val="28"/>
          <w:szCs w:val="28"/>
        </w:rPr>
        <w:t xml:space="preserve">10.3 The Bilateral Compliance Officer — Direct Compliance buyer</w:t>
      </w:r>
    </w:p>
    <w:p>
      <w:pPr>
        <w:spacing w:after="80" w:before="60" w:line="300"/>
        <w:jc w:val="left"/>
      </w:pPr>
      <w:r>
        <w:rPr>
          <w:rFonts w:ascii="Arial" w:cs="Arial" w:eastAsia="Arial" w:hAnsi="Arial"/>
          <w:b/>
          <w:bCs/>
          <w:color w:val="1A1410"/>
          <w:sz w:val="22"/>
          <w:szCs w:val="22"/>
        </w:rPr>
        <w:t xml:space="preserve">Title: </w:t>
      </w:r>
      <w:r>
        <w:rPr>
          <w:rFonts w:ascii="Arial" w:cs="Arial" w:eastAsia="Arial" w:hAnsi="Arial"/>
          <w:color w:val="1A1410"/>
          <w:sz w:val="22"/>
          <w:szCs w:val="22"/>
        </w:rPr>
        <w:t xml:space="preserve">Compliance Director, M&amp;E Director, or Regional Director at a bilateral aid agency in its post-USAID, post-USAID-rescissions form.</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USAID gone, FCDO contracting, GAFFA programs squeezed. Whatever portfolio remains is under intense compliance scrutiny. The legacy GMS does not surface real-time signals.</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Demonstrate to the agency board / parliament / parliament that the bilateral grant portfolio is operationally sound — with evidence, not promises.</w:t>
      </w:r>
    </w:p>
    <w:p>
      <w:pPr>
        <w:spacing w:after="80" w:before="60" w:line="300"/>
        <w:jc w:val="left"/>
      </w:pPr>
      <w:r>
        <w:rPr>
          <w:rFonts w:ascii="Arial" w:cs="Arial" w:eastAsia="Arial" w:hAnsi="Arial"/>
          <w:b/>
          <w:bCs/>
          <w:color w:val="1A1410"/>
          <w:sz w:val="22"/>
          <w:szCs w:val="22"/>
        </w:rPr>
        <w:t xml:space="preserve">Buying behavior: </w:t>
      </w:r>
      <w:r>
        <w:rPr>
          <w:rFonts w:ascii="Arial" w:cs="Arial" w:eastAsia="Arial" w:hAnsi="Arial"/>
          <w:color w:val="1A1410"/>
          <w:sz w:val="22"/>
          <w:szCs w:val="22"/>
        </w:rPr>
        <w:t xml:space="preserve">RFP-led. Long sales cycle (9-18 months). Will require multi-year commitment. Will pay premium for SLA guarantees and audit support.</w:t>
      </w:r>
    </w:p>
    <w:p>
      <w:pPr>
        <w:spacing w:after="80" w:before="60" w:line="300"/>
        <w:jc w:val="left"/>
      </w:pPr>
      <w:r>
        <w:rPr>
          <w:rFonts w:ascii="Arial" w:cs="Arial" w:eastAsia="Arial" w:hAnsi="Arial"/>
          <w:b/>
          <w:bCs/>
          <w:color w:val="1A1410"/>
          <w:sz w:val="22"/>
          <w:szCs w:val="22"/>
        </w:rPr>
        <w:t xml:space="preserve">Objection: </w:t>
      </w:r>
      <w:r>
        <w:rPr>
          <w:rFonts w:ascii="Arial" w:cs="Arial" w:eastAsia="Arial" w:hAnsi="Arial"/>
          <w:color w:val="1A1410"/>
          <w:sz w:val="22"/>
          <w:szCs w:val="22"/>
        </w:rPr>
        <w:t xml:space="preserve">"We have existing vendor relationships and a procurement framework." Answer: parallel pilot on a single fund stream, demonstrate value, then enter procurement.</w:t>
      </w:r>
    </w:p>
    <w:p>
      <w:pPr>
        <w:pStyle w:val="Heading2"/>
        <w:spacing w:after="140" w:before="280"/>
      </w:pPr>
      <w:r>
        <w:rPr>
          <w:rFonts w:ascii="Arial" w:cs="Arial" w:eastAsia="Arial" w:hAnsi="Arial"/>
          <w:b/>
          <w:bCs/>
          <w:color w:val="7C2D12"/>
          <w:sz w:val="28"/>
          <w:szCs w:val="28"/>
        </w:rPr>
        <w:t xml:space="preserve">10.4 The NGO Executive Director — Closed Network user, Direct Compliance user</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Runs a $1M-$50M annual revenue Global South NGO. Reports to a board. Reports to multiple donors. Lives in 5+ donor portals + email + WhatsApp.</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Every donor has a different portal. Every portal has different reporting frequency, format, language. The NGO's team spends 30%+ of staff time on grant compliance administration.</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Centralize the NGO's grant relationships into one platform that pre-fills from the Trust Profile, files reports in the right language, and surfaces upcoming deadlines.</w:t>
      </w:r>
    </w:p>
    <w:p>
      <w:pPr>
        <w:spacing w:after="80" w:before="60" w:line="300"/>
        <w:jc w:val="left"/>
      </w:pPr>
      <w:r>
        <w:rPr>
          <w:rFonts w:ascii="Arial" w:cs="Arial" w:eastAsia="Arial" w:hAnsi="Arial"/>
          <w:b/>
          <w:bCs/>
          <w:color w:val="1A1410"/>
          <w:sz w:val="22"/>
          <w:szCs w:val="22"/>
        </w:rPr>
        <w:t xml:space="preserve">Adoption behavior: </w:t>
      </w:r>
      <w:r>
        <w:rPr>
          <w:rFonts w:ascii="Arial" w:cs="Arial" w:eastAsia="Arial" w:hAnsi="Arial"/>
          <w:color w:val="1A1410"/>
          <w:sz w:val="22"/>
          <w:szCs w:val="22"/>
        </w:rPr>
        <w:t xml:space="preserve">Will adopt rapidly if (a) at least one of their donors is on the platform, OR (b) the Trust Profile saves substantial time on a new application. Will be the strongest internal advocate.</w:t>
      </w:r>
    </w:p>
    <w:p>
      <w:pPr>
        <w:pStyle w:val="Heading2"/>
        <w:spacing w:after="140" w:before="280"/>
      </w:pPr>
      <w:r>
        <w:rPr>
          <w:rFonts w:ascii="Arial" w:cs="Arial" w:eastAsia="Arial" w:hAnsi="Arial"/>
          <w:b/>
          <w:bCs/>
          <w:color w:val="7C2D12"/>
          <w:sz w:val="28"/>
          <w:szCs w:val="28"/>
        </w:rPr>
        <w:t xml:space="preserve">10.5 The NGO Field Officer — daily user</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In Mogadishu, Maiduguri, Goma, Kabul, Cox's Bazar. Reports from the field on a Tecno or Itel phone. Speaks the local language at home. Trained on M&amp;E frameworks but writes reports in a non-native language.</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Spends 4-6 hours per quarter writing reports in English. Photos are saved to phone gallery, attached to email if at all, never indexed.</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Speak the report in the local language. Snap the photo with one tap. Submit from WhatsApp or the mobile app, low bandwidth, intermittent connectivity.</w:t>
      </w:r>
    </w:p>
    <w:p>
      <w:pPr>
        <w:spacing w:after="80" w:before="60" w:line="300"/>
        <w:jc w:val="left"/>
      </w:pPr>
      <w:r>
        <w:rPr>
          <w:rFonts w:ascii="Arial" w:cs="Arial" w:eastAsia="Arial" w:hAnsi="Arial"/>
          <w:b/>
          <w:bCs/>
          <w:color w:val="1A1410"/>
          <w:sz w:val="22"/>
          <w:szCs w:val="22"/>
        </w:rPr>
        <w:t xml:space="preserve">Adoption signal: </w:t>
      </w:r>
      <w:r>
        <w:rPr>
          <w:rFonts w:ascii="Arial" w:cs="Arial" w:eastAsia="Arial" w:hAnsi="Arial"/>
          <w:color w:val="1A1410"/>
          <w:sz w:val="22"/>
          <w:szCs w:val="22"/>
        </w:rPr>
        <w:t xml:space="preserve">Reports filed in 30% of the time previously needed. Will tell every peer NGO they know.</w:t>
      </w:r>
    </w:p>
    <w:p>
      <w:pPr>
        <w:pStyle w:val="Heading2"/>
        <w:spacing w:after="140" w:before="280"/>
      </w:pPr>
      <w:r>
        <w:rPr>
          <w:rFonts w:ascii="Arial" w:cs="Arial" w:eastAsia="Arial" w:hAnsi="Arial"/>
          <w:b/>
          <w:bCs/>
          <w:color w:val="7C2D12"/>
          <w:sz w:val="28"/>
          <w:szCs w:val="28"/>
        </w:rPr>
        <w:t xml:space="preserve">10.6 The CFO / Finance Director — buyer skeptic</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At the foundation, bilateral, or network. Owns the budget. Did not ask for new software.</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Existing GMS is paid for. New platform = new line item, new vendor risk, new integration cost.</w:t>
      </w:r>
    </w:p>
    <w:p>
      <w:pPr>
        <w:spacing w:after="80" w:before="60" w:line="300"/>
        <w:jc w:val="left"/>
      </w:pPr>
      <w:r>
        <w:rPr>
          <w:rFonts w:ascii="Arial" w:cs="Arial" w:eastAsia="Arial" w:hAnsi="Arial"/>
          <w:b/>
          <w:bCs/>
          <w:color w:val="1A1410"/>
          <w:sz w:val="22"/>
          <w:szCs w:val="22"/>
        </w:rPr>
        <w:t xml:space="preserve">Pushback: </w:t>
      </w:r>
      <w:r>
        <w:rPr>
          <w:rFonts w:ascii="Arial" w:cs="Arial" w:eastAsia="Arial" w:hAnsi="Arial"/>
          <w:color w:val="1A1410"/>
          <w:sz w:val="22"/>
          <w:szCs w:val="22"/>
        </w:rPr>
        <w:t xml:space="preserve">"What if you go out of business? What about data export? What's the total cost over five years?"</w:t>
      </w:r>
    </w:p>
    <w:p>
      <w:pPr>
        <w:spacing w:after="80" w:before="60" w:line="300"/>
        <w:jc w:val="left"/>
      </w:pPr>
      <w:r>
        <w:rPr>
          <w:rFonts w:ascii="Arial" w:cs="Arial" w:eastAsia="Arial" w:hAnsi="Arial"/>
          <w:b/>
          <w:bCs/>
          <w:color w:val="1A1410"/>
          <w:sz w:val="22"/>
          <w:szCs w:val="22"/>
        </w:rPr>
        <w:t xml:space="preserve">Path through: </w:t>
      </w:r>
      <w:r>
        <w:rPr>
          <w:rFonts w:ascii="Arial" w:cs="Arial" w:eastAsia="Arial" w:hAnsi="Arial"/>
          <w:color w:val="1A1410"/>
          <w:sz w:val="22"/>
          <w:szCs w:val="22"/>
        </w:rPr>
        <w:t xml:space="preserve">TCO comparison versus the current stack (Section 11). Data-portability guarantees. Multi-year discounts. References to other live deployments.</w:t>
      </w:r>
    </w:p>
    <w:p>
      <w:pPr>
        <w:pStyle w:val="Heading1"/>
        <w:pageBreakBefore/>
        <w:spacing w:after="200" w:before="320"/>
      </w:pPr>
      <w:r>
        <w:rPr>
          <w:rFonts w:ascii="Arial" w:cs="Arial" w:eastAsia="Arial" w:hAnsi="Arial"/>
          <w:b/>
          <w:bCs/>
          <w:color w:val="C2410C"/>
          <w:sz w:val="36"/>
          <w:szCs w:val="36"/>
        </w:rPr>
        <w:t xml:space="preserve">11. Pricing Strategy</w:t>
      </w:r>
    </w:p>
    <w:p>
      <w:pPr>
        <w:spacing w:after="80" w:before="60" w:line="300"/>
        <w:jc w:val="left"/>
      </w:pPr>
      <w:r>
        <w:rPr>
          <w:rFonts w:ascii="Arial" w:cs="Arial" w:eastAsia="Arial" w:hAnsi="Arial"/>
          <w:color w:val="1A1410"/>
          <w:sz w:val="22"/>
          <w:szCs w:val="22"/>
        </w:rPr>
        <w:t xml:space="preserve">Kuja Grant pricing follows the flavor. Closed Network is a network-level deal. Direct Compliance scales with donor tenant size. ERP is a sponsor add-on. Pricing is published; we do not negotiate down from a custom anchor.</w:t>
      </w:r>
    </w:p>
    <w:p>
      <w:pPr>
        <w:pStyle w:val="Heading2"/>
        <w:spacing w:after="140" w:before="280"/>
      </w:pPr>
      <w:r>
        <w:rPr>
          <w:rFonts w:ascii="Arial" w:cs="Arial" w:eastAsia="Arial" w:hAnsi="Arial"/>
          <w:b/>
          <w:bCs/>
          <w:color w:val="7C2D12"/>
          <w:sz w:val="28"/>
          <w:szCs w:val="28"/>
        </w:rPr>
        <w:t xml:space="preserve">11.1 Closed Network pricing</w:t>
      </w:r>
    </w:p>
    <w:p>
      <w:pPr>
        <w:spacing w:after="80" w:before="60" w:line="300"/>
        <w:jc w:val="left"/>
      </w:pPr>
      <w:r>
        <w:rPr>
          <w:rFonts w:ascii="Arial" w:cs="Arial" w:eastAsia="Arial" w:hAnsi="Arial"/>
          <w:color w:val="1A1410"/>
          <w:sz w:val="22"/>
          <w:szCs w:val="22"/>
        </w:rPr>
        <w:t xml:space="preserve">The buyer unit is the network secretariat. The pricing is a host fee plus per-member seats.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Range</w:t>
            </w:r>
          </w:p>
        </w:tc>
        <w:tc>
          <w:tcPr>
            <w:tcW w:type="dxa" w:w="54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covers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Network host fee</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$40K-$120K/yr</w:t>
            </w:r>
          </w:p>
        </w:tc>
        <w:tc>
          <w:tcPr>
            <w:tcW w:type="dxa" w:w="54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Platform license, OB modules, multi-sig governance, emergency declaration workflow, Crisis Monitoring Report cron, in-app messaging, network-tenant configuration.</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Per-member seat</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$1.5K-$3K/yr per member</w:t>
            </w:r>
          </w:p>
        </w:tc>
        <w:tc>
          <w:tcPr>
            <w:tcW w:type="dxa" w:w="54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Trust Profile, application, reporting modules. Network secretariat invoices members or sponsors them.</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Implementation</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$15K-$60K (one-time)</w:t>
            </w:r>
          </w:p>
        </w:tc>
        <w:tc>
          <w:tcPr>
            <w:tcW w:type="dxa" w:w="54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6-12 week deployment. Includes member onboarding, governance configuration, AI calibration, weekly Crisis Monitoring Report tuning.</w:t>
            </w:r>
          </w:p>
        </w:tc>
      </w:tr>
    </w:tbl>
    <w:p>
      <w:pPr>
        <w:spacing w:after="80" w:before="60" w:line="300"/>
        <w:jc w:val="left"/>
      </w:pPr>
      <w:r>
        <w:rPr>
          <w:rFonts w:ascii="Arial" w:cs="Arial" w:eastAsia="Arial" w:hAnsi="Arial"/>
          <w:b/>
          <w:bCs/>
          <w:color w:val="1A1410"/>
          <w:sz w:val="22"/>
          <w:szCs w:val="22"/>
        </w:rPr>
        <w:t xml:space="preserve">Total Year 1 for a 25-member network: </w:t>
      </w:r>
      <w:r>
        <w:rPr>
          <w:rFonts w:ascii="Arial" w:cs="Arial" w:eastAsia="Arial" w:hAnsi="Arial"/>
          <w:color w:val="1A1410"/>
          <w:sz w:val="22"/>
          <w:szCs w:val="22"/>
        </w:rPr>
        <w:t xml:space="preserve">$80K-$200K. Steady-state ARR: $60K-$180K.</w:t>
      </w:r>
    </w:p>
    <w:p>
      <w:pPr>
        <w:spacing w:after="80" w:before="60" w:line="300"/>
        <w:jc w:val="left"/>
      </w:pPr>
      <w:r>
        <w:rPr>
          <w:rFonts w:ascii="Arial" w:cs="Arial" w:eastAsia="Arial" w:hAnsi="Arial"/>
          <w:b/>
          <w:bCs/>
          <w:color w:val="1A1410"/>
          <w:sz w:val="22"/>
          <w:szCs w:val="22"/>
        </w:rPr>
        <w:t xml:space="preserve">Reference: </w:t>
      </w:r>
      <w:r>
        <w:rPr>
          <w:rFonts w:ascii="Arial" w:cs="Arial" w:eastAsia="Arial" w:hAnsi="Arial"/>
          <w:color w:val="1A1410"/>
          <w:sz w:val="22"/>
          <w:szCs w:val="22"/>
        </w:rPr>
        <w:t xml:space="preserve">NEAR-scale (60+ members) is at the high end. Smaller regional networks (10-20 members) at the low end.</w:t>
      </w:r>
    </w:p>
    <w:p>
      <w:pPr>
        <w:pStyle w:val="Heading2"/>
        <w:spacing w:after="140" w:before="280"/>
      </w:pPr>
      <w:r>
        <w:rPr>
          <w:rFonts w:ascii="Arial" w:cs="Arial" w:eastAsia="Arial" w:hAnsi="Arial"/>
          <w:b/>
          <w:bCs/>
          <w:color w:val="7C2D12"/>
          <w:sz w:val="28"/>
          <w:szCs w:val="28"/>
        </w:rPr>
        <w:t xml:space="preserve">11.2 Direct Compliance pricing</w:t>
      </w:r>
    </w:p>
    <w:p>
      <w:pPr>
        <w:spacing w:after="80" w:before="60" w:line="300"/>
        <w:jc w:val="left"/>
      </w:pPr>
      <w:r>
        <w:rPr>
          <w:rFonts w:ascii="Arial" w:cs="Arial" w:eastAsia="Arial" w:hAnsi="Arial"/>
          <w:color w:val="1A1410"/>
          <w:sz w:val="22"/>
          <w:szCs w:val="22"/>
        </w:rPr>
        <w:t xml:space="preserve">Three tiers calibrated to donor portfolio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Grants/yr</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includes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Foundation</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1-25 grants</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$25K-$50K/yr</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Full Grant lifecycle, AI per-requirement evaluation, Trust Profile, audit chain, six-language parity, voice/photo/WhatsApp.</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Bilateral</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25-100 grants</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$50K-$100K/yr</w:t>
            </w:r>
          </w:p>
        </w:tc>
        <w:tc>
          <w:tcPr>
            <w:tcW w:type="dxa" w:w="3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Foundation features + advanced reviewer panels + multi-currency + dedicated success engineer + SLA guarantees.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Multilateral</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100+ grants</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Custom</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Bilateral features + multi-tenant donor visibility + custom SLA + audit support.</w:t>
            </w:r>
          </w:p>
        </w:tc>
      </w:tr>
    </w:tbl>
    <w:p>
      <w:pPr>
        <w:spacing w:after="80" w:before="60" w:line="300"/>
        <w:jc w:val="left"/>
      </w:pPr>
      <w:r>
        <w:rPr>
          <w:rFonts w:ascii="Arial" w:cs="Arial" w:eastAsia="Arial" w:hAnsi="Arial"/>
          <w:b/>
          <w:bCs/>
          <w:color w:val="1A1410"/>
          <w:sz w:val="22"/>
          <w:szCs w:val="22"/>
        </w:rPr>
        <w:t xml:space="preserve">NGO sponsorship: </w:t>
      </w:r>
      <w:r>
        <w:rPr>
          <w:rFonts w:ascii="Arial" w:cs="Arial" w:eastAsia="Arial" w:hAnsi="Arial"/>
          <w:color w:val="1A1410"/>
          <w:sz w:val="22"/>
          <w:szCs w:val="22"/>
        </w:rPr>
        <w:t xml:space="preserve">+$3K-$8K per NGO/year. Donor pays for the NGO tenant. Primary motion when the donor wants visibility into the NGO's broader operational picture.</w:t>
      </w:r>
    </w:p>
    <w:p>
      <w:pPr>
        <w:pStyle w:val="Heading2"/>
        <w:spacing w:after="140" w:before="280"/>
      </w:pPr>
      <w:r>
        <w:rPr>
          <w:rFonts w:ascii="Arial" w:cs="Arial" w:eastAsia="Arial" w:hAnsi="Arial"/>
          <w:b/>
          <w:bCs/>
          <w:color w:val="7C2D12"/>
          <w:sz w:val="28"/>
          <w:szCs w:val="28"/>
        </w:rPr>
        <w:t xml:space="preserve">11.3 ERP add-on pricing</w:t>
      </w:r>
    </w:p>
    <w:p>
      <w:pPr>
        <w:spacing w:after="80" w:before="60" w:line="300"/>
        <w:jc w:val="left"/>
      </w:pPr>
      <w:r>
        <w:rPr>
          <w:rFonts w:ascii="Arial" w:cs="Arial" w:eastAsia="Arial" w:hAnsi="Arial"/>
          <w:color w:val="1A1410"/>
          <w:sz w:val="22"/>
          <w:szCs w:val="22"/>
        </w:rPr>
        <w:t xml:space="preserve">Optional. Donor-sponsored is the primary motion.</w:t>
      </w:r>
    </w:p>
    <w:p>
      <w:pPr>
        <w:pStyle w:val="ListParagraph"/>
        <w:numPr>
          <w:ilvl w:val="0"/>
          <w:numId w:val="2"/>
        </w:numPr>
        <w:spacing w:after="60" w:before="30" w:line="280"/>
      </w:pPr>
      <w:r>
        <w:rPr>
          <w:rFonts w:ascii="Arial" w:cs="Arial" w:eastAsia="Arial" w:hAnsi="Arial"/>
          <w:b/>
          <w:bCs/>
          <w:color w:val="1A1410"/>
          <w:sz w:val="22"/>
          <w:szCs w:val="22"/>
        </w:rPr>
        <w:t xml:space="preserve">Add-on per tenant: </w:t>
      </w:r>
      <w:r>
        <w:rPr>
          <w:rFonts w:ascii="Arial" w:cs="Arial" w:eastAsia="Arial" w:hAnsi="Arial"/>
          <w:color w:val="1A1410"/>
          <w:sz w:val="22"/>
          <w:szCs w:val="22"/>
        </w:rPr>
        <w:t xml:space="preserve">+$15K-$40K/year. Donor sponsors the NGO tenant, gets multi-tenant cross-grantee spend roll-up.</w:t>
      </w:r>
    </w:p>
    <w:p>
      <w:pPr>
        <w:pStyle w:val="ListParagraph"/>
        <w:numPr>
          <w:ilvl w:val="0"/>
          <w:numId w:val="2"/>
        </w:numPr>
        <w:spacing w:after="60" w:before="30" w:line="280"/>
      </w:pPr>
      <w:r>
        <w:rPr>
          <w:rFonts w:ascii="Arial" w:cs="Arial" w:eastAsia="Arial" w:hAnsi="Arial"/>
          <w:b/>
          <w:bCs/>
          <w:color w:val="1A1410"/>
          <w:sz w:val="22"/>
          <w:szCs w:val="22"/>
        </w:rPr>
        <w:t xml:space="preserve">Direct NGO subscription: </w:t>
      </w:r>
      <w:r>
        <w:rPr>
          <w:rFonts w:ascii="Arial" w:cs="Arial" w:eastAsia="Arial" w:hAnsi="Arial"/>
          <w:color w:val="1A1410"/>
          <w:sz w:val="22"/>
          <w:szCs w:val="22"/>
        </w:rPr>
        <w:t xml:space="preserve">Secondary motion. NGO pays directly for real-time financial visibility. Same price range.</w:t>
      </w:r>
    </w:p>
    <w:p>
      <w:pPr>
        <w:pStyle w:val="Heading2"/>
        <w:spacing w:after="140" w:before="280"/>
      </w:pPr>
      <w:r>
        <w:rPr>
          <w:rFonts w:ascii="Arial" w:cs="Arial" w:eastAsia="Arial" w:hAnsi="Arial"/>
          <w:b/>
          <w:bCs/>
          <w:color w:val="7C2D12"/>
          <w:sz w:val="28"/>
          <w:szCs w:val="28"/>
        </w:rPr>
        <w:t xml:space="preserve">11.4 TCO comparison against the stitched stack</w:t>
      </w:r>
    </w:p>
    <w:p>
      <w:pPr>
        <w:spacing w:after="80" w:before="60" w:line="300"/>
        <w:jc w:val="left"/>
      </w:pPr>
      <w:r>
        <w:rPr>
          <w:rFonts w:ascii="Arial" w:cs="Arial" w:eastAsia="Arial" w:hAnsi="Arial"/>
          <w:color w:val="1A1410"/>
          <w:sz w:val="22"/>
          <w:szCs w:val="22"/>
        </w:rPr>
        <w:t xml:space="preserve">Building a comparable grant management capability on incumbent tools requires multiple SaaS subscriptions plus integration. Conservative estimate for a mid-size foundation running 50 grants/year: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tblHeader/>
        </w:trPr>
        <w:tc>
          <w:tcPr>
            <w:tcW w:type="dxa" w:w="33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w:t>
            </w:r>
          </w:p>
        </w:tc>
        <w:tc>
          <w:tcPr>
            <w:tcW w:type="dxa" w:w="38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Submittable (50-200 submissions tier)</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$15K-$25K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SmartThoughts; ITQlick</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Microsoft 365 + SharePoint (for reports)</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$5K-$10K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Standard E3 pricing × team</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DocuSign or Adobe Sign (for agreements)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$3K-$8K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Vendor pricing</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Zapier / Make.com (for integration glue)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$2K-$5K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Vendor pricing</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M&amp;E tool (Kobo + ad-hoc)</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$3K-$8K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KoboToolbox + tooling</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Translation services (when needed)</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$5K-$15K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Per-project basis</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Compliance consultant (quarterly)</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$15K-$40K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Mid-market sector rates</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SUBTOTAL</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$48K-$111K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Verified ranges</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 Internal admin overhead (0.5 FTE)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$30K-$60K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US/EU rates; lower in Global South</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TCO Year 1</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$78K-$171K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Before vendor implementation costs</w:t>
            </w:r>
          </w:p>
        </w:tc>
      </w:tr>
    </w:tbl>
    <w:p>
      <w:pPr>
        <w:spacing w:after="80" w:before="60" w:line="300"/>
        <w:jc w:val="left"/>
      </w:pPr>
      <w:r>
        <w:rPr>
          <w:rFonts w:ascii="Arial" w:cs="Arial" w:eastAsia="Arial" w:hAnsi="Arial"/>
          <w:b/>
          <w:bCs/>
          <w:color w:val="1A1410"/>
          <w:sz w:val="22"/>
          <w:szCs w:val="22"/>
        </w:rPr>
        <w:t xml:space="preserve">Kuja Grant Direct Compliance Foundation tier: $25K-$50K/year. </w:t>
      </w:r>
      <w:r>
        <w:rPr>
          <w:rFonts w:ascii="Arial" w:cs="Arial" w:eastAsia="Arial" w:hAnsi="Arial"/>
          <w:color w:val="1A1410"/>
          <w:sz w:val="22"/>
          <w:szCs w:val="22"/>
        </w:rPr>
        <w:t xml:space="preserve">One-third to one-half the stitched-stack TCO, with full integration, AI per-requirement evaluation, six-language parity, accessibility stack, and the audit chain. Compliance consulting work the foundation's team can now do themselves.</w:t>
      </w:r>
    </w:p>
    <w:p>
      <w:pPr>
        <w:pStyle w:val="Heading1"/>
        <w:pageBreakBefore/>
        <w:spacing w:after="200" w:before="320"/>
      </w:pPr>
      <w:r>
        <w:rPr>
          <w:rFonts w:ascii="Arial" w:cs="Arial" w:eastAsia="Arial" w:hAnsi="Arial"/>
          <w:b/>
          <w:bCs/>
          <w:color w:val="C2410C"/>
          <w:sz w:val="36"/>
          <w:szCs w:val="36"/>
        </w:rPr>
        <w:t xml:space="preserve">12. Go-to-Market</w:t>
      </w:r>
    </w:p>
    <w:p>
      <w:pPr>
        <w:spacing w:after="80" w:before="60" w:line="300"/>
        <w:jc w:val="left"/>
      </w:pPr>
      <w:r>
        <w:rPr>
          <w:rFonts w:ascii="Arial" w:cs="Arial" w:eastAsia="Arial" w:hAnsi="Arial"/>
          <w:color w:val="1A1410"/>
          <w:sz w:val="22"/>
          <w:szCs w:val="22"/>
        </w:rPr>
        <w:t xml:space="preserve">Three motions, calibrated to the three buyer profiles. Each motion has its own sales cycle, conversion path, and reference customer.</w:t>
      </w:r>
    </w:p>
    <w:p>
      <w:pPr>
        <w:pStyle w:val="Heading2"/>
        <w:spacing w:after="140" w:before="280"/>
      </w:pPr>
      <w:r>
        <w:rPr>
          <w:rFonts w:ascii="Arial" w:cs="Arial" w:eastAsia="Arial" w:hAnsi="Arial"/>
          <w:b/>
          <w:bCs/>
          <w:color w:val="7C2D12"/>
          <w:sz w:val="28"/>
          <w:szCs w:val="28"/>
        </w:rPr>
        <w:t xml:space="preserve">12.1 The Closed Network motion</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6-12 months. Often slower because networks are coalition-governed.</w:t>
      </w:r>
    </w:p>
    <w:p>
      <w:pPr>
        <w:spacing w:after="80" w:before="60" w:line="300"/>
        <w:jc w:val="left"/>
      </w:pPr>
      <w:r>
        <w:rPr>
          <w:rFonts w:ascii="Arial" w:cs="Arial" w:eastAsia="Arial" w:hAnsi="Arial"/>
          <w:b/>
          <w:bCs/>
          <w:color w:val="1A1410"/>
          <w:sz w:val="22"/>
          <w:szCs w:val="22"/>
        </w:rPr>
        <w:t xml:space="preserve">Path: </w:t>
      </w:r>
      <w:r>
        <w:rPr>
          <w:rFonts w:ascii="Arial" w:cs="Arial" w:eastAsia="Arial" w:hAnsi="Arial"/>
          <w:color w:val="1A1410"/>
          <w:sz w:val="22"/>
          <w:szCs w:val="22"/>
        </w:rPr>
        <w:t xml:space="preserve">Discovery → champion identification → reference call with Adeso → 6-week tenant pilot ($0-$25K pilot fee, applied to Year 1 if signed) → board / member ratification → Year 1 commitment.</w:t>
      </w:r>
    </w:p>
    <w:p>
      <w:pPr>
        <w:spacing w:after="80" w:before="60" w:line="300"/>
        <w:jc w:val="left"/>
      </w:pPr>
      <w:r>
        <w:rPr>
          <w:rFonts w:ascii="Arial" w:cs="Arial" w:eastAsia="Arial" w:hAnsi="Arial"/>
          <w:b/>
          <w:bCs/>
          <w:color w:val="1A1410"/>
          <w:sz w:val="22"/>
          <w:szCs w:val="22"/>
        </w:rPr>
        <w:t xml:space="preserve">Reference customers: </w:t>
      </w:r>
      <w:r>
        <w:rPr>
          <w:rFonts w:ascii="Arial" w:cs="Arial" w:eastAsia="Arial" w:hAnsi="Arial"/>
          <w:color w:val="1A1410"/>
          <w:sz w:val="22"/>
          <w:szCs w:val="22"/>
        </w:rPr>
        <w:t xml:space="preserve">NEAR is the lead pilot prospect. Adeso operates a closed-network platform on Kuja today for its internal grantmaking.</w:t>
      </w:r>
    </w:p>
    <w:p>
      <w:pPr>
        <w:spacing w:after="80" w:before="60" w:line="300"/>
        <w:jc w:val="left"/>
      </w:pPr>
      <w:r>
        <w:rPr>
          <w:rFonts w:ascii="Arial" w:cs="Arial" w:eastAsia="Arial" w:hAnsi="Arial"/>
          <w:b/>
          <w:bCs/>
          <w:color w:val="1A1410"/>
          <w:sz w:val="22"/>
          <w:szCs w:val="22"/>
        </w:rPr>
        <w:t xml:space="preserve">Channel: </w:t>
      </w:r>
      <w:r>
        <w:rPr>
          <w:rFonts w:ascii="Arial" w:cs="Arial" w:eastAsia="Arial" w:hAnsi="Arial"/>
          <w:color w:val="1A1410"/>
          <w:sz w:val="22"/>
          <w:szCs w:val="22"/>
        </w:rPr>
        <w:t xml:space="preserve">Direct sales from Adeso. Referrals from existing network secretariats. Conferences (Global Grantmakers, ALNAP, ICVA).</w:t>
      </w:r>
    </w:p>
    <w:p>
      <w:pPr>
        <w:spacing w:after="80" w:before="60" w:line="300"/>
        <w:jc w:val="left"/>
      </w:pPr>
      <w:r>
        <w:rPr>
          <w:rFonts w:ascii="Arial" w:cs="Arial" w:eastAsia="Arial" w:hAnsi="Arial"/>
          <w:b/>
          <w:bCs/>
          <w:color w:val="1A1410"/>
          <w:sz w:val="22"/>
          <w:szCs w:val="22"/>
        </w:rPr>
        <w:t xml:space="preserve">Pricing motion: </w:t>
      </w:r>
      <w:r>
        <w:rPr>
          <w:rFonts w:ascii="Arial" w:cs="Arial" w:eastAsia="Arial" w:hAnsi="Arial"/>
          <w:color w:val="1A1410"/>
          <w:sz w:val="22"/>
          <w:szCs w:val="22"/>
        </w:rPr>
        <w:t xml:space="preserve">Multi-year discounts (10-20%) for 3-year commitments. Pilot fee credited to Year 1.</w:t>
      </w:r>
    </w:p>
    <w:p>
      <w:pPr>
        <w:pStyle w:val="Heading2"/>
        <w:spacing w:after="140" w:before="280"/>
      </w:pPr>
      <w:r>
        <w:rPr>
          <w:rFonts w:ascii="Arial" w:cs="Arial" w:eastAsia="Arial" w:hAnsi="Arial"/>
          <w:b/>
          <w:bCs/>
          <w:color w:val="7C2D12"/>
          <w:sz w:val="28"/>
          <w:szCs w:val="28"/>
        </w:rPr>
        <w:t xml:space="preserve">12.2 The Direct Compliance motion (foundation tier)</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3-6 months for foundations. 6-12 months for bilaterals.</w:t>
      </w:r>
    </w:p>
    <w:p>
      <w:pPr>
        <w:spacing w:after="80" w:before="60" w:line="300"/>
        <w:jc w:val="left"/>
      </w:pPr>
      <w:r>
        <w:rPr>
          <w:rFonts w:ascii="Arial" w:cs="Arial" w:eastAsia="Arial" w:hAnsi="Arial"/>
          <w:b/>
          <w:bCs/>
          <w:color w:val="1A1410"/>
          <w:sz w:val="22"/>
          <w:szCs w:val="22"/>
        </w:rPr>
        <w:t xml:space="preserve">Path: </w:t>
      </w:r>
      <w:r>
        <w:rPr>
          <w:rFonts w:ascii="Arial" w:cs="Arial" w:eastAsia="Arial" w:hAnsi="Arial"/>
          <w:color w:val="1A1410"/>
          <w:sz w:val="22"/>
          <w:szCs w:val="22"/>
        </w:rPr>
        <w:t xml:space="preserve">Discovery (often via the Marketplace product or Kuja Grant pitch deck) → champion identification → 90-day Grant Pilot ($25K-$50K, paid up front, applied to Year 1) → reference output review → Year 1 commitment.</w:t>
      </w:r>
    </w:p>
    <w:p>
      <w:pPr>
        <w:spacing w:after="80" w:before="60" w:line="300"/>
        <w:jc w:val="left"/>
      </w:pPr>
      <w:r>
        <w:rPr>
          <w:rFonts w:ascii="Arial" w:cs="Arial" w:eastAsia="Arial" w:hAnsi="Arial"/>
          <w:b/>
          <w:bCs/>
          <w:color w:val="1A1410"/>
          <w:sz w:val="22"/>
          <w:szCs w:val="22"/>
        </w:rPr>
        <w:t xml:space="preserve">Differentiation in the pilot: </w:t>
      </w:r>
      <w:r>
        <w:rPr>
          <w:rFonts w:ascii="Arial" w:cs="Arial" w:eastAsia="Arial" w:hAnsi="Arial"/>
          <w:color w:val="1A1410"/>
          <w:sz w:val="22"/>
          <w:szCs w:val="22"/>
        </w:rPr>
        <w:t xml:space="preserve">Run one grant cycle end-to-end on Kuja Grant in parallel with the existing tool. Compare AI per-requirement evaluation output. Compare audit chain. Compare NGO experience (voice / photo / WhatsApp).</w:t>
      </w:r>
    </w:p>
    <w:p>
      <w:pPr>
        <w:spacing w:after="80" w:before="60" w:line="300"/>
        <w:jc w:val="left"/>
      </w:pPr>
      <w:r>
        <w:rPr>
          <w:rFonts w:ascii="Arial" w:cs="Arial" w:eastAsia="Arial" w:hAnsi="Arial"/>
          <w:b/>
          <w:bCs/>
          <w:color w:val="1A1410"/>
          <w:sz w:val="22"/>
          <w:szCs w:val="22"/>
        </w:rPr>
        <w:t xml:space="preserve">Reference customers: </w:t>
      </w:r>
      <w:r>
        <w:rPr>
          <w:rFonts w:ascii="Arial" w:cs="Arial" w:eastAsia="Arial" w:hAnsi="Arial"/>
          <w:color w:val="1A1410"/>
          <w:sz w:val="22"/>
          <w:szCs w:val="22"/>
        </w:rPr>
        <w:t xml:space="preserve">Adeso operates Kuja Grant on Direct Compliance flavor for its own donor partners. Live production tenants on Kuja Marketplace.</w:t>
      </w:r>
    </w:p>
    <w:p>
      <w:pPr>
        <w:spacing w:after="80" w:before="60" w:line="300"/>
        <w:jc w:val="left"/>
      </w:pPr>
      <w:r>
        <w:rPr>
          <w:rFonts w:ascii="Arial" w:cs="Arial" w:eastAsia="Arial" w:hAnsi="Arial"/>
          <w:b/>
          <w:bCs/>
          <w:color w:val="1A1410"/>
          <w:sz w:val="22"/>
          <w:szCs w:val="22"/>
        </w:rPr>
        <w:t xml:space="preserve">Channel: </w:t>
      </w:r>
      <w:r>
        <w:rPr>
          <w:rFonts w:ascii="Arial" w:cs="Arial" w:eastAsia="Arial" w:hAnsi="Arial"/>
          <w:color w:val="1A1410"/>
          <w:sz w:val="22"/>
          <w:szCs w:val="22"/>
        </w:rPr>
        <w:t xml:space="preserve">Direct sales. Foundation conferences (Council on Foundations, EFC). Partnership with regional foundation associations (AFG, EAGM, ASEAN Foundation).</w:t>
      </w:r>
    </w:p>
    <w:p>
      <w:pPr>
        <w:pStyle w:val="Heading2"/>
        <w:spacing w:after="140" w:before="280"/>
      </w:pPr>
      <w:r>
        <w:rPr>
          <w:rFonts w:ascii="Arial" w:cs="Arial" w:eastAsia="Arial" w:hAnsi="Arial"/>
          <w:b/>
          <w:bCs/>
          <w:color w:val="7C2D12"/>
          <w:sz w:val="28"/>
          <w:szCs w:val="28"/>
        </w:rPr>
        <w:t xml:space="preserve">12.3 The NGO cohort sponsorship motion</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Calibrated to the donor's grant cycle.</w:t>
      </w:r>
    </w:p>
    <w:p>
      <w:pPr>
        <w:spacing w:after="80" w:before="60" w:line="300"/>
        <w:jc w:val="left"/>
      </w:pPr>
      <w:r>
        <w:rPr>
          <w:rFonts w:ascii="Arial" w:cs="Arial" w:eastAsia="Arial" w:hAnsi="Arial"/>
          <w:b/>
          <w:bCs/>
          <w:color w:val="1A1410"/>
          <w:sz w:val="22"/>
          <w:szCs w:val="22"/>
        </w:rPr>
        <w:t xml:space="preserve">Path: </w:t>
      </w:r>
      <w:r>
        <w:rPr>
          <w:rFonts w:ascii="Arial" w:cs="Arial" w:eastAsia="Arial" w:hAnsi="Arial"/>
          <w:color w:val="1A1410"/>
          <w:sz w:val="22"/>
          <w:szCs w:val="22"/>
        </w:rPr>
        <w:t xml:space="preserve">Donor commits to sponsor a cohort of 5-15 NGOs on Kuja Grant for a defined period (12-36 months). Donor receives multi-tenant cross-grantee visibility. NGOs receive free Trust Profile and reporting modules.</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$50K-$80K per grantee per year. Donor pays. Cohort discount.</w:t>
      </w:r>
    </w:p>
    <w:p>
      <w:pPr>
        <w:spacing w:after="80" w:before="60" w:line="300"/>
        <w:jc w:val="left"/>
      </w:pPr>
      <w:r>
        <w:rPr>
          <w:rFonts w:ascii="Arial" w:cs="Arial" w:eastAsia="Arial" w:hAnsi="Arial"/>
          <w:b/>
          <w:bCs/>
          <w:color w:val="1A1410"/>
          <w:sz w:val="22"/>
          <w:szCs w:val="22"/>
        </w:rPr>
        <w:t xml:space="preserve">Reference framing: </w:t>
      </w:r>
      <w:r>
        <w:rPr>
          <w:rFonts w:ascii="Arial" w:cs="Arial" w:eastAsia="Arial" w:hAnsi="Arial"/>
          <w:color w:val="1A1410"/>
          <w:sz w:val="22"/>
          <w:szCs w:val="22"/>
        </w:rPr>
        <w:t xml:space="preserve">"Your funding builds capacity, not vendor margin." Donor sees specific grantees become operationally stronger.</w:t>
      </w:r>
    </w:p>
    <w:p>
      <w:pPr>
        <w:pStyle w:val="Heading2"/>
        <w:spacing w:after="140" w:before="280"/>
      </w:pPr>
      <w:r>
        <w:rPr>
          <w:rFonts w:ascii="Arial" w:cs="Arial" w:eastAsia="Arial" w:hAnsi="Arial"/>
          <w:b/>
          <w:bCs/>
          <w:color w:val="7C2D12"/>
          <w:sz w:val="28"/>
          <w:szCs w:val="28"/>
        </w:rPr>
        <w:t xml:space="preserve">12.4 The seed-then-expand motion</w:t>
      </w:r>
    </w:p>
    <w:p>
      <w:pPr>
        <w:spacing w:after="80" w:before="60" w:line="300"/>
        <w:jc w:val="left"/>
      </w:pPr>
      <w:r>
        <w:rPr>
          <w:rFonts w:ascii="Arial" w:cs="Arial" w:eastAsia="Arial" w:hAnsi="Arial"/>
          <w:color w:val="1A1410"/>
          <w:sz w:val="22"/>
          <w:szCs w:val="22"/>
        </w:rPr>
        <w:t xml:space="preserve">Underneath all three motions is a structural strategy: seed the Trust Profile first. The NGO's Trust Profile is the asset that compounds. Once an NGO is on the platform with a complete Trust Profile, the cost of running an additional grant cycle through Kuja Grant is near zero — and the cost to a donor of NOT being on the platform with that NGO rises with each cycle.</w:t>
      </w:r>
    </w:p>
    <w:p>
      <w:pPr>
        <w:spacing w:after="80" w:before="60" w:line="300"/>
        <w:jc w:val="left"/>
      </w:pPr>
      <w:r>
        <w:rPr>
          <w:rFonts w:ascii="Arial" w:cs="Arial" w:eastAsia="Arial" w:hAnsi="Arial"/>
          <w:color w:val="1A1410"/>
          <w:sz w:val="22"/>
          <w:szCs w:val="22"/>
        </w:rPr>
        <w:t xml:space="preserve">Adeso's operational use of Kuja Grant is itself a seeding mechanism: every Adeso-funded NGO has a Trust Profile, anchoring the network effects from year one.</w:t>
      </w:r>
    </w:p>
    <w:p>
      <w:pPr>
        <w:pStyle w:val="Heading1"/>
        <w:pageBreakBefore/>
        <w:spacing w:after="200" w:before="320"/>
      </w:pPr>
      <w:r>
        <w:rPr>
          <w:rFonts w:ascii="Arial" w:cs="Arial" w:eastAsia="Arial" w:hAnsi="Arial"/>
          <w:b/>
          <w:bCs/>
          <w:color w:val="C2410C"/>
          <w:sz w:val="36"/>
          <w:szCs w:val="36"/>
        </w:rPr>
        <w:t xml:space="preserve">13. Risks &amp; Mitigations</w:t>
      </w:r>
    </w:p>
    <w:p>
      <w:pPr>
        <w:spacing w:after="80" w:before="60" w:line="300"/>
        <w:jc w:val="left"/>
      </w:pPr>
      <w:r>
        <w:rPr>
          <w:rFonts w:ascii="Arial" w:cs="Arial" w:eastAsia="Arial" w:hAnsi="Arial"/>
          <w:color w:val="1A1410"/>
          <w:sz w:val="22"/>
          <w:szCs w:val="22"/>
        </w:rPr>
        <w:t xml:space="preserve">Five risks deserve explicit acknowledgment.</w:t>
      </w:r>
    </w:p>
    <w:p>
      <w:pPr>
        <w:pStyle w:val="Heading2"/>
        <w:spacing w:after="140" w:before="280"/>
      </w:pPr>
      <w:r>
        <w:rPr>
          <w:rFonts w:ascii="Arial" w:cs="Arial" w:eastAsia="Arial" w:hAnsi="Arial"/>
          <w:b/>
          <w:bCs/>
          <w:color w:val="7C2D12"/>
          <w:sz w:val="28"/>
          <w:szCs w:val="28"/>
        </w:rPr>
        <w:t xml:space="preserve">13.1 Funding-shock risk — donors cut grants, not grant management</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In a funding shock, donors may cut everything including grant management software spend.</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Pricing is anchored as a fraction of grant volume (stitched-stack TCO comparison in 11.4). The product makes the remaining dollars more effective — operational savings, faster compliance, better risk surfacing. Position as cost reduction in absolute terms, not a discretionary add-on.</w:t>
      </w:r>
    </w:p>
    <w:p>
      <w:pPr>
        <w:pStyle w:val="Heading2"/>
        <w:spacing w:after="140" w:before="280"/>
      </w:pPr>
      <w:r>
        <w:rPr>
          <w:rFonts w:ascii="Arial" w:cs="Arial" w:eastAsia="Arial" w:hAnsi="Arial"/>
          <w:b/>
          <w:bCs/>
          <w:color w:val="7C2D12"/>
          <w:sz w:val="28"/>
          <w:szCs w:val="28"/>
        </w:rPr>
        <w:t xml:space="preserve">13.2 Incumbent counter-move — SmartSimple ships per-requirement evaluation</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SmartSimple +AI, Fluxx, or Salesforce GM ships per-requirement report evaluation in 2026-2027, closing the AI gap on the headline differentiator.</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The closed-network governance, six-language workflow parity, voice/photo/WhatsApp stack, and African registry verification are architectural — they require data-model and product investments that take 18-24 months. The accessibility moat compounds: as Kuja Grant gathers more NGO Trust Profiles, the data network effect strengthens.</w:t>
      </w:r>
    </w:p>
    <w:p>
      <w:pPr>
        <w:pStyle w:val="Heading2"/>
        <w:spacing w:after="140" w:before="280"/>
      </w:pPr>
      <w:r>
        <w:rPr>
          <w:rFonts w:ascii="Arial" w:cs="Arial" w:eastAsia="Arial" w:hAnsi="Arial"/>
          <w:b/>
          <w:bCs/>
          <w:color w:val="7C2D12"/>
          <w:sz w:val="28"/>
          <w:szCs w:val="28"/>
        </w:rPr>
        <w:t xml:space="preserve">13.3 NGO adoption friction — they will not use it</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Despite WhatsApp / voice / photo / six-language, NGO field officers default to the channels they know. Adoption is slow.</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Adoption pattern is: at least one of the NGO's funders is on the platform; the NGO's Trust Profile saves time on a new application; voice reduces report-filing time by 60-70%. All three are observable signals. Monitor adoption closely in pilot deployments.</w:t>
      </w:r>
    </w:p>
    <w:p>
      <w:pPr>
        <w:pStyle w:val="Heading2"/>
        <w:spacing w:after="140" w:before="280"/>
      </w:pPr>
      <w:r>
        <w:rPr>
          <w:rFonts w:ascii="Arial" w:cs="Arial" w:eastAsia="Arial" w:hAnsi="Arial"/>
          <w:b/>
          <w:bCs/>
          <w:color w:val="7C2D12"/>
          <w:sz w:val="28"/>
          <w:szCs w:val="28"/>
        </w:rPr>
        <w:t xml:space="preserve">13.4 AI cost / reliability — Anthropic Claude availability or pricing changes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Anthropic raises prices or service availability declines.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Cost ceiling is a tenant-level setting. Fallback architecture supports multi-LLM (Claude primary, fallbacks to other LLMs). Telemetry surfaces cost per surface per tenant. We can degrade gracefully.</w:t>
      </w:r>
    </w:p>
    <w:p>
      <w:pPr>
        <w:pStyle w:val="Heading2"/>
        <w:spacing w:after="140" w:before="280"/>
      </w:pPr>
      <w:r>
        <w:rPr>
          <w:rFonts w:ascii="Arial" w:cs="Arial" w:eastAsia="Arial" w:hAnsi="Arial"/>
          <w:b/>
          <w:bCs/>
          <w:color w:val="7C2D12"/>
          <w:sz w:val="28"/>
          <w:szCs w:val="28"/>
        </w:rPr>
        <w:t xml:space="preserve">13.5 Foundant + SmartSimple consolidation — pricing pressure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The Foundant + SmartSimple parent company applies competitive pressure on the mid-tier and enterprise simultaneously, with bundled discounting.</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Differentiation is not on AI feature parity. It is on accessibility stack, closed-network governance, and per-requirement evaluation — none of which Foundant or SmartSimple ships. Stay above the pricing fight; compete on category.</w:t>
      </w:r>
    </w:p>
    <w:p>
      <w:pPr>
        <w:pStyle w:val="Heading1"/>
        <w:pageBreakBefore/>
        <w:spacing w:after="200" w:before="320"/>
      </w:pPr>
      <w:r>
        <w:rPr>
          <w:rFonts w:ascii="Arial" w:cs="Arial" w:eastAsia="Arial" w:hAnsi="Arial"/>
          <w:b/>
          <w:bCs/>
          <w:color w:val="C2410C"/>
          <w:sz w:val="36"/>
          <w:szCs w:val="36"/>
        </w:rPr>
        <w:t xml:space="preserve">14. Sources &amp; Bibliography</w:t>
      </w:r>
    </w:p>
    <w:p>
      <w:pPr>
        <w:spacing w:after="60" w:before="220"/>
      </w:pPr>
      <w:r>
        <w:rPr>
          <w:rFonts w:ascii="Arial" w:cs="Arial" w:eastAsia="Arial" w:hAnsi="Arial"/>
          <w:b/>
          <w:bCs/>
          <w:color w:val="F97316"/>
          <w:spacing w:val="30"/>
          <w:sz w:val="18"/>
          <w:szCs w:val="18"/>
        </w:rPr>
        <w:t xml:space="preserve">MARKET SIZING</w:t>
      </w:r>
    </w:p>
    <w:p>
      <w:pPr>
        <w:pStyle w:val="ListParagraph"/>
        <w:numPr>
          <w:ilvl w:val="0"/>
          <w:numId w:val="2"/>
        </w:numPr>
        <w:spacing w:after="60" w:before="30" w:line="280"/>
      </w:pPr>
      <w:r>
        <w:rPr>
          <w:rFonts w:ascii="Arial" w:cs="Arial" w:eastAsia="Arial" w:hAnsi="Arial"/>
          <w:color w:val="1A1410"/>
          <w:sz w:val="22"/>
          <w:szCs w:val="22"/>
        </w:rPr>
        <w:t xml:space="preserve">Mordor Intelligence. Grant Management Software Market Size, Share &amp; 2030 Growth Trends Report. https://www.mordorintelligence.com/industry-reports/grant-management-software-market</w:t>
      </w:r>
    </w:p>
    <w:p>
      <w:pPr>
        <w:pStyle w:val="ListParagraph"/>
        <w:numPr>
          <w:ilvl w:val="0"/>
          <w:numId w:val="2"/>
        </w:numPr>
        <w:spacing w:after="60" w:before="30" w:line="280"/>
      </w:pPr>
      <w:r>
        <w:rPr>
          <w:rFonts w:ascii="Arial" w:cs="Arial" w:eastAsia="Arial" w:hAnsi="Arial"/>
          <w:color w:val="1A1410"/>
          <w:sz w:val="22"/>
          <w:szCs w:val="22"/>
        </w:rPr>
        <w:t xml:space="preserve">Grand View Research. Grant Management Software Market Size, Share &amp; Trends Analysis Report. https://www.grandviewresearch.com/industry-analysis/grant-management-software-market-report</w:t>
      </w:r>
    </w:p>
    <w:p>
      <w:pPr>
        <w:pStyle w:val="ListParagraph"/>
        <w:numPr>
          <w:ilvl w:val="0"/>
          <w:numId w:val="2"/>
        </w:numPr>
        <w:spacing w:after="60" w:before="30" w:line="280"/>
      </w:pPr>
      <w:r>
        <w:rPr>
          <w:rFonts w:ascii="Arial" w:cs="Arial" w:eastAsia="Arial" w:hAnsi="Arial"/>
          <w:color w:val="1A1410"/>
          <w:sz w:val="22"/>
          <w:szCs w:val="22"/>
        </w:rPr>
        <w:t xml:space="preserve">Precedence Research. Grant Management Software Market. https://www.precedenceresearch.com/grant-management-software-market</w:t>
      </w:r>
    </w:p>
    <w:p>
      <w:pPr>
        <w:spacing w:after="60" w:before="220"/>
      </w:pPr>
      <w:r>
        <w:rPr>
          <w:rFonts w:ascii="Arial" w:cs="Arial" w:eastAsia="Arial" w:hAnsi="Arial"/>
          <w:b/>
          <w:bCs/>
          <w:color w:val="F97316"/>
          <w:spacing w:val="30"/>
          <w:sz w:val="18"/>
          <w:szCs w:val="18"/>
        </w:rPr>
        <w:t xml:space="preserve">NGO UNIVERSE COUNTS</w:t>
      </w:r>
    </w:p>
    <w:p>
      <w:pPr>
        <w:pStyle w:val="ListParagraph"/>
        <w:numPr>
          <w:ilvl w:val="0"/>
          <w:numId w:val="2"/>
        </w:numPr>
        <w:spacing w:after="60" w:before="30" w:line="280"/>
      </w:pPr>
      <w:r>
        <w:rPr>
          <w:rFonts w:ascii="Arial" w:cs="Arial" w:eastAsia="Arial" w:hAnsi="Arial"/>
          <w:color w:val="1A1410"/>
          <w:sz w:val="22"/>
          <w:szCs w:val="22"/>
        </w:rPr>
        <w:t xml:space="preserve">Candid. How many nonprofits are there in the U.S.? https://learning.candid.org/number-of-nonprofits-in-us/272665</w:t>
      </w:r>
    </w:p>
    <w:p>
      <w:pPr>
        <w:pStyle w:val="ListParagraph"/>
        <w:numPr>
          <w:ilvl w:val="0"/>
          <w:numId w:val="2"/>
        </w:numPr>
        <w:spacing w:after="60" w:before="30" w:line="280"/>
      </w:pPr>
      <w:r>
        <w:rPr>
          <w:rFonts w:ascii="Arial" w:cs="Arial" w:eastAsia="Arial" w:hAnsi="Arial"/>
          <w:color w:val="1A1410"/>
          <w:sz w:val="22"/>
          <w:szCs w:val="22"/>
        </w:rPr>
        <w:t xml:space="preserve">ProPublica Nonprofit Explorer. https://projects.propublica.org/nonprofits/</w:t>
      </w:r>
    </w:p>
    <w:p>
      <w:pPr>
        <w:pStyle w:val="ListParagraph"/>
        <w:numPr>
          <w:ilvl w:val="0"/>
          <w:numId w:val="2"/>
        </w:numPr>
        <w:spacing w:after="60" w:before="30" w:line="280"/>
      </w:pPr>
      <w:r>
        <w:rPr>
          <w:rFonts w:ascii="Arial" w:cs="Arial" w:eastAsia="Arial" w:hAnsi="Arial"/>
          <w:color w:val="1A1410"/>
          <w:sz w:val="22"/>
          <w:szCs w:val="22"/>
        </w:rPr>
        <w:t xml:space="preserve">IRS SOI Tax Stats — Charities and Other Tax-Exempt Organizations. https://www.irs.gov/statistics/soi-tax-stats-charities-and-other-tax-exempt-organizations-statistics</w:t>
      </w:r>
    </w:p>
    <w:p>
      <w:pPr>
        <w:pStyle w:val="ListParagraph"/>
        <w:numPr>
          <w:ilvl w:val="0"/>
          <w:numId w:val="2"/>
        </w:numPr>
        <w:spacing w:after="60" w:before="30" w:line="280"/>
      </w:pPr>
      <w:r>
        <w:rPr>
          <w:rFonts w:ascii="Arial" w:cs="Arial" w:eastAsia="Arial" w:hAnsi="Arial"/>
          <w:color w:val="1A1410"/>
          <w:sz w:val="22"/>
          <w:szCs w:val="22"/>
        </w:rPr>
        <w:t xml:space="preserve">IPEA. "Brasil possui mais de 897 mil organizações da sociedade civil ativas" (2024-2025). https://www.ipea.gov.br/portal/categorias/45-todas-as-noticias/noticias/15591-brasil-possui-mais-de-897-mil-organizacoes-da-sociedade-civil-ativas</w:t>
      </w:r>
    </w:p>
    <w:p>
      <w:pPr>
        <w:pStyle w:val="ListParagraph"/>
        <w:numPr>
          <w:ilvl w:val="0"/>
          <w:numId w:val="2"/>
        </w:numPr>
        <w:spacing w:after="60" w:before="30" w:line="280"/>
      </w:pPr>
      <w:r>
        <w:rPr>
          <w:rFonts w:ascii="Arial" w:cs="Arial" w:eastAsia="Arial" w:hAnsi="Arial"/>
          <w:color w:val="1A1410"/>
          <w:sz w:val="22"/>
          <w:szCs w:val="22"/>
        </w:rPr>
        <w:t xml:space="preserve">Mapa das OSCs (IPEA portal). https://mapaosc.ipea.gov.br/</w:t>
      </w:r>
    </w:p>
    <w:p>
      <w:pPr>
        <w:pStyle w:val="ListParagraph"/>
        <w:numPr>
          <w:ilvl w:val="0"/>
          <w:numId w:val="2"/>
        </w:numPr>
        <w:spacing w:after="60" w:before="30" w:line="280"/>
      </w:pPr>
      <w:r>
        <w:rPr>
          <w:rFonts w:ascii="Arial" w:cs="Arial" w:eastAsia="Arial" w:hAnsi="Arial"/>
          <w:color w:val="1A1410"/>
          <w:sz w:val="22"/>
          <w:szCs w:val="22"/>
        </w:rPr>
        <w:t xml:space="preserve">NGO Darpan / NITI Aayog. https://ngodarpan.gov.in/</w:t>
      </w:r>
    </w:p>
    <w:p>
      <w:pPr>
        <w:spacing w:after="60" w:before="220"/>
      </w:pPr>
      <w:r>
        <w:rPr>
          <w:rFonts w:ascii="Arial" w:cs="Arial" w:eastAsia="Arial" w:hAnsi="Arial"/>
          <w:b/>
          <w:bCs/>
          <w:color w:val="F97316"/>
          <w:spacing w:val="30"/>
          <w:sz w:val="18"/>
          <w:szCs w:val="18"/>
        </w:rPr>
        <w:t xml:space="preserve">FUNDING FLOWS + ODA</w:t>
      </w:r>
    </w:p>
    <w:p>
      <w:pPr>
        <w:pStyle w:val="ListParagraph"/>
        <w:numPr>
          <w:ilvl w:val="0"/>
          <w:numId w:val="2"/>
        </w:numPr>
        <w:spacing w:after="60" w:before="30" w:line="280"/>
      </w:pPr>
      <w:r>
        <w:rPr>
          <w:rFonts w:ascii="Arial" w:cs="Arial" w:eastAsia="Arial" w:hAnsi="Arial"/>
          <w:color w:val="1A1410"/>
          <w:sz w:val="22"/>
          <w:szCs w:val="22"/>
        </w:rPr>
        <w:t xml:space="preserve">OECD. "A historic decline in foreign aid: Preliminary 2025 ODA data" (April 2026). https://www.oecd.org/en/data/insights/data-explainers/2026/04/a-historic-decline-in-foreign-aid-preliminary-2025-oda-data.html</w:t>
      </w:r>
    </w:p>
    <w:p>
      <w:pPr>
        <w:pStyle w:val="ListParagraph"/>
        <w:numPr>
          <w:ilvl w:val="0"/>
          <w:numId w:val="2"/>
        </w:numPr>
        <w:spacing w:after="60" w:before="30" w:line="280"/>
      </w:pPr>
      <w:r>
        <w:rPr>
          <w:rFonts w:ascii="Arial" w:cs="Arial" w:eastAsia="Arial" w:hAnsi="Arial"/>
          <w:color w:val="1A1410"/>
          <w:sz w:val="22"/>
          <w:szCs w:val="22"/>
        </w:rPr>
        <w:t xml:space="preserve">OECD press release. https://www.oecd.org/en/about/news/press-releases/2026/04/international-aid-fell-sharply-in-2025-says-oecd.html</w:t>
      </w:r>
    </w:p>
    <w:p>
      <w:pPr>
        <w:pStyle w:val="ListParagraph"/>
        <w:numPr>
          <w:ilvl w:val="0"/>
          <w:numId w:val="2"/>
        </w:numPr>
        <w:spacing w:after="60" w:before="30" w:line="280"/>
      </w:pPr>
      <w:r>
        <w:rPr>
          <w:rFonts w:ascii="Arial" w:cs="Arial" w:eastAsia="Arial" w:hAnsi="Arial"/>
          <w:color w:val="1A1410"/>
          <w:sz w:val="22"/>
          <w:szCs w:val="22"/>
        </w:rPr>
        <w:t xml:space="preserve">KFF. "U.S. Foreign Aid Freeze &amp; Dissolution of USAID: Timeline of Events." https://www.kff.org/global-health-policy/u-s-foreign-aid-freeze-dissolution-of-usaid-timeline-of-events/</w:t>
      </w:r>
    </w:p>
    <w:p>
      <w:pPr>
        <w:pStyle w:val="ListParagraph"/>
        <w:numPr>
          <w:ilvl w:val="0"/>
          <w:numId w:val="2"/>
        </w:numPr>
        <w:spacing w:after="60" w:before="30" w:line="280"/>
      </w:pPr>
      <w:r>
        <w:rPr>
          <w:rFonts w:ascii="Arial" w:cs="Arial" w:eastAsia="Arial" w:hAnsi="Arial"/>
          <w:color w:val="1A1410"/>
          <w:sz w:val="22"/>
          <w:szCs w:val="22"/>
        </w:rPr>
        <w:t xml:space="preserve">Lancet study on USAID cuts. Coverage: https://www.cnn.com/2026/02/04/world/lancet-usaid-global-aid-cuts-intl</w:t>
      </w:r>
    </w:p>
    <w:p>
      <w:pPr>
        <w:pStyle w:val="ListParagraph"/>
        <w:numPr>
          <w:ilvl w:val="0"/>
          <w:numId w:val="2"/>
        </w:numPr>
        <w:spacing w:after="60" w:before="30" w:line="280"/>
      </w:pPr>
      <w:r>
        <w:rPr>
          <w:rFonts w:ascii="Arial" w:cs="Arial" w:eastAsia="Arial" w:hAnsi="Arial"/>
          <w:color w:val="1A1410"/>
          <w:sz w:val="22"/>
          <w:szCs w:val="22"/>
        </w:rPr>
        <w:t xml:space="preserve">House of Commons Library. "UK aid: Reducing spending to 0.3% of GNI by 2027/28" (CBP-10243). https://commonslibrary.parliament.uk/research-briefings/cbp-10243/</w:t>
      </w:r>
    </w:p>
    <w:p>
      <w:pPr>
        <w:pStyle w:val="ListParagraph"/>
        <w:numPr>
          <w:ilvl w:val="0"/>
          <w:numId w:val="2"/>
        </w:numPr>
        <w:spacing w:after="60" w:before="30" w:line="280"/>
      </w:pPr>
      <w:r>
        <w:rPr>
          <w:rFonts w:ascii="Arial" w:cs="Arial" w:eastAsia="Arial" w:hAnsi="Arial"/>
          <w:color w:val="1A1410"/>
          <w:sz w:val="22"/>
          <w:szCs w:val="22"/>
        </w:rPr>
        <w:t xml:space="preserve">Bond UK. "ODA allocations for 2026 onwards" (March 2026). https://www.bond.org.uk/news/2026/03/oda-allocations-for-2026-onwards-show-the-grim-reality-of-aid-cuts/</w:t>
      </w:r>
    </w:p>
    <w:p>
      <w:pPr>
        <w:spacing w:after="60" w:before="220"/>
      </w:pPr>
      <w:r>
        <w:rPr>
          <w:rFonts w:ascii="Arial" w:cs="Arial" w:eastAsia="Arial" w:hAnsi="Arial"/>
          <w:b/>
          <w:bCs/>
          <w:color w:val="F97316"/>
          <w:spacing w:val="30"/>
          <w:sz w:val="18"/>
          <w:szCs w:val="18"/>
        </w:rPr>
        <w:t xml:space="preserve">LOCALIZATION DATA</w:t>
      </w:r>
    </w:p>
    <w:p>
      <w:pPr>
        <w:pStyle w:val="ListParagraph"/>
        <w:numPr>
          <w:ilvl w:val="0"/>
          <w:numId w:val="2"/>
        </w:numPr>
        <w:spacing w:after="60" w:before="30" w:line="280"/>
      </w:pPr>
      <w:r>
        <w:rPr>
          <w:rFonts w:ascii="Arial" w:cs="Arial" w:eastAsia="Arial" w:hAnsi="Arial"/>
          <w:color w:val="1A1410"/>
          <w:sz w:val="22"/>
          <w:szCs w:val="22"/>
        </w:rPr>
        <w:t xml:space="preserve">ALNAP. "Global Humanitarian Assistance Report 2025." https://alnap.org/help-library/resources/global-humanitarian-assistance-gha-report-2025/</w:t>
      </w:r>
    </w:p>
    <w:p>
      <w:pPr>
        <w:pStyle w:val="ListParagraph"/>
        <w:numPr>
          <w:ilvl w:val="0"/>
          <w:numId w:val="2"/>
        </w:numPr>
        <w:spacing w:after="60" w:before="30" w:line="280"/>
      </w:pPr>
      <w:r>
        <w:rPr>
          <w:rFonts w:ascii="Arial" w:cs="Arial" w:eastAsia="Arial" w:hAnsi="Arial"/>
          <w:color w:val="1A1410"/>
          <w:sz w:val="22"/>
          <w:szCs w:val="22"/>
        </w:rPr>
        <w:t xml:space="preserve">ALNAP GHA 2025 full PDF. https://alnap.hacdn.io/media/documents/GHA_Report_1408v1.pdf</w:t>
      </w:r>
    </w:p>
    <w:p>
      <w:pPr>
        <w:pStyle w:val="ListParagraph"/>
        <w:numPr>
          <w:ilvl w:val="0"/>
          <w:numId w:val="2"/>
        </w:numPr>
        <w:spacing w:after="60" w:before="30" w:line="280"/>
      </w:pPr>
      <w:r>
        <w:rPr>
          <w:rFonts w:ascii="Arial" w:cs="Arial" w:eastAsia="Arial" w:hAnsi="Arial"/>
          <w:color w:val="1A1410"/>
          <w:sz w:val="22"/>
          <w:szCs w:val="22"/>
        </w:rPr>
        <w:t xml:space="preserve">ReliefWeb. "Taking localisation beyond labels and lip service." https://reliefweb.int/report/world/taking-localisation-beyond-labels-and-lip-service</w:t>
      </w:r>
    </w:p>
    <w:p>
      <w:pPr>
        <w:pStyle w:val="ListParagraph"/>
        <w:numPr>
          <w:ilvl w:val="0"/>
          <w:numId w:val="2"/>
        </w:numPr>
        <w:spacing w:after="60" w:before="30" w:line="280"/>
      </w:pPr>
      <w:r>
        <w:rPr>
          <w:rFonts w:ascii="Arial" w:cs="Arial" w:eastAsia="Arial" w:hAnsi="Arial"/>
          <w:color w:val="1A1410"/>
          <w:sz w:val="22"/>
          <w:szCs w:val="22"/>
        </w:rPr>
        <w:t xml:space="preserve">IASC. Grand Bargain Official Website — Localisation Learning Space. https://interagencystandingcommittee.org/grand-bargain-official-website/localisation-learning-space-progressing-towards-25-direct-funding-local-and-national-actors-0</w:t>
      </w:r>
    </w:p>
    <w:p>
      <w:pPr>
        <w:pStyle w:val="ListParagraph"/>
        <w:numPr>
          <w:ilvl w:val="0"/>
          <w:numId w:val="2"/>
        </w:numPr>
        <w:spacing w:after="60" w:before="30" w:line="280"/>
      </w:pPr>
      <w:r>
        <w:rPr>
          <w:rFonts w:ascii="Arial" w:cs="Arial" w:eastAsia="Arial" w:hAnsi="Arial"/>
          <w:color w:val="1A1410"/>
          <w:sz w:val="22"/>
          <w:szCs w:val="22"/>
        </w:rPr>
        <w:t xml:space="preserve">UN OCHA. Localization page. https://www.unocha.org/localization</w:t>
      </w:r>
    </w:p>
    <w:p>
      <w:pPr>
        <w:spacing w:after="60" w:before="220"/>
      </w:pPr>
      <w:r>
        <w:rPr>
          <w:rFonts w:ascii="Arial" w:cs="Arial" w:eastAsia="Arial" w:hAnsi="Arial"/>
          <w:b/>
          <w:bCs/>
          <w:color w:val="F97316"/>
          <w:spacing w:val="30"/>
          <w:sz w:val="18"/>
          <w:szCs w:val="18"/>
        </w:rPr>
        <w:t xml:space="preserve">AI ADOPTION IN NONPROFITS</w:t>
      </w:r>
    </w:p>
    <w:p>
      <w:pPr>
        <w:pStyle w:val="ListParagraph"/>
        <w:numPr>
          <w:ilvl w:val="0"/>
          <w:numId w:val="2"/>
        </w:numPr>
        <w:spacing w:after="60" w:before="30" w:line="280"/>
      </w:pPr>
      <w:r>
        <w:rPr>
          <w:rFonts w:ascii="Arial" w:cs="Arial" w:eastAsia="Arial" w:hAnsi="Arial"/>
          <w:color w:val="1A1410"/>
          <w:sz w:val="22"/>
          <w:szCs w:val="22"/>
        </w:rPr>
        <w:t xml:space="preserve">Virtuous + Fundraising.AI. "The 2026 Nonprofit AI Adoption Report" (February 2026). https://virtuous.org/resource/the-2026-nonprofit-ai-adoption-report-download/</w:t>
      </w:r>
    </w:p>
    <w:p>
      <w:pPr>
        <w:pStyle w:val="ListParagraph"/>
        <w:numPr>
          <w:ilvl w:val="0"/>
          <w:numId w:val="2"/>
        </w:numPr>
        <w:spacing w:after="60" w:before="30" w:line="280"/>
      </w:pPr>
      <w:r>
        <w:rPr>
          <w:rFonts w:ascii="Arial" w:cs="Arial" w:eastAsia="Arial" w:hAnsi="Arial"/>
          <w:color w:val="1A1410"/>
          <w:sz w:val="22"/>
          <w:szCs w:val="22"/>
        </w:rPr>
        <w:t xml:space="preserve">PR Newswire — Virtuous AI Report launch. https://www.prnewswire.com/news-releases/virtuous-and-fundraisingai-release-2026-nonprofit-ai-adoption-report-revealing-gap-between-ai-use-and-real-fundraising-impact-302688325.html</w:t>
      </w:r>
    </w:p>
    <w:p>
      <w:pPr>
        <w:pStyle w:val="ListParagraph"/>
        <w:numPr>
          <w:ilvl w:val="0"/>
          <w:numId w:val="2"/>
        </w:numPr>
        <w:spacing w:after="60" w:before="30" w:line="280"/>
      </w:pPr>
      <w:r>
        <w:rPr>
          <w:rFonts w:ascii="Arial" w:cs="Arial" w:eastAsia="Arial" w:hAnsi="Arial"/>
          <w:color w:val="1A1410"/>
          <w:sz w:val="22"/>
          <w:szCs w:val="22"/>
        </w:rPr>
        <w:t xml:space="preserve">NonProfit PRO. "Nonprofit AI Adoption Hits 92% But Only 7% See Major Impact." https://www.nonprofitpro.com/article/nonprofit-ai-adoption-hits-92-but-only-7-see-major-impact/</w:t>
      </w:r>
    </w:p>
    <w:p>
      <w:pPr>
        <w:pStyle w:val="ListParagraph"/>
        <w:numPr>
          <w:ilvl w:val="0"/>
          <w:numId w:val="2"/>
        </w:numPr>
        <w:spacing w:after="60" w:before="30" w:line="280"/>
      </w:pPr>
      <w:r>
        <w:rPr>
          <w:rFonts w:ascii="Arial" w:cs="Arial" w:eastAsia="Arial" w:hAnsi="Arial"/>
          <w:color w:val="1A1410"/>
          <w:sz w:val="22"/>
          <w:szCs w:val="22"/>
        </w:rPr>
        <w:t xml:space="preserve">Candid. "What data says about nonprofits building AI solutions." https://candid.org/blogs/what-data-says-about-nonprofits-building-ai-solutions/</w:t>
      </w:r>
    </w:p>
    <w:p>
      <w:pPr>
        <w:pStyle w:val="ListParagraph"/>
        <w:numPr>
          <w:ilvl w:val="0"/>
          <w:numId w:val="2"/>
        </w:numPr>
        <w:spacing w:after="60" w:before="30" w:line="280"/>
      </w:pPr>
      <w:r>
        <w:rPr>
          <w:rFonts w:ascii="Arial" w:cs="Arial" w:eastAsia="Arial" w:hAnsi="Arial"/>
          <w:color w:val="1A1410"/>
          <w:sz w:val="22"/>
          <w:szCs w:val="22"/>
        </w:rPr>
        <w:t xml:space="preserve">Salesforce. "Agentforce Nonprofit Announcement" (December 2025). https://www.salesforce.com/news/stories/agentforce-nonprofit-announcement/</w:t>
      </w:r>
    </w:p>
    <w:p>
      <w:pPr>
        <w:pStyle w:val="ListParagraph"/>
        <w:numPr>
          <w:ilvl w:val="0"/>
          <w:numId w:val="2"/>
        </w:numPr>
        <w:spacing w:after="60" w:before="30" w:line="280"/>
      </w:pPr>
      <w:r>
        <w:rPr>
          <w:rFonts w:ascii="Arial" w:cs="Arial" w:eastAsia="Arial" w:hAnsi="Arial"/>
          <w:color w:val="1A1410"/>
          <w:sz w:val="22"/>
          <w:szCs w:val="22"/>
        </w:rPr>
        <w:t xml:space="preserve">Salesforce. "Nonprofit Trends Report" (6th edition). https://www.salesforce.com/form/sfdo/ngo/6th-edition-nonprofit-trends-report/</w:t>
      </w:r>
    </w:p>
    <w:p>
      <w:pPr>
        <w:spacing w:after="60" w:before="220"/>
      </w:pPr>
      <w:r>
        <w:rPr>
          <w:rFonts w:ascii="Arial" w:cs="Arial" w:eastAsia="Arial" w:hAnsi="Arial"/>
          <w:b/>
          <w:bCs/>
          <w:color w:val="F97316"/>
          <w:spacing w:val="30"/>
          <w:sz w:val="18"/>
          <w:szCs w:val="18"/>
        </w:rPr>
        <w:t xml:space="preserve">COMPETITOR VENDOR PAGES AND PRICING</w:t>
      </w:r>
    </w:p>
    <w:p>
      <w:pPr>
        <w:pStyle w:val="ListParagraph"/>
        <w:numPr>
          <w:ilvl w:val="0"/>
          <w:numId w:val="2"/>
        </w:numPr>
        <w:spacing w:after="60" w:before="30" w:line="280"/>
      </w:pPr>
      <w:r>
        <w:rPr>
          <w:rFonts w:ascii="Arial" w:cs="Arial" w:eastAsia="Arial" w:hAnsi="Arial"/>
          <w:color w:val="1A1410"/>
          <w:sz w:val="22"/>
          <w:szCs w:val="22"/>
        </w:rPr>
        <w:t xml:space="preserve">Submittable pricing. https://www.submittable.com/pricing</w:t>
      </w:r>
    </w:p>
    <w:p>
      <w:pPr>
        <w:pStyle w:val="ListParagraph"/>
        <w:numPr>
          <w:ilvl w:val="0"/>
          <w:numId w:val="2"/>
        </w:numPr>
        <w:spacing w:after="60" w:before="30" w:line="280"/>
      </w:pPr>
      <w:r>
        <w:rPr>
          <w:rFonts w:ascii="Arial" w:cs="Arial" w:eastAsia="Arial" w:hAnsi="Arial"/>
          <w:color w:val="1A1410"/>
          <w:sz w:val="22"/>
          <w:szCs w:val="22"/>
        </w:rPr>
        <w:t xml:space="preserve">Submittable Review AI. https://www.submittable.com/blog/introducing-submittables-review-ai</w:t>
      </w:r>
    </w:p>
    <w:p>
      <w:pPr>
        <w:pStyle w:val="ListParagraph"/>
        <w:numPr>
          <w:ilvl w:val="0"/>
          <w:numId w:val="2"/>
        </w:numPr>
        <w:spacing w:after="60" w:before="30" w:line="280"/>
      </w:pPr>
      <w:r>
        <w:rPr>
          <w:rFonts w:ascii="Arial" w:cs="Arial" w:eastAsia="Arial" w:hAnsi="Arial"/>
          <w:color w:val="1A1410"/>
          <w:sz w:val="22"/>
          <w:szCs w:val="22"/>
        </w:rPr>
        <w:t xml:space="preserve">Submittable Automated Review. https://www.submittable.com/features/automated-review</w:t>
      </w:r>
    </w:p>
    <w:p>
      <w:pPr>
        <w:pStyle w:val="ListParagraph"/>
        <w:numPr>
          <w:ilvl w:val="0"/>
          <w:numId w:val="2"/>
        </w:numPr>
        <w:spacing w:after="60" w:before="30" w:line="280"/>
      </w:pPr>
      <w:r>
        <w:rPr>
          <w:rFonts w:ascii="Arial" w:cs="Arial" w:eastAsia="Arial" w:hAnsi="Arial"/>
          <w:color w:val="1A1410"/>
          <w:sz w:val="22"/>
          <w:szCs w:val="22"/>
        </w:rPr>
        <w:t xml:space="preserve">Submittable AI Assistant help. https://submittable.help/en/articles/9354213-ai-assistant-tool</w:t>
      </w:r>
    </w:p>
    <w:p>
      <w:pPr>
        <w:pStyle w:val="ListParagraph"/>
        <w:numPr>
          <w:ilvl w:val="0"/>
          <w:numId w:val="2"/>
        </w:numPr>
        <w:spacing w:after="60" w:before="30" w:line="280"/>
      </w:pPr>
      <w:r>
        <w:rPr>
          <w:rFonts w:ascii="Arial" w:cs="Arial" w:eastAsia="Arial" w:hAnsi="Arial"/>
          <w:color w:val="1A1410"/>
          <w:sz w:val="22"/>
          <w:szCs w:val="22"/>
        </w:rPr>
        <w:t xml:space="preserve">Submittable language doc. https://submittable.help/en/articles/1711479-can-i-view-the-submittable-platform-in-a-language-other-than-english</w:t>
      </w:r>
    </w:p>
    <w:p>
      <w:pPr>
        <w:pStyle w:val="ListParagraph"/>
        <w:numPr>
          <w:ilvl w:val="0"/>
          <w:numId w:val="2"/>
        </w:numPr>
        <w:spacing w:after="60" w:before="30" w:line="280"/>
      </w:pPr>
      <w:r>
        <w:rPr>
          <w:rFonts w:ascii="Arial" w:cs="Arial" w:eastAsia="Arial" w:hAnsi="Arial"/>
          <w:color w:val="1A1410"/>
          <w:sz w:val="22"/>
          <w:szCs w:val="22"/>
        </w:rPr>
        <w:t xml:space="preserve">Foundant. Pricing. https://www.foundant.com/products/grant-management-software-for-foundations/pricing/</w:t>
      </w:r>
    </w:p>
    <w:p>
      <w:pPr>
        <w:pStyle w:val="ListParagraph"/>
        <w:numPr>
          <w:ilvl w:val="0"/>
          <w:numId w:val="2"/>
        </w:numPr>
        <w:spacing w:after="60" w:before="30" w:line="280"/>
      </w:pPr>
      <w:r>
        <w:rPr>
          <w:rFonts w:ascii="Arial" w:cs="Arial" w:eastAsia="Arial" w:hAnsi="Arial"/>
          <w:color w:val="1A1410"/>
          <w:sz w:val="22"/>
          <w:szCs w:val="22"/>
        </w:rPr>
        <w:t xml:space="preserve">Foundant. AI for grantmaking blog. https://www.foundant.com/blog/ai-for-grantmaking/</w:t>
      </w:r>
    </w:p>
    <w:p>
      <w:pPr>
        <w:pStyle w:val="ListParagraph"/>
        <w:numPr>
          <w:ilvl w:val="0"/>
          <w:numId w:val="2"/>
        </w:numPr>
        <w:spacing w:after="60" w:before="30" w:line="280"/>
      </w:pPr>
      <w:r>
        <w:rPr>
          <w:rFonts w:ascii="Arial" w:cs="Arial" w:eastAsia="Arial" w:hAnsi="Arial"/>
          <w:color w:val="1A1410"/>
          <w:sz w:val="22"/>
          <w:szCs w:val="22"/>
        </w:rPr>
        <w:t xml:space="preserve">Foundant + SmartSimple combined positioning. https://www.foundant.com/blog/foundant-smartsimple-grantmaking-capabilities-to-meet-your-current-and-growing-needs/</w:t>
      </w:r>
    </w:p>
    <w:p>
      <w:pPr>
        <w:pStyle w:val="ListParagraph"/>
        <w:numPr>
          <w:ilvl w:val="0"/>
          <w:numId w:val="2"/>
        </w:numPr>
        <w:spacing w:after="60" w:before="30" w:line="280"/>
      </w:pPr>
      <w:r>
        <w:rPr>
          <w:rFonts w:ascii="Arial" w:cs="Arial" w:eastAsia="Arial" w:hAnsi="Arial"/>
          <w:color w:val="1A1410"/>
          <w:sz w:val="22"/>
          <w:szCs w:val="22"/>
        </w:rPr>
        <w:t xml:space="preserve">SmartSimple Cloud +AI launch press release. https://www.prnewswire.com/news-releases/smartsimple-software-launches-smartsimple-cloud-ai-revolutionizing-the-grants-management-lifecycle-with-advanced-artificial-intelligence-ai-301767573.html</w:t>
      </w:r>
    </w:p>
    <w:p>
      <w:pPr>
        <w:pStyle w:val="ListParagraph"/>
        <w:numPr>
          <w:ilvl w:val="0"/>
          <w:numId w:val="2"/>
        </w:numPr>
        <w:spacing w:after="60" w:before="30" w:line="280"/>
      </w:pPr>
      <w:r>
        <w:rPr>
          <w:rFonts w:ascii="Arial" w:cs="Arial" w:eastAsia="Arial" w:hAnsi="Arial"/>
          <w:color w:val="1A1410"/>
          <w:sz w:val="22"/>
          <w:szCs w:val="22"/>
        </w:rPr>
        <w:t xml:space="preserve">SmartSimple +AI refresher. https://www.smartsimple.com/blog/smartsimple-cloud-ai-refresher</w:t>
      </w:r>
    </w:p>
    <w:p>
      <w:pPr>
        <w:pStyle w:val="ListParagraph"/>
        <w:numPr>
          <w:ilvl w:val="0"/>
          <w:numId w:val="2"/>
        </w:numPr>
        <w:spacing w:after="60" w:before="30" w:line="280"/>
      </w:pPr>
      <w:r>
        <w:rPr>
          <w:rFonts w:ascii="Arial" w:cs="Arial" w:eastAsia="Arial" w:hAnsi="Arial"/>
          <w:color w:val="1A1410"/>
          <w:sz w:val="22"/>
          <w:szCs w:val="22"/>
        </w:rPr>
        <w:t xml:space="preserve">6sense SmartSimple market share. https://6sense.com/tech/fund-accounting/smartsimple-gms360-market-share</w:t>
      </w:r>
    </w:p>
    <w:p>
      <w:pPr>
        <w:pStyle w:val="ListParagraph"/>
        <w:numPr>
          <w:ilvl w:val="0"/>
          <w:numId w:val="2"/>
        </w:numPr>
        <w:spacing w:after="60" w:before="30" w:line="280"/>
      </w:pPr>
      <w:r>
        <w:rPr>
          <w:rFonts w:ascii="Arial" w:cs="Arial" w:eastAsia="Arial" w:hAnsi="Arial"/>
          <w:color w:val="1A1410"/>
          <w:sz w:val="22"/>
          <w:szCs w:val="22"/>
        </w:rPr>
        <w:t xml:space="preserve">Fluxx AI grants management software. https://www.fluxx.io/ai-grants-management-software</w:t>
      </w:r>
    </w:p>
    <w:p>
      <w:pPr>
        <w:pStyle w:val="ListParagraph"/>
        <w:numPr>
          <w:ilvl w:val="0"/>
          <w:numId w:val="2"/>
        </w:numPr>
        <w:spacing w:after="60" w:before="30" w:line="280"/>
      </w:pPr>
      <w:r>
        <w:rPr>
          <w:rFonts w:ascii="Arial" w:cs="Arial" w:eastAsia="Arial" w:hAnsi="Arial"/>
          <w:color w:val="1A1410"/>
          <w:sz w:val="22"/>
          <w:szCs w:val="22"/>
        </w:rPr>
        <w:t xml:space="preserve">Fluxx accessibility. https://www.fluxx.io/accessibility</w:t>
      </w:r>
    </w:p>
    <w:p>
      <w:pPr>
        <w:pStyle w:val="ListParagraph"/>
        <w:numPr>
          <w:ilvl w:val="0"/>
          <w:numId w:val="2"/>
        </w:numPr>
        <w:spacing w:after="60" w:before="30" w:line="280"/>
      </w:pPr>
      <w:r>
        <w:rPr>
          <w:rFonts w:ascii="Arial" w:cs="Arial" w:eastAsia="Arial" w:hAnsi="Arial"/>
          <w:color w:val="1A1410"/>
          <w:sz w:val="22"/>
          <w:szCs w:val="22"/>
        </w:rPr>
        <w:t xml:space="preserve">Fluxx Capterra reviews. https://www.capterra.com/p/146625/Fluxx-Software-for-Grantmakers/</w:t>
      </w:r>
    </w:p>
    <w:p>
      <w:pPr>
        <w:pStyle w:val="ListParagraph"/>
        <w:numPr>
          <w:ilvl w:val="0"/>
          <w:numId w:val="2"/>
        </w:numPr>
        <w:spacing w:after="60" w:before="30" w:line="280"/>
      </w:pPr>
      <w:r>
        <w:rPr>
          <w:rFonts w:ascii="Arial" w:cs="Arial" w:eastAsia="Arial" w:hAnsi="Arial"/>
          <w:color w:val="1A1410"/>
          <w:sz w:val="22"/>
          <w:szCs w:val="22"/>
        </w:rPr>
        <w:t xml:space="preserve">NonprofitPro Fluxx Grantelligence coverage. https://www.nonprofitpro.com/article/fluxx-announces-new-grantmaking-intelligence-platform-grantelligence/</w:t>
      </w:r>
    </w:p>
    <w:p>
      <w:pPr>
        <w:pStyle w:val="ListParagraph"/>
        <w:numPr>
          <w:ilvl w:val="0"/>
          <w:numId w:val="2"/>
        </w:numPr>
        <w:spacing w:after="60" w:before="30" w:line="280"/>
      </w:pPr>
      <w:r>
        <w:rPr>
          <w:rFonts w:ascii="Arial" w:cs="Arial" w:eastAsia="Arial" w:hAnsi="Arial"/>
          <w:color w:val="1A1410"/>
          <w:sz w:val="22"/>
          <w:szCs w:val="22"/>
        </w:rPr>
        <w:t xml:space="preserve">Salesforce Nonprofit Cloud for Grantmaking pricing. https://www.salesforce.com/nonprofit/grantmaking-pricing/</w:t>
      </w:r>
    </w:p>
    <w:p>
      <w:pPr>
        <w:pStyle w:val="ListParagraph"/>
        <w:numPr>
          <w:ilvl w:val="0"/>
          <w:numId w:val="2"/>
        </w:numPr>
        <w:spacing w:after="60" w:before="30" w:line="280"/>
      </w:pPr>
      <w:r>
        <w:rPr>
          <w:rFonts w:ascii="Arial" w:cs="Arial" w:eastAsia="Arial" w:hAnsi="Arial"/>
          <w:color w:val="1A1410"/>
          <w:sz w:val="22"/>
          <w:szCs w:val="22"/>
        </w:rPr>
        <w:t xml:space="preserve">Salesforce AI tools for nonprofits. https://www.salesforce.com/news/stories/ai-tools-for-nonprofits/</w:t>
      </w:r>
    </w:p>
    <w:p>
      <w:pPr>
        <w:pStyle w:val="ListParagraph"/>
        <w:numPr>
          <w:ilvl w:val="0"/>
          <w:numId w:val="2"/>
        </w:numPr>
        <w:spacing w:after="60" w:before="30" w:line="280"/>
      </w:pPr>
      <w:r>
        <w:rPr>
          <w:rFonts w:ascii="Arial" w:cs="Arial" w:eastAsia="Arial" w:hAnsi="Arial"/>
          <w:color w:val="1A1410"/>
          <w:sz w:val="22"/>
          <w:szCs w:val="22"/>
        </w:rPr>
        <w:t xml:space="preserve">Salesforce Grantmaking AI use cases. https://www.salesforce.com/artificial-intelligence/use-cases/nonprofit/grantmaking/</w:t>
      </w:r>
    </w:p>
    <w:p>
      <w:pPr>
        <w:pStyle w:val="ListParagraph"/>
        <w:numPr>
          <w:ilvl w:val="0"/>
          <w:numId w:val="2"/>
        </w:numPr>
        <w:spacing w:after="60" w:before="30" w:line="280"/>
      </w:pPr>
      <w:r>
        <w:rPr>
          <w:rFonts w:ascii="Arial" w:cs="Arial" w:eastAsia="Arial" w:hAnsi="Arial"/>
          <w:color w:val="1A1410"/>
          <w:sz w:val="22"/>
          <w:szCs w:val="22"/>
        </w:rPr>
        <w:t xml:space="preserve">Salesforce language support. https://help.salesforce.com/s/articleView?id=xcloud.faq_getstart_what_languages_does.htm</w:t>
      </w:r>
    </w:p>
    <w:p>
      <w:pPr>
        <w:pStyle w:val="ListParagraph"/>
        <w:numPr>
          <w:ilvl w:val="0"/>
          <w:numId w:val="2"/>
        </w:numPr>
        <w:spacing w:after="60" w:before="30" w:line="280"/>
      </w:pPr>
      <w:r>
        <w:rPr>
          <w:rFonts w:ascii="Arial" w:cs="Arial" w:eastAsia="Arial" w:hAnsi="Arial"/>
          <w:color w:val="1A1410"/>
          <w:sz w:val="22"/>
          <w:szCs w:val="22"/>
        </w:rPr>
        <w:t xml:space="preserve">Salesforce WCAG compliance. https://compliance.salesforce.com/en/categories/wcag</w:t>
      </w:r>
    </w:p>
    <w:p>
      <w:pPr>
        <w:pStyle w:val="ListParagraph"/>
        <w:numPr>
          <w:ilvl w:val="0"/>
          <w:numId w:val="2"/>
        </w:numPr>
        <w:spacing w:after="60" w:before="30" w:line="280"/>
      </w:pPr>
      <w:r>
        <w:rPr>
          <w:rFonts w:ascii="Arial" w:cs="Arial" w:eastAsia="Arial" w:hAnsi="Arial"/>
          <w:color w:val="1A1410"/>
          <w:sz w:val="22"/>
          <w:szCs w:val="22"/>
        </w:rPr>
        <w:t xml:space="preserve">Blackbaud Bbcon 2025 AI rollout. https://www.blackbaud.com/newsroom/article/blackbaud-unveils-seismic-shifts-in-ai-innovation-rolling-out-70-embedded-sector-specific-capabilities-and-unlocking-new-possibility-for-social-impact</w:t>
      </w:r>
    </w:p>
    <w:p>
      <w:pPr>
        <w:pStyle w:val="ListParagraph"/>
        <w:numPr>
          <w:ilvl w:val="0"/>
          <w:numId w:val="2"/>
        </w:numPr>
        <w:spacing w:after="60" w:before="30" w:line="280"/>
      </w:pPr>
      <w:r>
        <w:rPr>
          <w:rFonts w:ascii="Arial" w:cs="Arial" w:eastAsia="Arial" w:hAnsi="Arial"/>
          <w:color w:val="1A1410"/>
          <w:sz w:val="22"/>
          <w:szCs w:val="22"/>
        </w:rPr>
        <w:t xml:space="preserve">Blackbaud Intelligence for Good. https://www.blackbaud.com/intelligence-for-good</w:t>
      </w:r>
    </w:p>
    <w:p>
      <w:pPr>
        <w:pStyle w:val="ListParagraph"/>
        <w:numPr>
          <w:ilvl w:val="0"/>
          <w:numId w:val="2"/>
        </w:numPr>
        <w:spacing w:after="60" w:before="30" w:line="280"/>
      </w:pPr>
      <w:r>
        <w:rPr>
          <w:rFonts w:ascii="Arial" w:cs="Arial" w:eastAsia="Arial" w:hAnsi="Arial"/>
          <w:color w:val="1A1410"/>
          <w:sz w:val="22"/>
          <w:szCs w:val="22"/>
        </w:rPr>
        <w:t xml:space="preserve">Blackbaud Development Agent. https://www.blackbaud.com/newsroom/article/introducing-development-agent</w:t>
      </w:r>
    </w:p>
    <w:p>
      <w:pPr>
        <w:pStyle w:val="ListParagraph"/>
        <w:numPr>
          <w:ilvl w:val="0"/>
          <w:numId w:val="2"/>
        </w:numPr>
        <w:spacing w:after="60" w:before="30" w:line="280"/>
      </w:pPr>
      <w:r>
        <w:rPr>
          <w:rFonts w:ascii="Arial" w:cs="Arial" w:eastAsia="Arial" w:hAnsi="Arial"/>
          <w:color w:val="1A1410"/>
          <w:sz w:val="22"/>
          <w:szCs w:val="22"/>
        </w:rPr>
        <w:t xml:space="preserve">GivingData product. https://www.givingdata.com/product</w:t>
      </w:r>
    </w:p>
    <w:p>
      <w:pPr>
        <w:pStyle w:val="ListParagraph"/>
        <w:numPr>
          <w:ilvl w:val="0"/>
          <w:numId w:val="2"/>
        </w:numPr>
        <w:spacing w:after="60" w:before="30" w:line="280"/>
      </w:pPr>
      <w:r>
        <w:rPr>
          <w:rFonts w:ascii="Arial" w:cs="Arial" w:eastAsia="Arial" w:hAnsi="Arial"/>
          <w:color w:val="1A1410"/>
          <w:sz w:val="22"/>
          <w:szCs w:val="22"/>
        </w:rPr>
        <w:t xml:space="preserve">GivingData subscription tiers (Feb 2021 announcement). https://www.givingdata.com/blog/givingdata-rolls-out-new-subscription-tiers-for-grantmaking-foundations</w:t>
      </w:r>
    </w:p>
    <w:p>
      <w:pPr>
        <w:pStyle w:val="ListParagraph"/>
        <w:numPr>
          <w:ilvl w:val="0"/>
          <w:numId w:val="2"/>
        </w:numPr>
        <w:spacing w:after="60" w:before="30" w:line="280"/>
      </w:pPr>
      <w:r>
        <w:rPr>
          <w:rFonts w:ascii="Arial" w:cs="Arial" w:eastAsia="Arial" w:hAnsi="Arial"/>
          <w:color w:val="1A1410"/>
          <w:sz w:val="22"/>
          <w:szCs w:val="22"/>
        </w:rPr>
        <w:t xml:space="preserve">GivingData portals knowledgebase. https://knowledgebase.givingdata.com/givingdata-portals</w:t>
      </w:r>
    </w:p>
    <w:p>
      <w:pPr>
        <w:spacing w:after="60" w:before="220"/>
      </w:pPr>
      <w:r>
        <w:rPr>
          <w:rFonts w:ascii="Arial" w:cs="Arial" w:eastAsia="Arial" w:hAnsi="Arial"/>
          <w:b/>
          <w:bCs/>
          <w:color w:val="F97316"/>
          <w:spacing w:val="30"/>
          <w:sz w:val="18"/>
          <w:szCs w:val="18"/>
        </w:rPr>
        <w:t xml:space="preserve">ACCESSIBILITY / WHATSAPP / VOICE / PHOTO / MOBILE TOOLING</w:t>
      </w:r>
    </w:p>
    <w:p>
      <w:pPr>
        <w:pStyle w:val="ListParagraph"/>
        <w:numPr>
          <w:ilvl w:val="0"/>
          <w:numId w:val="2"/>
        </w:numPr>
        <w:spacing w:after="60" w:before="30" w:line="280"/>
      </w:pPr>
      <w:r>
        <w:rPr>
          <w:rFonts w:ascii="Arial" w:cs="Arial" w:eastAsia="Arial" w:hAnsi="Arial"/>
          <w:color w:val="1A1410"/>
          <w:sz w:val="22"/>
          <w:szCs w:val="22"/>
        </w:rPr>
        <w:t xml:space="preserve">Glific (Project Tech4Dev). https://glific.org/</w:t>
      </w:r>
    </w:p>
    <w:p>
      <w:pPr>
        <w:pStyle w:val="ListParagraph"/>
        <w:numPr>
          <w:ilvl w:val="0"/>
          <w:numId w:val="2"/>
        </w:numPr>
        <w:spacing w:after="60" w:before="30" w:line="280"/>
      </w:pPr>
      <w:r>
        <w:rPr>
          <w:rFonts w:ascii="Arial" w:cs="Arial" w:eastAsia="Arial" w:hAnsi="Arial"/>
          <w:color w:val="1A1410"/>
          <w:sz w:val="22"/>
          <w:szCs w:val="22"/>
        </w:rPr>
        <w:t xml:space="preserve">Glific docs. https://glific.github.io/docs/docs/</w:t>
      </w:r>
    </w:p>
    <w:p>
      <w:pPr>
        <w:pStyle w:val="ListParagraph"/>
        <w:numPr>
          <w:ilvl w:val="0"/>
          <w:numId w:val="2"/>
        </w:numPr>
        <w:spacing w:after="60" w:before="30" w:line="280"/>
      </w:pPr>
      <w:r>
        <w:rPr>
          <w:rFonts w:ascii="Arial" w:cs="Arial" w:eastAsia="Arial" w:hAnsi="Arial"/>
          <w:color w:val="1A1410"/>
          <w:sz w:val="22"/>
          <w:szCs w:val="22"/>
        </w:rPr>
        <w:t xml:space="preserve">Turn.io. https://www.turn.io/</w:t>
      </w:r>
    </w:p>
    <w:p>
      <w:pPr>
        <w:pStyle w:val="ListParagraph"/>
        <w:numPr>
          <w:ilvl w:val="0"/>
          <w:numId w:val="2"/>
        </w:numPr>
        <w:spacing w:after="60" w:before="30" w:line="280"/>
      </w:pPr>
      <w:r>
        <w:rPr>
          <w:rFonts w:ascii="Arial" w:cs="Arial" w:eastAsia="Arial" w:hAnsi="Arial"/>
          <w:color w:val="1A1410"/>
          <w:sz w:val="22"/>
          <w:szCs w:val="22"/>
        </w:rPr>
        <w:t xml:space="preserve">Turn.io features. https://turn.io/product/features</w:t>
      </w:r>
    </w:p>
    <w:p>
      <w:pPr>
        <w:pStyle w:val="ListParagraph"/>
        <w:numPr>
          <w:ilvl w:val="0"/>
          <w:numId w:val="2"/>
        </w:numPr>
        <w:spacing w:after="60" w:before="30" w:line="280"/>
      </w:pPr>
      <w:r>
        <w:rPr>
          <w:rFonts w:ascii="Arial" w:cs="Arial" w:eastAsia="Arial" w:hAnsi="Arial"/>
          <w:color w:val="1A1410"/>
          <w:sz w:val="22"/>
          <w:szCs w:val="22"/>
        </w:rPr>
        <w:t xml:space="preserve">Mogli (Salesforce AppExchange WhatsApp). https://www.mogli.com/features/whatsapp</w:t>
      </w:r>
    </w:p>
    <w:p>
      <w:pPr>
        <w:pStyle w:val="ListParagraph"/>
        <w:numPr>
          <w:ilvl w:val="0"/>
          <w:numId w:val="2"/>
        </w:numPr>
        <w:spacing w:after="60" w:before="30" w:line="280"/>
      </w:pPr>
      <w:r>
        <w:rPr>
          <w:rFonts w:ascii="Arial" w:cs="Arial" w:eastAsia="Arial" w:hAnsi="Arial"/>
          <w:color w:val="1A1410"/>
          <w:sz w:val="22"/>
          <w:szCs w:val="22"/>
        </w:rPr>
        <w:t xml:space="preserve">KoboToolbox transcription/translation. https://support.kobotoolbox.org/transcription-translation.html</w:t>
      </w:r>
    </w:p>
    <w:p>
      <w:pPr>
        <w:pStyle w:val="ListParagraph"/>
        <w:numPr>
          <w:ilvl w:val="0"/>
          <w:numId w:val="2"/>
        </w:numPr>
        <w:spacing w:after="60" w:before="30" w:line="280"/>
      </w:pPr>
      <w:r>
        <w:rPr>
          <w:rFonts w:ascii="Arial" w:cs="Arial" w:eastAsia="Arial" w:hAnsi="Arial"/>
          <w:color w:val="1A1410"/>
          <w:sz w:val="22"/>
          <w:szCs w:val="22"/>
        </w:rPr>
        <w:t xml:space="preserve">Kobo + CLEAR Global speech recognition blog. https://www.kobotoolbox.org/blog/kobo-and-twb-develop-speech-recognition-software-marginalized-languages</w:t>
      </w:r>
    </w:p>
    <w:p>
      <w:pPr>
        <w:pStyle w:val="ListParagraph"/>
        <w:numPr>
          <w:ilvl w:val="0"/>
          <w:numId w:val="2"/>
        </w:numPr>
        <w:spacing w:after="60" w:before="30" w:line="280"/>
      </w:pPr>
      <w:r>
        <w:rPr>
          <w:rFonts w:ascii="Arial" w:cs="Arial" w:eastAsia="Arial" w:hAnsi="Arial"/>
          <w:color w:val="1A1410"/>
          <w:sz w:val="22"/>
          <w:szCs w:val="22"/>
        </w:rPr>
        <w:t xml:space="preserve">CLEAR Global African language speech tech. https://clearglobal.org/resources/toward-more-scalable-speech-technology-for-african-languages/</w:t>
      </w:r>
    </w:p>
    <w:p>
      <w:pPr>
        <w:pStyle w:val="ListParagraph"/>
        <w:numPr>
          <w:ilvl w:val="0"/>
          <w:numId w:val="2"/>
        </w:numPr>
        <w:spacing w:after="60" w:before="30" w:line="280"/>
      </w:pPr>
      <w:r>
        <w:rPr>
          <w:rFonts w:ascii="Arial" w:cs="Arial" w:eastAsia="Arial" w:hAnsi="Arial"/>
          <w:color w:val="1A1410"/>
          <w:sz w:val="22"/>
          <w:szCs w:val="22"/>
        </w:rPr>
        <w:t xml:space="preserve">CommCare (Dimagi). https://dimagi.com/commcare/</w:t>
      </w:r>
    </w:p>
    <w:p>
      <w:pPr>
        <w:pStyle w:val="ListParagraph"/>
        <w:numPr>
          <w:ilvl w:val="0"/>
          <w:numId w:val="2"/>
        </w:numPr>
        <w:spacing w:after="60" w:before="30" w:line="280"/>
      </w:pPr>
      <w:r>
        <w:rPr>
          <w:rFonts w:ascii="Arial" w:cs="Arial" w:eastAsia="Arial" w:hAnsi="Arial"/>
          <w:color w:val="1A1410"/>
          <w:sz w:val="22"/>
          <w:szCs w:val="22"/>
        </w:rPr>
        <w:t xml:space="preserve">SurveyCTO advanced offline. https://www.surveycto.com/product/advanced-offline/</w:t>
      </w:r>
    </w:p>
    <w:p>
      <w:pPr>
        <w:pStyle w:val="ListParagraph"/>
        <w:numPr>
          <w:ilvl w:val="0"/>
          <w:numId w:val="2"/>
        </w:numPr>
        <w:spacing w:after="60" w:before="30" w:line="280"/>
      </w:pPr>
      <w:r>
        <w:rPr>
          <w:rFonts w:ascii="Arial" w:cs="Arial" w:eastAsia="Arial" w:hAnsi="Arial"/>
          <w:color w:val="1A1410"/>
          <w:sz w:val="22"/>
          <w:szCs w:val="22"/>
        </w:rPr>
        <w:t xml:space="preserve">SurveyCTO image fields. https://docs.surveycto.com/02-designing-forms/01-core-concepts/03m.field-types-image.html</w:t>
      </w:r>
    </w:p>
    <w:p>
      <w:pPr>
        <w:pStyle w:val="ListParagraph"/>
        <w:numPr>
          <w:ilvl w:val="0"/>
          <w:numId w:val="2"/>
        </w:numPr>
        <w:spacing w:after="60" w:before="30" w:line="280"/>
      </w:pPr>
      <w:r>
        <w:rPr>
          <w:rFonts w:ascii="Arial" w:cs="Arial" w:eastAsia="Arial" w:hAnsi="Arial"/>
          <w:color w:val="1A1410"/>
          <w:sz w:val="22"/>
          <w:szCs w:val="22"/>
        </w:rPr>
        <w:t xml:space="preserve">Good Grants multilingual. https://goodgrants.com/features/pre-award-features/multilingual/</w:t>
      </w:r>
    </w:p>
    <w:p>
      <w:pPr>
        <w:pStyle w:val="ListParagraph"/>
        <w:numPr>
          <w:ilvl w:val="0"/>
          <w:numId w:val="2"/>
        </w:numPr>
        <w:spacing w:after="60" w:before="30" w:line="280"/>
      </w:pPr>
      <w:r>
        <w:rPr>
          <w:rFonts w:ascii="Arial" w:cs="Arial" w:eastAsia="Arial" w:hAnsi="Arial"/>
          <w:color w:val="1A1410"/>
          <w:sz w:val="22"/>
          <w:szCs w:val="22"/>
        </w:rPr>
        <w:t xml:space="preserve">Plinth grant management systems compared. https://www.plinth.org.uk/complete-guide/grant-management-systems-compared</w:t>
      </w:r>
    </w:p>
    <w:p>
      <w:pPr>
        <w:pStyle w:val="ListParagraph"/>
        <w:numPr>
          <w:ilvl w:val="0"/>
          <w:numId w:val="2"/>
        </w:numPr>
        <w:spacing w:after="60" w:before="30" w:line="280"/>
      </w:pPr>
      <w:r>
        <w:rPr>
          <w:rFonts w:ascii="Arial" w:cs="Arial" w:eastAsia="Arial" w:hAnsi="Arial"/>
          <w:color w:val="1A1410"/>
          <w:sz w:val="22"/>
          <w:szCs w:val="22"/>
        </w:rPr>
        <w:t xml:space="preserve">EvalCommunity top AI tools for M&amp;E (2025). https://academy.evalcommunity.com/top-ai-tools-for-monitoring-and-evaluation-in-2025/</w:t>
      </w:r>
    </w:p>
    <w:p>
      <w:pPr>
        <w:spacing w:after="60" w:before="220"/>
      </w:pPr>
      <w:r>
        <w:rPr>
          <w:rFonts w:ascii="Arial" w:cs="Arial" w:eastAsia="Arial" w:hAnsi="Arial"/>
          <w:b/>
          <w:bCs/>
          <w:color w:val="F97316"/>
          <w:spacing w:val="30"/>
          <w:sz w:val="18"/>
          <w:szCs w:val="18"/>
        </w:rPr>
        <w:t xml:space="preserve">PHILANTHROPY + FOUNDATION GIVING</w:t>
      </w:r>
    </w:p>
    <w:p>
      <w:pPr>
        <w:pStyle w:val="ListParagraph"/>
        <w:numPr>
          <w:ilvl w:val="0"/>
          <w:numId w:val="2"/>
        </w:numPr>
        <w:spacing w:after="60" w:before="30" w:line="280"/>
      </w:pPr>
      <w:r>
        <w:rPr>
          <w:rFonts w:ascii="Arial" w:cs="Arial" w:eastAsia="Arial" w:hAnsi="Arial"/>
          <w:color w:val="1A1410"/>
          <w:sz w:val="22"/>
          <w:szCs w:val="22"/>
        </w:rPr>
        <w:t xml:space="preserve">Giving USA 2025 (via BWF Zuri). https://www.bwf.com/giving-usa-2025-report-insights/</w:t>
      </w:r>
    </w:p>
    <w:p>
      <w:pPr>
        <w:pStyle w:val="ListParagraph"/>
        <w:numPr>
          <w:ilvl w:val="0"/>
          <w:numId w:val="2"/>
        </w:numPr>
        <w:spacing w:after="60" w:before="30" w:line="280"/>
      </w:pPr>
      <w:r>
        <w:rPr>
          <w:rFonts w:ascii="Arial" w:cs="Arial" w:eastAsia="Arial" w:hAnsi="Arial"/>
          <w:color w:val="1A1410"/>
          <w:sz w:val="22"/>
          <w:szCs w:val="22"/>
        </w:rPr>
        <w:t xml:space="preserve">Foundation Source 2026 Giving Outlook. https://foundationsource.com/newsroom/press-releases/2026-giving-outlook-resilient-donors-drive-growth-amid-shifts-in-philanthropy/</w:t>
      </w:r>
    </w:p>
    <w:p>
      <w:pPr>
        <w:pStyle w:val="ListParagraph"/>
        <w:numPr>
          <w:ilvl w:val="0"/>
          <w:numId w:val="2"/>
        </w:numPr>
        <w:spacing w:after="60" w:before="30" w:line="280"/>
      </w:pPr>
      <w:r>
        <w:rPr>
          <w:rFonts w:ascii="Arial" w:cs="Arial" w:eastAsia="Arial" w:hAnsi="Arial"/>
          <w:color w:val="1A1410"/>
          <w:sz w:val="22"/>
          <w:szCs w:val="22"/>
        </w:rPr>
        <w:t xml:space="preserve">Candid 2026 outlook. https://candid.org/blogs/outlook-for-charitable-giving-in-2026-grantmaking-trends-foundation-source-data/</w:t>
      </w:r>
    </w:p>
    <w:p>
      <w:pPr>
        <w:pStyle w:val="ListParagraph"/>
        <w:numPr>
          <w:ilvl w:val="0"/>
          <w:numId w:val="2"/>
        </w:numPr>
        <w:spacing w:after="60" w:before="30" w:line="280"/>
      </w:pPr>
      <w:r>
        <w:rPr>
          <w:rFonts w:ascii="Arial" w:cs="Arial" w:eastAsia="Arial" w:hAnsi="Arial"/>
          <w:color w:val="1A1410"/>
          <w:sz w:val="22"/>
          <w:szCs w:val="22"/>
        </w:rPr>
        <w:t xml:space="preserve">Oxfam America on US foreign aid cuts. https://www.oxfamamerica.org/explore/issues/making-foreign-aid-work/what-do-trumps-proposed-foreign-aid-cuts-mean/</w:t>
      </w:r>
    </w:p>
    <w:p>
      <w:pPr>
        <w:spacing w:after="80" w:before="60" w:line="300"/>
        <w:jc w:val="left"/>
      </w:pPr>
      <w:r>
        <w:rPr>
          <w:rFonts w:ascii="Arial" w:cs="Arial" w:eastAsia="Arial" w:hAnsi="Arial"/>
          <w:i/>
          <w:iCs/>
          <w:color w:val="6B6660"/>
          <w:sz w:val="18"/>
          <w:szCs w:val="18"/>
        </w:rPr>
        <w:t xml:space="preserve">Notes on methodology. Where claims could not be verified from public sources, this analysis says "not documented" rather than asserting absence. Pricing estimates from third-party aggregators (Vendr, Capterra, SoftwareAdvice, ITQlick, Plinth, SmartThoughts) are flagged with their source rather than asserted as vendor-published. Adoption metrics from vendor self-reports (e.g., Glific's 100M+ messages, Turn.io's WHO 14.7M users) are presented with their source. Forward-looking forecasts (Mordor 2030, Grand View 2033) are clearly labeled as projections.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660"/>
        <w:sz w:val="18"/>
        <w:szCs w:val="18"/>
      </w:rPr>
      <w:t xml:space="preserve">Page </w:t>
    </w:r>
    <w:r>
      <w:rPr>
        <w:rFonts w:ascii="Arial" w:cs="Arial" w:eastAsia="Arial" w:hAnsi="Arial"/>
        <w:color w:val="6B6660"/>
        <w:sz w:val="18"/>
        <w:szCs w:val="18"/>
      </w:rPr>
      <w:fldChar w:fldCharType="begin"/>
      <w:instrText xml:space="preserve">PAGE</w:instrText>
      <w:fldChar w:fldCharType="separate"/>
      <w:fldChar w:fldCharType="end"/>
    </w:r>
    <w:r>
      <w:rPr>
        <w:rFonts w:ascii="Arial" w:cs="Arial" w:eastAsia="Arial" w:hAnsi="Arial"/>
        <w:color w:val="6B6660"/>
        <w:sz w:val="18"/>
        <w:szCs w:val="18"/>
      </w:rPr>
      <w:t xml:space="preserve">  ·  Adeso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B6660"/>
        <w:spacing w:val="30"/>
        <w:sz w:val="16"/>
        <w:szCs w:val="16"/>
      </w:rPr>
      <w:t xml:space="preserve">KUJA GRANT — MARKET ANALYSIS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color w:val="C2410C"/>
      </w:rPr>
    </w:lvl>
    <w:lvl w:ilvl="1" w15:tentative="1">
      <w:start w:val="1"/>
      <w:numFmt w:val="bullet"/>
      <w:lvlText w:val="◦"/>
      <w:lvlJc w:val="left"/>
      <w:pPr>
        <w:ind w:left="720" w:hanging="240"/>
      </w:pPr>
      <w:rPr>
        <w:rFonts w:ascii="Arial" w:cs="Arial" w:eastAsia="Arial" w:hAnsi="Arial"/>
        <w:color w:val="7C2D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2026-07-06T00:55:04.215Z</dcterms:created>
  <dcterms:modified xsi:type="dcterms:W3CDTF">2026-07-06T00:55:04.217Z</dcterms:modified>
</cp:coreProperties>
</file>

<file path=docProps/custom.xml><?xml version="1.0" encoding="utf-8"?>
<Properties xmlns="http://schemas.openxmlformats.org/officeDocument/2006/custom-properties" xmlns:vt="http://schemas.openxmlformats.org/officeDocument/2006/docPropsVTypes"/>
</file>