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C2410C"/>
          <w:sz w:val="56"/>
          <w:szCs w:val="56"/>
        </w:rPr>
        <w:t xml:space="preserve">KUJA STRATEGY</w:t>
      </w:r>
    </w:p>
    <w:p>
      <w:pPr>
        <w:spacing w:after="0" w:before="80"/>
      </w:pPr>
      <w:r>
        <w:rPr>
          <w:rFonts w:ascii="Arial" w:cs="Arial" w:eastAsia="Arial" w:hAnsi="Arial"/>
          <w:b/>
          <w:bCs/>
          <w:color w:val="1A1410"/>
          <w:sz w:val="44"/>
          <w:szCs w:val="44"/>
        </w:rPr>
        <w:t xml:space="preserve">Portfolio Cohesion Brief</w:t>
      </w:r>
    </w:p>
    <w:p>
      <w:pPr>
        <w:spacing w:after="0" w:before="200"/>
      </w:pPr>
      <w:r>
        <w:rPr>
          <w:rFonts w:ascii="Arial" w:cs="Arial" w:eastAsia="Arial" w:hAnsi="Arial"/>
          <w:i/>
          <w:iCs/>
          <w:color w:val="7C2D12"/>
          <w:sz w:val="24"/>
          <w:szCs w:val="24"/>
        </w:rPr>
        <w:t xml:space="preserve">The canonical artifact set, the cross-references, and the unified numbers</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This brief is the index. It is not the strategy and it is not the analysis. It tells you which document to read for what, what numbers are canonical across all documents, and where to look for the source.</w:t>
            </w:r>
          </w:p>
          <w:p>
            <w:pPr>
              <w:spacing w:before="80"/>
            </w:pPr>
            <w:r>
              <w:rPr>
                <w:rFonts w:ascii="Arial" w:cs="Arial" w:eastAsia="Arial" w:hAnsi="Arial"/>
                <w:color w:val="1A1410"/>
                <w:sz w:val="20"/>
                <w:szCs w:val="20"/>
              </w:rPr>
              <w:t xml:space="preserve">Use this when: onboarding a new team member · briefing an external advisor · checking that an external pitch references the right numbers · validating that the artifact set has not drifted.</w:t>
            </w:r>
          </w:p>
        </w:tc>
      </w:tr>
    </w:tbl>
    <w:p>
      <w:pPr>
        <w:spacing w:after="0" w:before="600"/>
      </w:pPr>
      <w:r>
        <w:t xml:space="preserve"/>
      </w:r>
    </w:p>
    <w:p>
      <w:r>
        <w:rPr>
          <w:rFonts w:ascii="Arial" w:cs="Arial" w:eastAsia="Arial" w:hAnsi="Arial"/>
          <w:b/>
          <w:bCs/>
          <w:color w:val="6B6660"/>
          <w:sz w:val="22"/>
          <w:szCs w:val="22"/>
        </w:rPr>
        <w:t xml:space="preserve">July 2026 · Companion to Strategy V3.7, Portfolio Deck V10, Grant BRD v7.0, and the product-level market analyses and pitch decks</w:t>
      </w:r>
    </w:p>
    <w:p>
      <w:r>
        <w:rPr>
          <w:rFonts w:ascii="Arial" w:cs="Arial" w:eastAsia="Arial" w:hAnsi="Arial"/>
          <w:color w:val="6B6660"/>
          <w:sz w:val="22"/>
          <w:szCs w:val="22"/>
        </w:rPr>
        <w:t xml:space="preserve">Adeso · Nairobi, Kenya · kuja@adeso.org</w:t>
      </w:r>
    </w:p>
    <w:p>
      <w:pPr>
        <w:pStyle w:val="Heading1"/>
        <w:pageBreakBefore/>
        <w:spacing w:after="200" w:before="320"/>
      </w:pPr>
      <w:r>
        <w:rPr>
          <w:rFonts w:ascii="Arial" w:cs="Arial" w:eastAsia="Arial" w:hAnsi="Arial"/>
          <w:b/>
          <w:bCs/>
          <w:color w:val="C2410C"/>
          <w:sz w:val="36"/>
          <w:szCs w:val="36"/>
        </w:rPr>
        <w:t xml:space="preserve">1. The Canonical Artifact Set</w:t>
      </w:r>
    </w:p>
    <w:p>
      <w:pPr>
        <w:spacing w:after="80" w:before="60" w:line="280"/>
        <w:jc w:val="left"/>
      </w:pPr>
      <w:r>
        <w:rPr>
          <w:rFonts w:ascii="Arial" w:cs="Arial" w:eastAsia="Arial" w:hAnsi="Arial"/>
          <w:color w:val="1A1410"/>
          <w:sz w:val="22"/>
          <w:szCs w:val="22"/>
        </w:rPr>
        <w:t xml:space="preserve">Nine documents make up the Kuja strategy portfolio as of July 2026. The first two are portfolio-wide. The next six are product-level (two market analyses, two pitch decks, the Grant business requirements, and the Proximate Fund design set). The ninth is this brief.</w:t>
      </w:r>
    </w:p>
    <w:p>
      <w:pPr>
        <w:pStyle w:val="Heading2"/>
        <w:spacing w:after="140" w:before="280"/>
      </w:pPr>
      <w:r>
        <w:rPr>
          <w:rFonts w:ascii="Arial" w:cs="Arial" w:eastAsia="Arial" w:hAnsi="Arial"/>
          <w:b/>
          <w:bCs/>
          <w:color w:val="7C2D12"/>
          <w:sz w:val="28"/>
          <w:szCs w:val="28"/>
        </w:rPr>
        <w:t xml:space="preserve">1.1 Portfolio-wide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Document</w:t>
            </w:r>
          </w:p>
        </w:tc>
        <w:tc>
          <w:tcPr>
            <w:tcW w:type="dxa" w:w="6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it covers · when to use it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Business Strategy V3.7
(Kuja_Business_Strategy_2026-2028_V3.7.docx)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Master strategy. Four products, three GTM motions, seven buyer segments, market sizing, competitive landscape, revenue projections through 2030. V3.7 adds the Proximate Fund as the live third Grant tenant (the full trust spectrum) and the donor-compliance loop. The board-facing document. Replaces V3.6.</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V10 — Portfolio
(Kuja_Pitch_Deck_V10_Professional_July2026.pptx)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pitch. ~20 slides covering Kuja overall, the four products at altitude, the full-trust-spectrum tenant slide (Marketplace / NEAR / Proximate + donor-compliance loop), and the consolidated competitive matrix. Use when: speaking to an investor, foundation board, or coalition leadership. Replaces V9.</w:t>
            </w:r>
          </w:p>
        </w:tc>
      </w:tr>
    </w:tbl>
    <w:p>
      <w:pPr>
        <w:pStyle w:val="Heading2"/>
        <w:spacing w:after="140" w:before="280"/>
      </w:pPr>
      <w:r>
        <w:rPr>
          <w:rFonts w:ascii="Arial" w:cs="Arial" w:eastAsia="Arial" w:hAnsi="Arial"/>
          <w:b/>
          <w:bCs/>
          <w:color w:val="7C2D12"/>
          <w:sz w:val="28"/>
          <w:szCs w:val="28"/>
        </w:rPr>
        <w:t xml:space="preserve">1.2 Product-level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Document</w:t>
            </w:r>
          </w:p>
        </w:tc>
        <w:tc>
          <w:tcPr>
            <w:tcW w:type="dxa" w:w="6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it covers · when to use it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Market Analysis (July 2026)
(Kuja_Grant_Market_Analysis_July2026.docx)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~35-page deep dive. 14 sections. Verified competitive analysis across 7 GMS vendors (Submittable / Foundant / SmartSimple / Fluxx / Salesforce GM / Blackbaud / GivingData), full feature matrix, accessibility moat detail, AI compliance pipeline. Updated July 2026: three flavors on one codebase — new Section 2.4 Crisis-Context Fund (Proximate, Sudan) with relational validation and the upstream donor-compliance loop. Use when: a foundation, bilateral, or network is doing serious due diligence on Grant.</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Pitch Deck V2 (June 2026)
(Kuja_Grant_Pitch_Deck_June2026.pptx)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20-slide Grant-only pitch. Two flavors front and center. Feature matrix slide. Use when: pitching Grant standalone to a network secretariat, foundation, or bilateral.</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Elevate Market Analysis (June 2026)
(Kuja_Elevate_Market_Analysis_June2026.docx)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~30-page operating-system positioning. 11 module families. Stitched-stack TCO ($129K subscription + $55K Y1 = $184K Year-1 TCO). Pricing tier detail. Use when: a mid-size NGO is evaluating the OS replace decision.</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Elevate Pitch Deck (June 2026)
(Kuja_Elevate_Pitch_Deck_June2026.pptx)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18-slide Elevate-only pitch. Use when: pitching Elevate to a COO, ED, or board chair.</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BRD v7.0 (July 2026)
(Kuja_Grant_v7.0_Business_Requirements.docx)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canonical requirements document. Burden-inversion design thesis, one-engine-three-trust-models spectrum (Marketplace open / NEAR formal vetting / Proximate relational validation), SoP-as-software, 46 numbered Proximate requirements, donor-compliance loop. Use when: anyone asks "what exactly does the system do, and is it real?" — every listed requirement is production-verified.</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Proximate Fund design + pitch
(PROXIMATE_FUND_DESIGN_v4 + Proximate_Fund_Pitch_Deck_June2026.pptx)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Sudan crisis-context tenant: relational validation, SoP 12/13/14 automation, hawala + mobile money rails, zero-login Arabic voice flows. Use when: pitching or explaining the crisis-context flavor specifically. Live in production since July 2026.</w:t>
            </w:r>
          </w:p>
        </w:tc>
      </w:tr>
    </w:tbl>
    <w:p>
      <w:pPr>
        <w:spacing w:after="80" w:before="60" w:line="280"/>
        <w:jc w:val="left"/>
      </w:pPr>
      <w:r>
        <w:rPr>
          <w:rFonts w:ascii="Arial" w:cs="Arial" w:eastAsia="Arial" w:hAnsi="Arial"/>
          <w:i/>
          <w:iCs/>
          <w:color w:val="6B6660"/>
          <w:sz w:val="18"/>
          <w:szCs w:val="18"/>
        </w:rPr>
        <w:t xml:space="preserve">All files exist in two locations: Cowork folder Downloads and the kuja-grant/docs repo folder. They are byte-identical copies.</w:t>
      </w:r>
    </w:p>
    <w:p>
      <w:pPr>
        <w:pStyle w:val="Heading1"/>
        <w:pageBreakBefore/>
        <w:spacing w:after="200" w:before="320"/>
      </w:pPr>
      <w:r>
        <w:rPr>
          <w:rFonts w:ascii="Arial" w:cs="Arial" w:eastAsia="Arial" w:hAnsi="Arial"/>
          <w:b/>
          <w:bCs/>
          <w:color w:val="C2410C"/>
          <w:sz w:val="36"/>
          <w:szCs w:val="36"/>
        </w:rPr>
        <w:t xml:space="preserve">2. How the Documents Reference Each Other</w:t>
      </w:r>
    </w:p>
    <w:p>
      <w:pPr>
        <w:spacing w:after="80" w:before="60" w:line="280"/>
        <w:jc w:val="left"/>
      </w:pPr>
      <w:r>
        <w:rPr>
          <w:rFonts w:ascii="Arial" w:cs="Arial" w:eastAsia="Arial" w:hAnsi="Arial"/>
          <w:color w:val="1A1410"/>
          <w:sz w:val="22"/>
          <w:szCs w:val="22"/>
        </w:rPr>
        <w:t xml:space="preserve">The portfolio is structured as a hub and four spokes. The strategy is the hub. Each product deck and market analysis is a spoke. Read upward when you want context; read downward when you want depth.</w:t>
      </w:r>
    </w:p>
    <w:p>
      <w:pPr>
        <w:pStyle w:val="Heading2"/>
        <w:spacing w:after="140" w:before="280"/>
      </w:pPr>
      <w:r>
        <w:rPr>
          <w:rFonts w:ascii="Arial" w:cs="Arial" w:eastAsia="Arial" w:hAnsi="Arial"/>
          <w:b/>
          <w:bCs/>
          <w:color w:val="7C2D12"/>
          <w:sz w:val="28"/>
          <w:szCs w:val="28"/>
        </w:rPr>
        <w:t xml:space="preserve">2.1 Hub-and-spoke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From → To</w:t>
            </w:r>
          </w:p>
        </w:tc>
        <w:tc>
          <w:tcPr>
            <w:tcW w:type="dxa" w:w="6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you find downstream</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V3.7 → Grant MA</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covers Grant at altitude (Section 4 of the strategy). The Grant Market Analysis goes deeper into 7-vendor competitive landscape, 15-feature matrix, accessibility moat, and AI compliance pipeline.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V3.7 → Elevate MA</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covers Elevate at altitude (Section 4.3 of the strategy). The Elevate Market Analysis goes deeper into 11 module families, stitched-stack TCO benchmark, Platform + Advisory tiering.</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V3.7 → Pitch Deck V9</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is read; the deck is presented. The deck pulls the strategy's headline claims and turns them into a 20-minute conversation.</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V10 → Grant Deck V2</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deck has 1 Grant slide; the Grant Deck has 20 slides on Grant alone.</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V10 → Elevate Deck</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deck has 1 Elevate slide; the Elevate Deck has 18 slides on Elevate alone.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MA ↔ Elevate MA</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Independent product docs. Cross-link only where Elevate consumes Grant data (e.g., Elevate Grants &amp; Compliance module).</w:t>
            </w:r>
          </w:p>
        </w:tc>
      </w:tr>
    </w:tbl>
    <w:p>
      <w:pPr>
        <w:pStyle w:val="Heading2"/>
        <w:spacing w:after="140" w:before="280"/>
      </w:pPr>
      <w:r>
        <w:rPr>
          <w:rFonts w:ascii="Arial" w:cs="Arial" w:eastAsia="Arial" w:hAnsi="Arial"/>
          <w:b/>
          <w:bCs/>
          <w:color w:val="7C2D12"/>
          <w:sz w:val="28"/>
          <w:szCs w:val="28"/>
        </w:rPr>
        <w:t xml:space="preserve">2.2 Recommended reading order</w:t>
      </w:r>
    </w:p>
    <w:p>
      <w:pPr>
        <w:spacing w:after="80" w:before="60" w:line="280"/>
        <w:jc w:val="left"/>
      </w:pPr>
      <w:r>
        <w:rPr>
          <w:rFonts w:ascii="Arial" w:cs="Arial" w:eastAsia="Arial" w:hAnsi="Arial"/>
          <w:color w:val="1A1410"/>
          <w:sz w:val="22"/>
          <w:szCs w:val="22"/>
        </w:rPr>
        <w:t xml:space="preserve">By audience:</w:t>
      </w:r>
    </w:p>
    <w:p>
      <w:pPr>
        <w:pStyle w:val="ListParagraph"/>
        <w:numPr>
          <w:ilvl w:val="0"/>
          <w:numId w:val="2"/>
        </w:numPr>
        <w:spacing w:after="60" w:before="30" w:line="280"/>
      </w:pPr>
      <w:r>
        <w:rPr>
          <w:rFonts w:ascii="Arial" w:cs="Arial" w:eastAsia="Arial" w:hAnsi="Arial"/>
          <w:b/>
          <w:bCs/>
          <w:color w:val="1A1410"/>
          <w:sz w:val="22"/>
          <w:szCs w:val="22"/>
        </w:rPr>
        <w:t xml:space="preserve">Investor / coalition leadership: </w:t>
      </w:r>
      <w:r>
        <w:rPr>
          <w:rFonts w:ascii="Arial" w:cs="Arial" w:eastAsia="Arial" w:hAnsi="Arial"/>
          <w:color w:val="1A1410"/>
          <w:sz w:val="22"/>
          <w:szCs w:val="22"/>
        </w:rPr>
        <w:t xml:space="preserve">Pitch Deck V10 → Strategy V3.7 → product market analyses on request.</w:t>
      </w:r>
    </w:p>
    <w:p>
      <w:pPr>
        <w:pStyle w:val="ListParagraph"/>
        <w:numPr>
          <w:ilvl w:val="0"/>
          <w:numId w:val="2"/>
        </w:numPr>
        <w:spacing w:after="60" w:before="30" w:line="280"/>
      </w:pPr>
      <w:r>
        <w:rPr>
          <w:rFonts w:ascii="Arial" w:cs="Arial" w:eastAsia="Arial" w:hAnsi="Arial"/>
          <w:b/>
          <w:bCs/>
          <w:color w:val="1A1410"/>
          <w:sz w:val="22"/>
          <w:szCs w:val="22"/>
        </w:rPr>
        <w:t xml:space="preserve">Foundation grants officer doing Grant due diligence: </w:t>
      </w:r>
      <w:r>
        <w:rPr>
          <w:rFonts w:ascii="Arial" w:cs="Arial" w:eastAsia="Arial" w:hAnsi="Arial"/>
          <w:color w:val="1A1410"/>
          <w:sz w:val="22"/>
          <w:szCs w:val="22"/>
        </w:rPr>
        <w:t xml:space="preserve">Grant Pitch Deck V2 → Grant Market Analysis (Sections 1-8) → Strategy V3.7 Section 4 for context.</w:t>
      </w:r>
    </w:p>
    <w:p>
      <w:pPr>
        <w:pStyle w:val="ListParagraph"/>
        <w:numPr>
          <w:ilvl w:val="0"/>
          <w:numId w:val="2"/>
        </w:numPr>
        <w:spacing w:after="60" w:before="30" w:line="280"/>
      </w:pPr>
      <w:r>
        <w:rPr>
          <w:rFonts w:ascii="Arial" w:cs="Arial" w:eastAsia="Arial" w:hAnsi="Arial"/>
          <w:b/>
          <w:bCs/>
          <w:color w:val="1A1410"/>
          <w:sz w:val="22"/>
          <w:szCs w:val="22"/>
        </w:rPr>
        <w:t xml:space="preserve">NGO ED evaluating Elevate: </w:t>
      </w:r>
      <w:r>
        <w:rPr>
          <w:rFonts w:ascii="Arial" w:cs="Arial" w:eastAsia="Arial" w:hAnsi="Arial"/>
          <w:color w:val="1A1410"/>
          <w:sz w:val="22"/>
          <w:szCs w:val="22"/>
        </w:rPr>
        <w:t xml:space="preserve">Elevate Pitch Deck → Elevate Market Analysis → Strategy V3.7 Section 4.3 for context.</w:t>
      </w:r>
    </w:p>
    <w:p>
      <w:pPr>
        <w:pStyle w:val="ListParagraph"/>
        <w:numPr>
          <w:ilvl w:val="0"/>
          <w:numId w:val="2"/>
        </w:numPr>
        <w:spacing w:after="60" w:before="30" w:line="280"/>
      </w:pPr>
      <w:r>
        <w:rPr>
          <w:rFonts w:ascii="Arial" w:cs="Arial" w:eastAsia="Arial" w:hAnsi="Arial"/>
          <w:b/>
          <w:bCs/>
          <w:color w:val="1A1410"/>
          <w:sz w:val="22"/>
          <w:szCs w:val="22"/>
        </w:rPr>
        <w:t xml:space="preserve">Network secretariat (Closed Network flavor): </w:t>
      </w:r>
      <w:r>
        <w:rPr>
          <w:rFonts w:ascii="Arial" w:cs="Arial" w:eastAsia="Arial" w:hAnsi="Arial"/>
          <w:color w:val="1A1410"/>
          <w:sz w:val="22"/>
          <w:szCs w:val="22"/>
        </w:rPr>
        <w:t xml:space="preserve">Grant Pitch Deck V2 (Flavor 1 slides) → Grant Market Analysis Section 2.2 → Strategy V3.7 Section 7 (GTM motion).</w:t>
      </w:r>
    </w:p>
    <w:p>
      <w:pPr>
        <w:pStyle w:val="ListParagraph"/>
        <w:numPr>
          <w:ilvl w:val="0"/>
          <w:numId w:val="2"/>
        </w:numPr>
        <w:spacing w:after="60" w:before="30" w:line="280"/>
      </w:pPr>
      <w:r>
        <w:rPr>
          <w:rFonts w:ascii="Arial" w:cs="Arial" w:eastAsia="Arial" w:hAnsi="Arial"/>
          <w:b/>
          <w:bCs/>
          <w:color w:val="1A1410"/>
          <w:sz w:val="22"/>
          <w:szCs w:val="22"/>
        </w:rPr>
        <w:t xml:space="preserve">Internal Kuja team / new joiner: </w:t>
      </w:r>
      <w:r>
        <w:rPr>
          <w:rFonts w:ascii="Arial" w:cs="Arial" w:eastAsia="Arial" w:hAnsi="Arial"/>
          <w:color w:val="1A1410"/>
          <w:sz w:val="22"/>
          <w:szCs w:val="22"/>
        </w:rPr>
        <w:t xml:space="preserve">Strategy V3.7 cover-to-cover → both market analyses → product decks.</w:t>
      </w:r>
    </w:p>
    <w:p>
      <w:pPr>
        <w:pStyle w:val="Heading1"/>
        <w:pageBreakBefore/>
        <w:spacing w:after="200" w:before="320"/>
      </w:pPr>
      <w:r>
        <w:rPr>
          <w:rFonts w:ascii="Arial" w:cs="Arial" w:eastAsia="Arial" w:hAnsi="Arial"/>
          <w:b/>
          <w:bCs/>
          <w:color w:val="C2410C"/>
          <w:sz w:val="36"/>
          <w:szCs w:val="36"/>
        </w:rPr>
        <w:t xml:space="preserve">3. The Canonical Numbers</w:t>
      </w:r>
    </w:p>
    <w:p>
      <w:pPr>
        <w:spacing w:after="80" w:before="60" w:line="280"/>
        <w:jc w:val="left"/>
      </w:pPr>
      <w:r>
        <w:rPr>
          <w:rFonts w:ascii="Arial" w:cs="Arial" w:eastAsia="Arial" w:hAnsi="Arial"/>
          <w:color w:val="1A1410"/>
          <w:sz w:val="22"/>
          <w:szCs w:val="22"/>
        </w:rPr>
        <w:t xml:space="preserve">These figures appear across all documents. They were verified against original sources in the June 2026 research pass. Any future revision should update this brief first, then propagate to the docs.</w:t>
      </w:r>
    </w:p>
    <w:p>
      <w:pPr>
        <w:pStyle w:val="Heading2"/>
        <w:spacing w:after="140" w:before="280"/>
      </w:pPr>
      <w:r>
        <w:rPr>
          <w:rFonts w:ascii="Arial" w:cs="Arial" w:eastAsia="Arial" w:hAnsi="Arial"/>
          <w:b/>
          <w:bCs/>
          <w:color w:val="7C2D12"/>
          <w:sz w:val="28"/>
          <w:szCs w:val="28"/>
        </w:rPr>
        <w:t xml:space="preserve">3.1 Market — funding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2025 ODA decline (real terms)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-23.1%</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preliminary 2025 ODA data, April 2026 — largest annual ODA decline in history</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Total 2025 DAC ODA</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174.3B</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down from $215.1B in 2024</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 ODA decline 2025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-56.9%</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 largest single-provider reduction on record</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USAID program closure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$75.9B / 5,341 contracts</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Reuters / Donor Tracker — USAID officially closed 1 July 2025</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 foreign aid 2024 → 2025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$68B → $32B (-53%)</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KFF timeline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UK FCDO ODA path</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0.48% → 0.30% GNI by 2027/28</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House of Commons Library CBP-10243</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 giving forecast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+5-7%</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 Source 2026 Giving Outlook</w:t>
            </w:r>
          </w:p>
        </w:tc>
      </w:tr>
    </w:tbl>
    <w:p>
      <w:pPr>
        <w:pStyle w:val="Heading2"/>
        <w:spacing w:after="140" w:before="280"/>
      </w:pPr>
      <w:r>
        <w:rPr>
          <w:rFonts w:ascii="Arial" w:cs="Arial" w:eastAsia="Arial" w:hAnsi="Arial"/>
          <w:b/>
          <w:bCs/>
          <w:color w:val="7C2D12"/>
          <w:sz w:val="28"/>
          <w:szCs w:val="28"/>
        </w:rPr>
        <w:t xml:space="preserve">3.2 Market —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 · definition</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 indirect to local actors 2024</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7.5%</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ALNAP Global Humanitarian Assistance Report 2025 — total humanitarian assistance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local actors (all donors)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~3.1%</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ReliefWeb localization analysis — direct only, all donors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local actors (Grand Bargain signatories)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0.6%</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IASC Grand Bargain pages — signatories only, 2023</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LNAs (Development Initiatives narrower frame)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3.8% in 2024</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Development Initiatives GHA — narrower frame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Grand Bargain target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Signed 2016; target year was 2020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OCHA Country-Based Pooled Funds local share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22.8% (2016) → 34% (2021)</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OCHA — bright spot in the data</w:t>
            </w:r>
          </w:p>
        </w:tc>
      </w:tr>
    </w:tbl>
    <w:p>
      <w:pPr>
        <w:spacing w:after="80" w:before="60" w:line="280"/>
        <w:jc w:val="left"/>
      </w:pPr>
      <w:r>
        <w:rPr>
          <w:rFonts w:ascii="Arial" w:cs="Arial" w:eastAsia="Arial" w:hAnsi="Arial"/>
          <w:i/>
          <w:iCs/>
          <w:color w:val="6B6660"/>
          <w:sz w:val="18"/>
          <w:szCs w:val="18"/>
        </w:rPr>
        <w:t xml:space="preserve">Multiple definitions in circulation. When citing in a doc, name the definition (direct only · direct+indirect · GB signatories · all donors). Default to the ALNAP GHA 2025 7.5% as the latest framing where the audience is not technical.</w:t>
      </w:r>
    </w:p>
    <w:p>
      <w:pPr>
        <w:pStyle w:val="Heading2"/>
        <w:spacing w:after="140" w:before="280"/>
      </w:pPr>
      <w:r>
        <w:rPr>
          <w:rFonts w:ascii="Arial" w:cs="Arial" w:eastAsia="Arial" w:hAnsi="Arial"/>
          <w:b/>
          <w:bCs/>
          <w:color w:val="7C2D12"/>
          <w:sz w:val="28"/>
          <w:szCs w:val="28"/>
        </w:rPr>
        <w:t xml:space="preserve">3.3 Market — AI adoption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 AI tool adoption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92%</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Virtuous + Fundraising.AI 2026 Nonprofit AI Adoption Report (n=346)</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reporting major impact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using AI individually (no shared workflow)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81%</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with documented AI workflows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4%</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Foundations NOT using AI to screen applications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97%</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Candid 2024</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nonprofit AI piloting/using</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"More than half"</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6th Nonprofit Trends Report, Dec 2025</w:t>
            </w:r>
          </w:p>
        </w:tc>
      </w:tr>
    </w:tbl>
    <w:p>
      <w:pPr>
        <w:pStyle w:val="Heading2"/>
        <w:spacing w:after="140" w:before="280"/>
      </w:pPr>
      <w:r>
        <w:rPr>
          <w:rFonts w:ascii="Arial" w:cs="Arial" w:eastAsia="Arial" w:hAnsi="Arial"/>
          <w:b/>
          <w:bCs/>
          <w:color w:val="7C2D12"/>
          <w:sz w:val="28"/>
          <w:szCs w:val="28"/>
        </w:rPr>
        <w:t xml:space="preserve">3.4 Market sizing — Grant Management Software (GMS)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2025 (low)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2.56B</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Mordor Intelligence (10.57% CAGR to $4.23B by 2030)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2025 (high)</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2.88B</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Grand View Research (10.0% CAGR to $6.19B by 2033)</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3.38B</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Precedence Research (to $8.09B by 2035)</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Convergent CAGR view</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~10-12%</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All three firms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North America share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45.12% (2024)</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Mordor Intelligence</w:t>
            </w:r>
          </w:p>
        </w:tc>
      </w:tr>
    </w:tbl>
    <w:p>
      <w:pPr>
        <w:pStyle w:val="Heading2"/>
        <w:spacing w:after="140" w:before="280"/>
      </w:pPr>
      <w:r>
        <w:rPr>
          <w:rFonts w:ascii="Arial" w:cs="Arial" w:eastAsia="Arial" w:hAnsi="Arial"/>
          <w:b/>
          <w:bCs/>
          <w:color w:val="7C2D12"/>
          <w:sz w:val="28"/>
          <w:szCs w:val="28"/>
        </w:rPr>
        <w:t xml:space="preserve">3.5 Market sizing — NGO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Geography</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Count</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 · year</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United States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~1.8M 501(c) tax-exempt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Candid + IRS SOI Tax Stats</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Brazil</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897,054 active CSOs</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IPEA Mapa das OSCs 2024</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India</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~187K NGOs on Darpan</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NGO Darpan 2023</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UK</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~210K (Charity Commission ENW)</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Separate registers Scotland + NI</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Mid-size NGO band globally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150K-300K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Defensible band ($1M-$50M revenue, operational complexity)</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Africa-wide CSO count</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 authoritative figure</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AU CSO Division still building database</w:t>
            </w:r>
          </w:p>
        </w:tc>
      </w:tr>
    </w:tbl>
    <w:p>
      <w:pPr>
        <w:pStyle w:val="Heading2"/>
        <w:spacing w:after="140" w:before="280"/>
      </w:pPr>
      <w:r>
        <w:rPr>
          <w:rFonts w:ascii="Arial" w:cs="Arial" w:eastAsia="Arial" w:hAnsi="Arial"/>
          <w:b/>
          <w:bCs/>
          <w:color w:val="7C2D12"/>
          <w:sz w:val="28"/>
          <w:szCs w:val="28"/>
        </w:rPr>
        <w:t xml:space="preserve">3.6 Stitched-stack TCO benchmark (Elevate)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Tool</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Annual</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Year-1 implementation</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NPC (10 free + 40 seats)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$28,800</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$25,000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LinkSquares CLM</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$31,000</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$15,000</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BoardEffect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$10,000</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$5,000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ClearPoint Strategy Professional</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$9,588</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Onspring policy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$20,000</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Asana Advanced (100 seats)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$30,000</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$10,000</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SUBTOTAL</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$129,388</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$55,000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Year-1 TCO total</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$184,388</w:t>
            </w:r>
          </w:p>
        </w:tc>
      </w:tr>
    </w:tbl>
    <w:p>
      <w:pPr>
        <w:spacing w:after="80" w:before="60" w:line="280"/>
        <w:jc w:val="left"/>
      </w:pPr>
      <w:r>
        <w:rPr>
          <w:rFonts w:ascii="Arial" w:cs="Arial" w:eastAsia="Arial" w:hAnsi="Arial"/>
          <w:i/>
          <w:iCs/>
          <w:color w:val="6B6660"/>
          <w:sz w:val="18"/>
          <w:szCs w:val="18"/>
        </w:rPr>
        <w:t xml:space="preserve">Source: build_market_analysis.js Section 5 (Elevate MA). Each line item sourced to vendor pricing page or third-party aggregator. Used in both Elevate Pitch Deck (Slide 3 stitched-stack TCO table) and Strategy V3.7 Section 4.3.</w:t>
      </w:r>
    </w:p>
    <w:p>
      <w:pPr>
        <w:pStyle w:val="Heading2"/>
        <w:spacing w:after="140" w:before="280"/>
      </w:pPr>
      <w:r>
        <w:rPr>
          <w:rFonts w:ascii="Arial" w:cs="Arial" w:eastAsia="Arial" w:hAnsi="Arial"/>
          <w:b/>
          <w:bCs/>
          <w:color w:val="7C2D12"/>
          <w:sz w:val="28"/>
          <w:szCs w:val="28"/>
        </w:rPr>
        <w:t xml:space="preserve">3.7 Pricing —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Product · 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Year-1 range</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Steady-state ARR</w:t>
            </w:r>
          </w:p>
        </w:tc>
        <w:tc>
          <w:tcPr>
            <w:tcW w:type="dxa" w:w="3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Audience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Closed Network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$80K-$250K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$60K-$180K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Network secretariat (NEAR-scale)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Foundation</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$25K-$50K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$25K-$50K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1-25 grants/yr foundation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Bilateral</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$50K-$100K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$50K-$100K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25-100 grants/yr bilateral</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Multilateral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Custom</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Custom</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 grants/yr multilateral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ERP add-on</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+$15K-$40K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+$15K-$40K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Donor sponsorship primary</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Subsidized</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$12K-$25K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$12K-$25K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Small grantees ($1-5M rev)</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Standard</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$30K-$60K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$30K-$60K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Mid-size NGO ($5-25M rev)</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Enterprise</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$60K-$120K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$60K-$120K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Large NGO / INGO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Advisory Diagnostic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$15K-$25K (one-time)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n/a</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Mat assessment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Advisory Operational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$35K-$65K (one-time)</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n/a</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3-4 mo deployment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Advisory Full Transform</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$65K-$120K (one-time)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n/a</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6-9 mo end-to-end</w:t>
            </w:r>
          </w:p>
        </w:tc>
      </w:tr>
    </w:tbl>
    <w:p>
      <w:pPr>
        <w:pStyle w:val="Heading1"/>
        <w:pageBreakBefore/>
        <w:spacing w:after="200" w:before="320"/>
      </w:pPr>
      <w:r>
        <w:rPr>
          <w:rFonts w:ascii="Arial" w:cs="Arial" w:eastAsia="Arial" w:hAnsi="Arial"/>
          <w:b/>
          <w:bCs/>
          <w:color w:val="C2410C"/>
          <w:sz w:val="36"/>
          <w:szCs w:val="36"/>
        </w:rPr>
        <w:t xml:space="preserve">4. Competitive Positioning — at-a-glance</w:t>
      </w:r>
    </w:p>
    <w:p>
      <w:pPr>
        <w:spacing w:after="80" w:before="60" w:line="280"/>
        <w:jc w:val="left"/>
      </w:pPr>
      <w:r>
        <w:rPr>
          <w:rFonts w:ascii="Arial" w:cs="Arial" w:eastAsia="Arial" w:hAnsi="Arial"/>
          <w:color w:val="1A1410"/>
          <w:sz w:val="22"/>
          <w:szCs w:val="22"/>
        </w:rPr>
        <w:t xml:space="preserve">Two competitor universes. Grant competes against the Grant Management Software (GMS) category. Elevate competes against the stitched enterprise SaaS stack. The full detail is in the product-level market analyses.</w:t>
      </w:r>
    </w:p>
    <w:p>
      <w:pPr>
        <w:pStyle w:val="Heading2"/>
        <w:spacing w:after="140" w:before="280"/>
      </w:pPr>
      <w:r>
        <w:rPr>
          <w:rFonts w:ascii="Arial" w:cs="Arial" w:eastAsia="Arial" w:hAnsi="Arial"/>
          <w:b/>
          <w:bCs/>
          <w:color w:val="7C2D12"/>
          <w:sz w:val="28"/>
          <w:szCs w:val="28"/>
        </w:rPr>
        <w:t xml:space="preserve">4.1 Grant — competitive landscape</w:t>
      </w:r>
    </w:p>
    <w:p>
      <w:pPr>
        <w:spacing w:after="80" w:before="60" w:line="280"/>
        <w:jc w:val="left"/>
      </w:pPr>
      <w:r>
        <w:rPr>
          <w:rFonts w:ascii="Arial" w:cs="Arial" w:eastAsia="Arial" w:hAnsi="Arial"/>
          <w:color w:val="1A1410"/>
          <w:sz w:val="22"/>
          <w:szCs w:val="22"/>
        </w:rPr>
        <w:t xml:space="preserve">Seven incumbent vendors profiled in Grant Market Analysis Section 5. Verified June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Vendor</w:t>
            </w:r>
          </w:p>
        </w:tc>
        <w:tc>
          <w:tcPr>
            <w:tcW w:type="dxa" w:w="7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Position · key gap vs Kuja Grant</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Submittable</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Best applicant UX. AI Review for rubric scoring. UI in 50 languages (paywall, UI-only). NO per-requirement evaluation, NO closed-network, NO WhatsApp/voice/photo.</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Foundant GLM</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Predictable pricing, US small-to-mid foundations. English-only. NO closed-network, NO per-requirement eval, NO accessibility stack. NOTE: Foundant acquired SmartSimple — now sells side-by-side.</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SmartSimple Cloud</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Most mature AI of incumbents (Mar 2023). Enterprise configurability. Steep learning curve. NO per-requirement eval, NO closed-network, NO native WhatsApp/voice/photo.</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Fluxx</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Market leader by foundation count (10 of 20 largest US foundations). Strong WCAG 2.2 AA. English-only docs. NO per-requirement eval, NO closed-network, NO accessibility stack.</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Salesforce Nonprofit Cloud GM</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$175-$225/user/mo. Einstein Grantmaking Summaries (summary-level only). WhatsApp via Service Cloud add-on, not native. Somali absent from language list.</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Blackbaud Grantmaking</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$15K-$150K+/yr. 70+ AI capabilities at Bbcon 2025 but mostly fundraising. UI rated outdated. US-centric, no African registries.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GivingData</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From $9,950/yr. Sparsely documented AI. US mid-market. OFAC add-on only — no African registries.</w:t>
            </w:r>
          </w:p>
        </w:tc>
      </w:tr>
    </w:tbl>
    <w:p>
      <w:pPr>
        <w:spacing w:after="80" w:before="60" w:line="280"/>
        <w:jc w:val="left"/>
      </w:pPr>
      <w:r>
        <w:rPr>
          <w:rFonts w:ascii="Arial" w:cs="Arial" w:eastAsia="Arial" w:hAnsi="Arial"/>
          <w:color w:val="1A1410"/>
          <w:sz w:val="22"/>
          <w:szCs w:val="22"/>
        </w:rPr>
        <w:t xml:space="preserve">The headline finding: 7 of 15 differentiating features in the matrix are "No" across ALL seven incumbents. Those are: closed-network governance, AI per-requirement evaluation, AI compliance coach, AI obligation extraction, voice-to-report, photo-as-evidence with AI labeling, hash-anchored audit chain. See Grant MA Section 6 for the full matrix.</w:t>
      </w:r>
    </w:p>
    <w:p>
      <w:pPr>
        <w:pStyle w:val="Heading2"/>
        <w:spacing w:after="140" w:before="280"/>
      </w:pPr>
      <w:r>
        <w:rPr>
          <w:rFonts w:ascii="Arial" w:cs="Arial" w:eastAsia="Arial" w:hAnsi="Arial"/>
          <w:b/>
          <w:bCs/>
          <w:color w:val="7C2D12"/>
          <w:sz w:val="28"/>
          <w:szCs w:val="28"/>
        </w:rPr>
        <w:t xml:space="preserve">4.2 Accessibility precedents (acknowledged)</w:t>
      </w:r>
    </w:p>
    <w:p>
      <w:pPr>
        <w:spacing w:after="80" w:before="60" w:line="280"/>
        <w:jc w:val="left"/>
      </w:pPr>
      <w:r>
        <w:rPr>
          <w:rFonts w:ascii="Arial" w:cs="Arial" w:eastAsia="Arial" w:hAnsi="Arial"/>
          <w:color w:val="1A1410"/>
          <w:sz w:val="22"/>
          <w:szCs w:val="22"/>
        </w:rPr>
        <w:t xml:space="preserve">Several individual capabilities exist in adjacent categories. The Kuja Grant differentiation is combining them with grant lifecycle + AI compliance. The precedents:</w:t>
      </w:r>
    </w:p>
    <w:p>
      <w:pPr>
        <w:pStyle w:val="ListParagraph"/>
        <w:numPr>
          <w:ilvl w:val="0"/>
          <w:numId w:val="2"/>
        </w:numPr>
        <w:spacing w:after="60" w:before="30" w:line="280"/>
      </w:pPr>
      <w:r>
        <w:rPr>
          <w:rFonts w:ascii="Arial" w:cs="Arial" w:eastAsia="Arial" w:hAnsi="Arial"/>
          <w:b/>
          <w:bCs/>
          <w:color w:val="1A1410"/>
          <w:sz w:val="22"/>
          <w:szCs w:val="22"/>
        </w:rPr>
        <w:t xml:space="preserve">WhatsApp middleware: </w:t>
      </w:r>
      <w:r>
        <w:rPr>
          <w:rFonts w:ascii="Arial" w:cs="Arial" w:eastAsia="Arial" w:hAnsi="Arial"/>
          <w:color w:val="1A1410"/>
          <w:sz w:val="22"/>
          <w:szCs w:val="22"/>
        </w:rPr>
        <w:t xml:space="preserve">Glific (Project Tech4Dev, India — 110+ NGOs, 100M+ messages); Turn.io (Cape Town — WHO 14.7M users, CARE Bangladesh 34.2M). Neither does grant management.</w:t>
      </w:r>
    </w:p>
    <w:p>
      <w:pPr>
        <w:pStyle w:val="ListParagraph"/>
        <w:numPr>
          <w:ilvl w:val="0"/>
          <w:numId w:val="2"/>
        </w:numPr>
        <w:spacing w:after="60" w:before="30" w:line="280"/>
      </w:pPr>
      <w:r>
        <w:rPr>
          <w:rFonts w:ascii="Arial" w:cs="Arial" w:eastAsia="Arial" w:hAnsi="Arial"/>
          <w:b/>
          <w:bCs/>
          <w:color w:val="1A1410"/>
          <w:sz w:val="22"/>
          <w:szCs w:val="22"/>
        </w:rPr>
        <w:t xml:space="preserve">Voice-to-text in M&amp;E: </w:t>
      </w:r>
      <w:r>
        <w:rPr>
          <w:rFonts w:ascii="Arial" w:cs="Arial" w:eastAsia="Arial" w:hAnsi="Arial"/>
          <w:color w:val="1A1410"/>
          <w:sz w:val="22"/>
          <w:szCs w:val="22"/>
        </w:rPr>
        <w:t xml:space="preserve">KoboToolbox + CLEAR Global (Translators without Borders) — 80 languages auto-transcription via Google Cloud. M&amp;E, not GMS.</w:t>
      </w:r>
    </w:p>
    <w:p>
      <w:pPr>
        <w:pStyle w:val="ListParagraph"/>
        <w:numPr>
          <w:ilvl w:val="0"/>
          <w:numId w:val="2"/>
        </w:numPr>
        <w:spacing w:after="60" w:before="30" w:line="280"/>
      </w:pPr>
      <w:r>
        <w:rPr>
          <w:rFonts w:ascii="Arial" w:cs="Arial" w:eastAsia="Arial" w:hAnsi="Arial"/>
          <w:b/>
          <w:bCs/>
          <w:color w:val="1A1410"/>
          <w:sz w:val="22"/>
          <w:szCs w:val="22"/>
        </w:rPr>
        <w:t xml:space="preserve">Offline / low-bandwidth: </w:t>
      </w:r>
      <w:r>
        <w:rPr>
          <w:rFonts w:ascii="Arial" w:cs="Arial" w:eastAsia="Arial" w:hAnsi="Arial"/>
          <w:color w:val="1A1410"/>
          <w:sz w:val="22"/>
          <w:szCs w:val="22"/>
        </w:rPr>
        <w:t xml:space="preserve">CommCare (Dimagi — 700K users in 80+ countries), KoboToolbox, SurveyCTO, DHIS2. M&amp;E and field data collection, not GMS.</w:t>
      </w:r>
    </w:p>
    <w:p>
      <w:pPr>
        <w:pStyle w:val="ListParagraph"/>
        <w:numPr>
          <w:ilvl w:val="0"/>
          <w:numId w:val="2"/>
        </w:numPr>
        <w:spacing w:after="60" w:before="30" w:line="280"/>
      </w:pPr>
      <w:r>
        <w:rPr>
          <w:rFonts w:ascii="Arial" w:cs="Arial" w:eastAsia="Arial" w:hAnsi="Arial"/>
          <w:b/>
          <w:bCs/>
          <w:color w:val="1A1410"/>
          <w:sz w:val="22"/>
          <w:szCs w:val="22"/>
        </w:rPr>
        <w:t xml:space="preserve">UI localization: </w:t>
      </w:r>
      <w:r>
        <w:rPr>
          <w:rFonts w:ascii="Arial" w:cs="Arial" w:eastAsia="Arial" w:hAnsi="Arial"/>
          <w:color w:val="1A1410"/>
          <w:sz w:val="22"/>
          <w:szCs w:val="22"/>
        </w:rPr>
        <w:t xml:space="preserve">Submittable — 50 UI languages including Kiswahili and Soomaaliga (paywall, UI-only, RTL incomplete).</w:t>
      </w:r>
    </w:p>
    <w:p>
      <w:pPr>
        <w:pStyle w:val="Heading2"/>
        <w:spacing w:after="140" w:before="280"/>
      </w:pPr>
      <w:r>
        <w:rPr>
          <w:rFonts w:ascii="Arial" w:cs="Arial" w:eastAsia="Arial" w:hAnsi="Arial"/>
          <w:b/>
          <w:bCs/>
          <w:color w:val="7C2D12"/>
          <w:sz w:val="28"/>
          <w:szCs w:val="28"/>
        </w:rPr>
        <w:t xml:space="preserve">4.3 Elevate — competitive landscape</w:t>
      </w:r>
    </w:p>
    <w:p>
      <w:pPr>
        <w:spacing w:after="80" w:before="60" w:line="280"/>
        <w:jc w:val="left"/>
      </w:pPr>
      <w:r>
        <w:rPr>
          <w:rFonts w:ascii="Arial" w:cs="Arial" w:eastAsia="Arial" w:hAnsi="Arial"/>
          <w:color w:val="1A1410"/>
          <w:sz w:val="22"/>
          <w:szCs w:val="22"/>
        </w:rPr>
        <w:t xml:space="preserve">Elevate competes against the stitched enterprise stack and against Big-4 advisory firms. Detail in Elevate Market Analysis Sections 5-7.</w:t>
      </w:r>
    </w:p>
    <w:p>
      <w:pPr>
        <w:pStyle w:val="ListParagraph"/>
        <w:numPr>
          <w:ilvl w:val="0"/>
          <w:numId w:val="2"/>
        </w:numPr>
        <w:spacing w:after="60" w:before="30" w:line="280"/>
      </w:pPr>
      <w:r>
        <w:rPr>
          <w:rFonts w:ascii="Arial" w:cs="Arial" w:eastAsia="Arial" w:hAnsi="Arial"/>
          <w:b/>
          <w:bCs/>
          <w:color w:val="1A1410"/>
          <w:sz w:val="22"/>
          <w:szCs w:val="22"/>
        </w:rPr>
        <w:t xml:space="preserve">Stitched stack incumbents: </w:t>
      </w:r>
      <w:r>
        <w:rPr>
          <w:rFonts w:ascii="Arial" w:cs="Arial" w:eastAsia="Arial" w:hAnsi="Arial"/>
          <w:color w:val="1A1410"/>
          <w:sz w:val="22"/>
          <w:szCs w:val="22"/>
        </w:rPr>
        <w:t xml:space="preserve">Salesforce NPC, LinkSquares (CLM), BoardEffect (board), ClearPoint Strategy (KPIs), Onspring (policy), Asana Advanced (projects). Year-1 TCO: $184K.</w:t>
      </w:r>
    </w:p>
    <w:p>
      <w:pPr>
        <w:pStyle w:val="ListParagraph"/>
        <w:numPr>
          <w:ilvl w:val="0"/>
          <w:numId w:val="2"/>
        </w:numPr>
        <w:spacing w:after="60" w:before="30" w:line="280"/>
      </w:pPr>
      <w:r>
        <w:rPr>
          <w:rFonts w:ascii="Arial" w:cs="Arial" w:eastAsia="Arial" w:hAnsi="Arial"/>
          <w:b/>
          <w:bCs/>
          <w:color w:val="1A1410"/>
          <w:sz w:val="22"/>
          <w:szCs w:val="22"/>
        </w:rPr>
        <w:t xml:space="preserve">Big-4 advisory: </w:t>
      </w:r>
      <w:r>
        <w:rPr>
          <w:rFonts w:ascii="Arial" w:cs="Arial" w:eastAsia="Arial" w:hAnsi="Arial"/>
          <w:color w:val="1A1410"/>
          <w:sz w:val="22"/>
          <w:szCs w:val="22"/>
        </w:rPr>
        <w:t xml:space="preserve">Deloitte, PwC, KPMG, EY in their nonprofit practice areas. $1,500-$3,000/day; Elevate Advisory $35K-$120K total engagement.</w:t>
      </w:r>
    </w:p>
    <w:p>
      <w:pPr>
        <w:pStyle w:val="Heading1"/>
        <w:pageBreakBefore/>
        <w:spacing w:after="200" w:before="320"/>
      </w:pPr>
      <w:r>
        <w:rPr>
          <w:rFonts w:ascii="Arial" w:cs="Arial" w:eastAsia="Arial" w:hAnsi="Arial"/>
          <w:b/>
          <w:bCs/>
          <w:color w:val="C2410C"/>
          <w:sz w:val="36"/>
          <w:szCs w:val="36"/>
        </w:rPr>
        <w:t xml:space="preserve">5. Synchronization Checklist</w:t>
      </w:r>
    </w:p>
    <w:p>
      <w:pPr>
        <w:spacing w:after="80" w:before="60" w:line="280"/>
        <w:jc w:val="left"/>
      </w:pPr>
      <w:r>
        <w:rPr>
          <w:rFonts w:ascii="Arial" w:cs="Arial" w:eastAsia="Arial" w:hAnsi="Arial"/>
          <w:color w:val="1A1410"/>
          <w:sz w:val="22"/>
          <w:szCs w:val="22"/>
        </w:rPr>
        <w:t xml:space="preserve">When updating any number that appears in this brief, propagate to all artifacts. The order matters.</w:t>
      </w:r>
    </w:p>
    <w:p>
      <w:pPr>
        <w:pStyle w:val="Heading2"/>
        <w:spacing w:after="140" w:before="280"/>
      </w:pPr>
      <w:r>
        <w:rPr>
          <w:rFonts w:ascii="Arial" w:cs="Arial" w:eastAsia="Arial" w:hAnsi="Arial"/>
          <w:b/>
          <w:bCs/>
          <w:color w:val="7C2D12"/>
          <w:sz w:val="28"/>
          <w:szCs w:val="28"/>
        </w:rPr>
        <w:t xml:space="preserve">5.1 Update order</w:t>
      </w:r>
    </w:p>
    <w:p>
      <w:pPr>
        <w:pStyle w:val="ListParagraph"/>
        <w:numPr>
          <w:ilvl w:val="0"/>
          <w:numId w:val="2"/>
        </w:numPr>
        <w:spacing w:after="60" w:before="30" w:line="280"/>
      </w:pPr>
      <w:r>
        <w:rPr>
          <w:rFonts w:ascii="Arial" w:cs="Arial" w:eastAsia="Arial" w:hAnsi="Arial"/>
          <w:b/>
          <w:bCs/>
          <w:color w:val="1A1410"/>
          <w:sz w:val="22"/>
          <w:szCs w:val="22"/>
        </w:rPr>
        <w:t xml:space="preserve">1. This brief first. </w:t>
      </w:r>
      <w:r>
        <w:rPr>
          <w:rFonts w:ascii="Arial" w:cs="Arial" w:eastAsia="Arial" w:hAnsi="Arial"/>
          <w:color w:val="1A1410"/>
          <w:sz w:val="22"/>
          <w:szCs w:val="22"/>
        </w:rPr>
        <w:t xml:space="preserve">Update the canonical number in Section 3.</w:t>
      </w:r>
    </w:p>
    <w:p>
      <w:pPr>
        <w:pStyle w:val="ListParagraph"/>
        <w:numPr>
          <w:ilvl w:val="0"/>
          <w:numId w:val="2"/>
        </w:numPr>
        <w:spacing w:after="60" w:before="30" w:line="280"/>
      </w:pPr>
      <w:r>
        <w:rPr>
          <w:rFonts w:ascii="Arial" w:cs="Arial" w:eastAsia="Arial" w:hAnsi="Arial"/>
          <w:b/>
          <w:bCs/>
          <w:color w:val="1A1410"/>
          <w:sz w:val="22"/>
          <w:szCs w:val="22"/>
        </w:rPr>
        <w:t xml:space="preserve">2. The deeper document. </w:t>
      </w:r>
      <w:r>
        <w:rPr>
          <w:rFonts w:ascii="Arial" w:cs="Arial" w:eastAsia="Arial" w:hAnsi="Arial"/>
          <w:color w:val="1A1410"/>
          <w:sz w:val="22"/>
          <w:szCs w:val="22"/>
        </w:rPr>
        <w:t xml:space="preserve">Update the Grant MA, Elevate MA, or Strategy section where the number originates.</w:t>
      </w:r>
    </w:p>
    <w:p>
      <w:pPr>
        <w:pStyle w:val="ListParagraph"/>
        <w:numPr>
          <w:ilvl w:val="0"/>
          <w:numId w:val="2"/>
        </w:numPr>
        <w:spacing w:after="60" w:before="30" w:line="280"/>
      </w:pPr>
      <w:r>
        <w:rPr>
          <w:rFonts w:ascii="Arial" w:cs="Arial" w:eastAsia="Arial" w:hAnsi="Arial"/>
          <w:b/>
          <w:bCs/>
          <w:color w:val="1A1410"/>
          <w:sz w:val="22"/>
          <w:szCs w:val="22"/>
        </w:rPr>
        <w:t xml:space="preserve">3. The pitch decks. </w:t>
      </w:r>
      <w:r>
        <w:rPr>
          <w:rFonts w:ascii="Arial" w:cs="Arial" w:eastAsia="Arial" w:hAnsi="Arial"/>
          <w:color w:val="1A1410"/>
          <w:sz w:val="22"/>
          <w:szCs w:val="22"/>
        </w:rPr>
        <w:t xml:space="preserve">Re-pull from updated source. Decks always reflect the doc, not the other way around.</w:t>
      </w:r>
    </w:p>
    <w:p>
      <w:pPr>
        <w:pStyle w:val="ListParagraph"/>
        <w:numPr>
          <w:ilvl w:val="0"/>
          <w:numId w:val="2"/>
        </w:numPr>
        <w:spacing w:after="60" w:before="30" w:line="280"/>
      </w:pPr>
      <w:r>
        <w:rPr>
          <w:rFonts w:ascii="Arial" w:cs="Arial" w:eastAsia="Arial" w:hAnsi="Arial"/>
          <w:b/>
          <w:bCs/>
          <w:color w:val="1A1410"/>
          <w:sz w:val="22"/>
          <w:szCs w:val="22"/>
        </w:rPr>
        <w:t xml:space="preserve">4. Verify cross-references. </w:t>
      </w:r>
      <w:r>
        <w:rPr>
          <w:rFonts w:ascii="Arial" w:cs="Arial" w:eastAsia="Arial" w:hAnsi="Arial"/>
          <w:color w:val="1A1410"/>
          <w:sz w:val="22"/>
          <w:szCs w:val="22"/>
        </w:rPr>
        <w:t xml:space="preserve">Where one doc cites another (e.g., "see Grant MA Section 6"), confirm the referenced section still exists.</w:t>
      </w:r>
    </w:p>
    <w:p>
      <w:pPr>
        <w:pStyle w:val="Heading2"/>
        <w:spacing w:after="140" w:before="280"/>
      </w:pPr>
      <w:r>
        <w:rPr>
          <w:rFonts w:ascii="Arial" w:cs="Arial" w:eastAsia="Arial" w:hAnsi="Arial"/>
          <w:b/>
          <w:bCs/>
          <w:color w:val="7C2D12"/>
          <w:sz w:val="28"/>
          <w:szCs w:val="28"/>
        </w:rPr>
        <w:t xml:space="preserve">5.2 Things to check before any external use</w:t>
      </w:r>
    </w:p>
    <w:p>
      <w:pPr>
        <w:pStyle w:val="ListParagraph"/>
        <w:numPr>
          <w:ilvl w:val="0"/>
          <w:numId w:val="2"/>
        </w:numPr>
        <w:spacing w:after="60" w:before="30" w:line="280"/>
      </w:pPr>
      <w:r>
        <w:rPr>
          <w:rFonts w:ascii="Arial" w:cs="Arial" w:eastAsia="Arial" w:hAnsi="Arial"/>
          <w:color w:val="1A1410"/>
          <w:sz w:val="22"/>
          <w:szCs w:val="22"/>
        </w:rPr>
        <w:t xml:space="preserve">Version label on cover page matches the artifact filename.</w:t>
      </w:r>
    </w:p>
    <w:p>
      <w:pPr>
        <w:pStyle w:val="ListParagraph"/>
        <w:numPr>
          <w:ilvl w:val="0"/>
          <w:numId w:val="2"/>
        </w:numPr>
        <w:spacing w:after="60" w:before="30" w:line="280"/>
      </w:pPr>
      <w:r>
        <w:rPr>
          <w:rFonts w:ascii="Arial" w:cs="Arial" w:eastAsia="Arial" w:hAnsi="Arial"/>
          <w:color w:val="1A1410"/>
          <w:sz w:val="22"/>
          <w:szCs w:val="22"/>
        </w:rPr>
        <w:t xml:space="preserve">Localization figure framing — 7.5% (ALNAP direct+indirect) or 3.8% (DI direct) — is explicit about which definition.</w:t>
      </w:r>
    </w:p>
    <w:p>
      <w:pPr>
        <w:pStyle w:val="ListParagraph"/>
        <w:numPr>
          <w:ilvl w:val="0"/>
          <w:numId w:val="2"/>
        </w:numPr>
        <w:spacing w:after="60" w:before="30" w:line="280"/>
      </w:pPr>
      <w:r>
        <w:rPr>
          <w:rFonts w:ascii="Arial" w:cs="Arial" w:eastAsia="Arial" w:hAnsi="Arial"/>
          <w:color w:val="1A1410"/>
          <w:sz w:val="22"/>
          <w:szCs w:val="22"/>
        </w:rPr>
        <w:t xml:space="preserve">Competitor list mentions Foundant+SmartSimple consolidation (post-acquisition).</w:t>
      </w:r>
    </w:p>
    <w:p>
      <w:pPr>
        <w:pStyle w:val="ListParagraph"/>
        <w:numPr>
          <w:ilvl w:val="0"/>
          <w:numId w:val="2"/>
        </w:numPr>
        <w:spacing w:after="60" w:before="30" w:line="280"/>
      </w:pPr>
      <w:r>
        <w:rPr>
          <w:rFonts w:ascii="Arial" w:cs="Arial" w:eastAsia="Arial" w:hAnsi="Arial"/>
          <w:color w:val="1A1410"/>
          <w:sz w:val="22"/>
          <w:szCs w:val="22"/>
        </w:rPr>
        <w:t xml:space="preserve">GMS TAM citations name Mordor + Grand View as the convergent sources.</w:t>
      </w:r>
    </w:p>
    <w:p>
      <w:pPr>
        <w:pStyle w:val="ListParagraph"/>
        <w:numPr>
          <w:ilvl w:val="0"/>
          <w:numId w:val="2"/>
        </w:numPr>
        <w:spacing w:after="60" w:before="30" w:line="280"/>
      </w:pPr>
      <w:r>
        <w:rPr>
          <w:rFonts w:ascii="Arial" w:cs="Arial" w:eastAsia="Arial" w:hAnsi="Arial"/>
          <w:color w:val="1A1410"/>
          <w:sz w:val="22"/>
          <w:szCs w:val="22"/>
        </w:rPr>
        <w:t xml:space="preserve">Accessibility narrative acknowledges Glific, Turn.io, Kobo+CLEAR Global, CommCare as precedents — the combination is the moat, not any single feature.</w:t>
      </w:r>
    </w:p>
    <w:p>
      <w:pPr>
        <w:pStyle w:val="ListParagraph"/>
        <w:numPr>
          <w:ilvl w:val="0"/>
          <w:numId w:val="2"/>
        </w:numPr>
        <w:spacing w:after="60" w:before="30" w:line="280"/>
      </w:pPr>
      <w:r>
        <w:rPr>
          <w:rFonts w:ascii="Arial" w:cs="Arial" w:eastAsia="Arial" w:hAnsi="Arial"/>
          <w:color w:val="1A1410"/>
          <w:sz w:val="22"/>
          <w:szCs w:val="22"/>
        </w:rPr>
        <w:t xml:space="preserve">Pricing tables match this brief Section 3.7.</w:t>
      </w:r>
    </w:p>
    <w:p>
      <w:pPr>
        <w:pStyle w:val="ListParagraph"/>
        <w:numPr>
          <w:ilvl w:val="0"/>
          <w:numId w:val="2"/>
        </w:numPr>
        <w:spacing w:after="60" w:before="30" w:line="280"/>
      </w:pPr>
      <w:r>
        <w:rPr>
          <w:rFonts w:ascii="Arial" w:cs="Arial" w:eastAsia="Arial" w:hAnsi="Arial"/>
          <w:color w:val="1A1410"/>
          <w:sz w:val="22"/>
          <w:szCs w:val="22"/>
        </w:rPr>
        <w:t xml:space="preserve">Adeso is positioned as the reference customer running Kuja Grant + Kuja Elevate in production — and, since July 2026, operating the Proximate Fund and its own donor-grant compliance on the same Grant engine (second dogfooding proof).</w:t>
      </w:r>
    </w:p>
    <w:p>
      <w:pPr>
        <w:pStyle w:val="ListParagraph"/>
        <w:numPr>
          <w:ilvl w:val="0"/>
          <w:numId w:val="2"/>
        </w:numPr>
        <w:spacing w:after="60" w:before="30" w:line="280"/>
      </w:pPr>
      <w:r>
        <w:rPr>
          <w:rFonts w:ascii="Arial" w:cs="Arial" w:eastAsia="Arial" w:hAnsi="Arial"/>
          <w:color w:val="1A1410"/>
          <w:sz w:val="22"/>
          <w:szCs w:val="22"/>
        </w:rPr>
        <w:t xml:space="preserve">NEAR is positioned as lead pilot prospect — not a current paying client.</w:t>
      </w:r>
    </w:p>
    <w:p>
      <w:pPr>
        <w:pStyle w:val="ListParagraph"/>
        <w:numPr>
          <w:ilvl w:val="0"/>
          <w:numId w:val="2"/>
        </w:numPr>
        <w:spacing w:after="60" w:before="30" w:line="280"/>
      </w:pPr>
      <w:r>
        <w:rPr>
          <w:rFonts w:ascii="Arial" w:cs="Arial" w:eastAsia="Arial" w:hAnsi="Arial"/>
          <w:color w:val="1A1410"/>
          <w:sz w:val="22"/>
          <w:szCs w:val="22"/>
        </w:rPr>
        <w:t xml:space="preserve">Kuja Grant is described as ONE engine with THREE tenant flavors (Marketplace open · NEAR formal vetting · Proximate relational validation) — never "two flavors". The full-trust-spectrum claim requires all three.</w:t>
      </w:r>
    </w:p>
    <w:p>
      <w:pPr>
        <w:pStyle w:val="ListParagraph"/>
        <w:numPr>
          <w:ilvl w:val="0"/>
          <w:numId w:val="2"/>
        </w:numPr>
        <w:spacing w:after="60" w:before="30" w:line="280"/>
      </w:pPr>
      <w:r>
        <w:rPr>
          <w:rFonts w:ascii="Arial" w:cs="Arial" w:eastAsia="Arial" w:hAnsi="Arial"/>
          <w:color w:val="1A1410"/>
          <w:sz w:val="22"/>
          <w:szCs w:val="22"/>
        </w:rPr>
        <w:t xml:space="preserve">The Proximate Fund is positioned as LIVE in production (July 2026) — Sudan crisis context, relational validation, hawala + mobile money rails, zero-login Arabic voice flows — not as a plan or pilot concept.</w:t>
      </w:r>
    </w:p>
    <w:p>
      <w:pPr>
        <w:pStyle w:val="ListParagraph"/>
        <w:numPr>
          <w:ilvl w:val="0"/>
          <w:numId w:val="2"/>
        </w:numPr>
        <w:spacing w:after="60" w:before="30" w:line="280"/>
      </w:pPr>
      <w:r>
        <w:rPr>
          <w:rFonts w:ascii="Arial" w:cs="Arial" w:eastAsia="Arial" w:hAnsi="Arial"/>
          <w:color w:val="1A1410"/>
          <w:sz w:val="22"/>
          <w:szCs w:val="22"/>
        </w:rPr>
        <w:t xml:space="preserve">Grant materials include the donor-compliance loop: AI extraction of the signed agreement → automatic restriction enforcement at disbursement → live deliverables tracking → per-requirement compliance scoring → AI-drafted reports → donor pack PDF. This is how Adeso complies with the grants that fund Proximate.</w:t>
      </w:r>
    </w:p>
    <w:p>
      <w:pPr>
        <w:pStyle w:val="Heading1"/>
        <w:pageBreakBefore/>
        <w:spacing w:after="200" w:before="320"/>
      </w:pPr>
      <w:r>
        <w:rPr>
          <w:rFonts w:ascii="Arial" w:cs="Arial" w:eastAsia="Arial" w:hAnsi="Arial"/>
          <w:b/>
          <w:bCs/>
          <w:color w:val="C2410C"/>
          <w:sz w:val="36"/>
          <w:szCs w:val="36"/>
        </w:rPr>
        <w:t xml:space="preserve">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Date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Version</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Changes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Jul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V3.7 + V10 + BRD v7.0 + Cohesion Brief V2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Proximate Fund live as third Grant tenant. Strategy V3.6→V3.7 (full trust spectrum + donor-compliance loop in Section 4.2 and 12.5). Portfolio Deck V9→V10 (trust-spectrum slide). Grant BRD v7.0 (NEW — burden inversion, SoP-as-software, 46 Proximate requirements). Grant MA July addendum. This brief updated to nine artifacts + three new sync checks.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V3.6 + V9 + Cohesion Brief V1</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Strategy V3.5→V3.6 with verified Grant MA findings (Foundant+SmartSimple consolidation; sharpened localization framing; accessibility precedents acknowledged). Portfolio Deck V8→V9 with consolidated 7-vendor matrix slide. Grant Market Analysis (NEW). Cohesion Brief (NEW).</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 (earlier)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V3.5 + V8 + Elevate MA + Grant Deck V2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Strategy V3.4→V3.5 Elevate reposition (Platform + Advisory, 11 module families). Portfolio Deck V7→V8 professional rebuild. Elevate Market Analysis (NEW). Grant Pitch Deck V2 (NEW).</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 (earliest)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V3.2 / V3.3 / V3.4</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V3.2: web-researched market sizing + competitor pricing + AI adoption with citations. V3.3: NEAR positioning correction. V3.4: ERP positioning (standalone-but-integrated; opt-in/fallback; donor-sponsored primary).</w:t>
            </w:r>
          </w:p>
        </w:tc>
      </w:tr>
    </w:tbl>
    <w:p>
      <w:pPr>
        <w:spacing w:after="80" w:before="60" w:line="280"/>
        <w:jc w:val="left"/>
      </w:pPr>
      <w:r>
        <w:rPr>
          <w:rFonts w:ascii="Arial" w:cs="Arial" w:eastAsia="Arial" w:hAnsi="Arial"/>
          <w:color w:val="1A1410"/>
          <w:sz w:val="22"/>
          <w:szCs w:val="22"/>
        </w:rPr>
        <w:t xml:space="preserve">End of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660"/>
        <w:sz w:val="18"/>
        <w:szCs w:val="18"/>
      </w:rPr>
      <w:t xml:space="preserve">Page </w:t>
    </w:r>
    <w:r>
      <w:rPr>
        <w:rFonts w:ascii="Arial" w:cs="Arial" w:eastAsia="Arial" w:hAnsi="Arial"/>
        <w:color w:val="6B6660"/>
        <w:sz w:val="18"/>
        <w:szCs w:val="18"/>
      </w:rPr>
      <w:fldChar w:fldCharType="begin"/>
      <w:instrText xml:space="preserve">PAGE</w:instrText>
      <w:fldChar w:fldCharType="separate"/>
      <w:fldChar w:fldCharType="end"/>
    </w:r>
    <w:r>
      <w:rPr>
        <w:rFonts w:ascii="Arial" w:cs="Arial" w:eastAsia="Arial" w:hAnsi="Arial"/>
        <w:color w:val="6B6660"/>
        <w:sz w:val="18"/>
        <w:szCs w:val="18"/>
      </w:rPr>
      <w:t xml:space="preserve">  ·  Adeso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6660"/>
        <w:spacing w:val="30"/>
        <w:sz w:val="16"/>
        <w:szCs w:val="16"/>
      </w:rPr>
      <w:t xml:space="preserve">KUJA STRATEGY — COHESION BRIEF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2410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2026-07-06T00:55:05.327Z</dcterms:created>
  <dcterms:modified xsi:type="dcterms:W3CDTF">2026-07-06T00:55:05.329Z</dcterms:modified>
</cp:coreProperties>
</file>

<file path=docProps/custom.xml><?xml version="1.0" encoding="utf-8"?>
<Properties xmlns="http://schemas.openxmlformats.org/officeDocument/2006/custom-properties" xmlns:vt="http://schemas.openxmlformats.org/officeDocument/2006/docPropsVTypes"/>
</file>