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410"/>
          <w:sz w:val="40"/>
          <w:szCs w:val="40"/>
        </w:rPr>
        <w:t xml:space="preserve">Portable Trust Profile &amp; Capacity Passport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Feature &amp; Technical Specification — as-is</w:t>
      </w:r>
    </w:p>
    <w:p>
      <w:pPr>
        <w:spacing w:after="40" w:before="80"/>
      </w:pPr>
      <w:r>
        <w:rPr>
          <w:rFonts w:ascii="Arial" w:cs="Arial" w:eastAsia="Arial" w:hAnsi="Arial"/>
          <w:color w:val="6B655F"/>
          <w:sz w:val="19"/>
          <w:szCs w:val="19"/>
        </w:rPr>
        <w:t xml:space="preserve">Kuja Grant Management System · production build f54ec732e · 25 July 2026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B655F"/>
          <w:sz w:val="19"/>
          <w:szCs w:val="19"/>
        </w:rPr>
        <w:t xml:space="preserve">Baseline for spinning the feature out as a standalone product. This documents what is built today, not an aspiration; where something is thin or unproven, it says so. Companion references: the Charter for Change (C4C) Due Diligence Passporting Tool and the Humentum passporting model — their relationship to the feature is in section 4.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An NGO completes its capacity assessment and due diligence once. Kuja assembles that scattered evidence into a single, defensible Trust Profile, freezes it into a shareable, tamper-evident Capacity Passport, and — optionally — issues it as a W3C Verifiable Credential the NGO can carry off-platform and present to any funder, on Kuja or not. Every time a donor verifies it, the event is written to a hash-chained audit log the NGO can point back to.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problem: NGOs re-prove the same capacity and compliance facts to every donor, spending weeks per major application; each donor portal is a fresh silo. The passport pattern inverts this — verified once, accepted by many. This is the same problem the Charter for Change consortium built its Excel passporting tool to solve; Kuja’s implementation is a live, cryptographically-verifiable system rather than a signed spreadsheet.</w:t>
      </w:r>
    </w:p>
    <w:p>
      <w:pPr>
        <w:spacing w:after="80" w:before="10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Three layers, each usable on its own: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Layer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Consumer</w:t>
            </w:r>
          </w:p>
        </w:tc>
      </w:tr>
      <w:tr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Trust Profile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Read-only synthesis of all capacity + due-diligence evidence into two pillars and one composite score</w:t>
            </w:r>
          </w:p>
        </w:tc>
        <w:tc>
          <w:tcPr>
            <w:tcW w:type="dxa" w:w="2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Donors / reviewers inside the platform</w:t>
            </w:r>
          </w:p>
        </w:tc>
      </w:tr>
      <w:tr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Capacity Passport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 frozen, hashed snapshot of a Trust Profile with a shareable slug + token; publish / share / verify / revoke lifecycle</w:t>
            </w:r>
          </w:p>
        </w:tc>
        <w:tc>
          <w:tcPr>
            <w:tcW w:type="dxa" w:w="2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Donors outside the donor portal — token link or public page</w:t>
            </w:r>
          </w:p>
        </w:tc>
      </w:tr>
      <w:tr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Verifiable Credential</w:t>
            </w:r>
          </w:p>
        </w:tc>
        <w:tc>
          <w:tcPr>
            <w:tcW w:type="dxa" w:w="5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An Ed25519-signed W3C VC over the passport, resolvable via did:web, revocable via StatusList2021</w:t>
            </w:r>
          </w:p>
        </w:tc>
        <w:tc>
          <w:tcPr>
            <w:tcW w:type="dxa" w:w="2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Any third party, fully off-platform, no Kuja round-trip</w:t>
            </w:r>
          </w:p>
        </w:tc>
      </w:tr>
    </w:tbl>
    <w:p>
      <w:pPr>
        <w:pStyle w:val="Heading1"/>
      </w:pPr>
      <w:r>
        <w:t xml:space="preserve">2. Concept model</w:t>
      </w:r>
    </w:p>
    <w:p>
      <w:pPr>
        <w:pStyle w:val="Heading2"/>
      </w:pPr>
      <w:r>
        <w:t xml:space="preserve">The two pillars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CAPACITY PROFILE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“what the NGO can do.” Up to five framework assessments, each scored 0–100, combined into a weighted composite.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DUE DILIGENCE PROFILE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“whether the NGO is safe to fund.” Six components (registration, sanctions, PEP, adverse media, bank verification, beneficial ownership), each scored and weighted.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OVERALL / composite trust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 = the average of the two pillar scores. The status is the worst of the two pillars, reconciled against the composite score band, so a strong capacity score can never mask a flagged due-diligence pillar (this was a real production bug fix — see section 6).</w:t>
      </w:r>
    </w:p>
    <w:p>
      <w:pPr>
        <w:pStyle w:val="Heading2"/>
      </w:pPr>
      <w:r>
        <w:t xml:space="preserve">The passport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 published passport is an immutable snapshot: it copies the entire Trust Profile at publish time, computes a SHA-256 over the canonicalised JSON (snapshot_hash), and mints a URL-safe slug (~96 bits) plus an opaque share_token (~192 bits). The NGO controls expiry and revocation. One active passport per org at a time — a new publish supersedes and revokes the previous — so verification is deterministic.</w:t>
      </w:r>
    </w:p>
    <w:p>
      <w:pPr>
        <w:pStyle w:val="Heading2"/>
      </w:pPr>
      <w:r>
        <w:t xml:space="preserve">The verifiable credential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optional VC layer wraps the passport’s headline scores in a W3C VC-JSON-LD object, signs it with the platform’s Ed25519 key, and makes it verifiable by anyone who can resolve the platform’s did:web document — with no call back to Kuja. Revocation rides on a StatusList2021 bitstring.</w:t>
      </w:r>
    </w:p>
    <w:p>
      <w:pPr>
        <w:pStyle w:val="Heading1"/>
      </w:pPr>
      <w:r>
        <w:t xml:space="preserve">3. Data model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SQLAlchemy models in app/models/. SQLite in dev, Postgres in prod. JSON payloads stored as Text.</w:t>
      </w:r>
    </w:p>
    <w:p>
      <w:pPr>
        <w:pStyle w:val="Heading2"/>
      </w:pPr>
      <w:r>
        <w:t xml:space="preserve">assessments — capacity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str(50)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kuja, step, un_hact, chs, nupas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assess_type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str(50)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free / paid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str(50)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draft / in_progress / completed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overall_score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0–100, nullable until scored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category_scores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JSON dict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per-category sub-scores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checklist_responses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JSON dict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raw question answers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gaps</w:t>
            </w:r>
          </w:p>
        </w:tc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JSON array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strings or {category, score, description} dicts</w:t>
            </w:r>
          </w:p>
        </w:tc>
      </w:tr>
    </w:tbl>
    <w:p>
      <w:pPr>
        <w:pStyle w:val="Heading2"/>
      </w:pPr>
      <w:r>
        <w:t xml:space="preserve">compliance_checks — sanctions / PEP /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check_type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sanctions_un, sanctions_ofac, sanctions_eu, blacklist, registration, sanctions_personnel, pep_screening, keyword_screening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clear / flagged / pending / error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JSON — matched entities, list name, scores</w:t>
            </w:r>
          </w:p>
        </w:tc>
      </w:tr>
    </w:tbl>
    <w:p>
      <w:pPr>
        <w:pStyle w:val="Heading2"/>
      </w:pPr>
      <w:r>
        <w:t xml:space="preserve">registration_verifications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status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: unverified / pending / ai_reviewed / verified / flagged / expired. Carries registration_number, authority, registry_check_result (JSON), registration/expiry dates, ai_analysis + ai_confidence (0–100), registry_url, and human verification fields (verified_by, verified_at, notes).</w:t>
      </w:r>
    </w:p>
    <w:p>
      <w:pPr>
        <w:pStyle w:val="Heading2"/>
      </w:pPr>
      <w:r>
        <w:t xml:space="preserve">capacity_passports — the passport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int PK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Also the StatusList2021 bit index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slug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str(32) unique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token_urlsafe(16) → 22 chars, ~96 bits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share_token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str(64)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token_urlsafe(24) → 32 chars, ~192 bits; the shared secret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snapshot_json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frozen full Trust Profile at publish time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snapshot_hash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str(64)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SHA-256 of canonical snapshot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str(16)</w:t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draft / active / revoked / expired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expires_at / revoked_at / revoked_reason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NULL expiry = no expiry</w:t>
            </w:r>
          </w:p>
        </w:tc>
      </w:tr>
      <w:tr>
        <w:tc>
          <w:tcPr>
            <w:tcW w:type="dxa" w:w="2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verification_count / last_verified_at</w:t>
            </w:r>
          </w:p>
        </w:tc>
        <w:tc>
          <w:tcPr>
            <w:tcW w:type="dxa" w:w="21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incremented on each token-valid view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Supporting screening tables: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AdverseMediaScreening (source ∈ anthropic_web_search / claude_training_knowledge), BankAccountVerification (risk-scored), and AuditChainEntry (the tamper-evident hash chain — section 10).</w:t>
      </w:r>
    </w:p>
    <w:p>
      <w:pPr>
        <w:pStyle w:val="Heading1"/>
      </w:pPr>
      <w:r>
        <w:t xml:space="preserve">4. Relationship to the recognised models (C4C / Humentum)</w:t>
      </w:r>
    </w:p>
    <w:p>
      <w:pPr>
        <w:pStyle w:val="Heading2"/>
      </w:pPr>
      <w:r>
        <w:t xml:space="preserve">What they 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Charter for Change (C4C) tool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a free multi-tab Excel workbook by seven INGOs (CAFOD, Christian Aid, CRS, Kerk in Actie, SCIAF, Trócaire, Tearfund) with Humentum, drawing on CHS Alliance, HQAI and Start Network. A Passporting Organization assesses a Partner Organization across seven domains, rates each 1–4 (1 = high risk, 4 = low risk/exceeds), records comments + “Agreed Areas of Organizational Strengthening”, both parties sign, and consent to share with future funders.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Humentum three-step model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(1) passporting org does the DD; (2) the completed tool passes to the receiving org; (3) the receiving org does reduced additional DD only where a specific area needs it.</w:t>
      </w:r>
    </w:p>
    <w:p>
      <w:pPr>
        <w:pStyle w:val="Heading2"/>
      </w:pPr>
      <w:r>
        <w:t xml:space="preserve">The C4C domain taxonomy (from the attached workbook)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C4C tab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Qs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Domain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General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1–5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Identity, prior assessments, contacts, funding history, geographic capacity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Governance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6–8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Registration, legal/tax compliance, board, governance docs, internal control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9–10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Strategic plan, annual work plan + budget, financial solvency outlook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Accountability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11–13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Complaints/whistleblowing, data protection, third-party (sub-recipient) risk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HR, Safeguarding &amp; Security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14–18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Org structure, HR policy, code of conduct, safe recruitment, safeguarding, security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Financial &amp; Asset Mgmt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19–25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Financial statements + audit, finance policy/team, procurement, asset register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Data &amp; IT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26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Data protection &amp; IT systems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Additional / Signatures / Checklist</w:t>
            </w:r>
          </w:p>
        </w:tc>
        <w:tc>
          <w:tcPr>
            <w:tcW w:type="dxa" w:w="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27+</w:t>
            </w:r>
          </w:p>
        </w:tc>
        <w:tc>
          <w:tcPr>
            <w:tcW w:type="dxa" w:w="62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Extensible criteria, mutual sign-off, evidence list</w:t>
            </w:r>
          </w:p>
        </w:tc>
      </w:tr>
    </w:tbl>
    <w:p>
      <w:pPr>
        <w:pStyle w:val="Heading2"/>
      </w:pPr>
      <w:r>
        <w:t xml:space="preserve">How Kuja maps — and where it is ahead / behind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C4C tool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Kuja today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Assessment substance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7 domains, 1–4 rating, human judgement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5 frameworks (Kuja/STEP/HACT/CHS/NUPAS), 0–100, sub-scores + gaps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Who assesses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Passporting org assesses partner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NGO self-assesses; DD run by platform/donor; no third-party assessor role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Due diligence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Manual, evidence-in-comments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Automated — live sanctions, AI adverse media, registration + bank checks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Artifact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Signed Excel, emailed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Snapshot + SHA-256 hash + share token + public page + signed VC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Trust the signed file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Cryptographic (did:web + Ed25519) + tamper-evident audit chain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Revocation / freshness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None (static file)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revoked / expired + StatusList2021 + expiry dates</w:t>
            </w:r>
          </w:p>
        </w:tc>
      </w:tr>
      <w:tr>
        <w:tc>
          <w:tcPr>
            <w:tcW w:type="dxa" w:w="22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Consortium recognition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Yes — C4C signatories</w:t>
            </w:r>
          </w:p>
        </w:tc>
        <w:tc>
          <w:tcPr>
            <w:tcW w:type="dxa" w:w="3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No — Kuja frameworks are not the C4C taxonomy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E" w:sz="1"/>
              <w:left w:val="single" w:color="1D4ED8" w:sz="18"/>
              <w:bottom w:val="single" w:color="EEF3FE" w:sz="1"/>
              <w:right w:val="single" w:color="EEF3FE" w:sz="1"/>
            </w:tcBorders>
            <w:shd w:fill="EEF3FE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Thesis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Kuja is technically far ahead (automated DD, cryptographic verification, audit chain) but its content model is not the one INGOs already recognise. The highest-leverage move for a standalone tool is to support the C4C domain taxonomy and 1–4 rubric as a first-class framework, and to add the assessing-organization role plus mutual sign-off / consent-to-share. C4C-recognised content plus Kuja’s verification machinery is the differentiated wedge (section 16).</w:t>
            </w:r>
          </w:p>
        </w:tc>
      </w:tr>
    </w:tbl>
    <w:p>
      <w:pPr>
        <w:pStyle w:val="Heading1"/>
      </w:pPr>
      <w:r>
        <w:t xml:space="preserve">5. Scoring engine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TrustProfileService.build(org_id)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is a read-only, deterministic assembler — it introduces no schema, it synthesises existing rows.</w:t>
      </w:r>
    </w:p>
    <w:p>
      <w:pPr>
        <w:pStyle w:val="Heading2"/>
      </w:pPr>
      <w:r>
        <w:t xml:space="preserve">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33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Capacity framework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Weight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Due-diligence component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kuja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30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20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sanctions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un_hact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20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adverse_media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chs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15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pep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nupas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15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bank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(sum 100)</w:t>
            </w:r>
          </w:p>
        </w:tc>
        <w:tc>
          <w:tcPr>
            <w:tcW w:type="dxa" w:w="1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100</w:t>
            </w:r>
          </w:p>
        </w:tc>
        <w:tc>
          <w:tcPr>
            <w:tcW w:type="dxa" w:w="33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ownership / (sum 100)</w:t>
            </w:r>
          </w:p>
        </w:tc>
        <w:tc>
          <w:tcPr>
            <w:tcW w:type="dxa" w:w="1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5 / 100</w:t>
            </w:r>
          </w:p>
        </w:tc>
      </w:tr>
    </w:tbl>
    <w:p>
      <w:pPr>
        <w:pStyle w:val="Heading2"/>
      </w:pPr>
      <w:r>
        <w:t xml:space="preserve">Status logic and the reconciliation rule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Per-pillar bands: &lt; 40 flagged, &lt; 70 review, ≥ 70 clear; zero completed inputs = incomplete. Overall status = the worst of {capacity status, diligence status, composite-score band}.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This exists because of two production bugs worth carrying forward as design constraints: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max(…, key=order.index) originally selected the best status, letting “Clear” survive a 28/100 flagged due-diligence pillar. Fixed to min.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Score and status were computed independently, so a banner could read “Due Diligence 28/100 · Clear”. Fixed by folding the composite score band into the same 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Gap — </w:t>
            </w:r>
            <w:r>
              <w:rPr>
                <w:rFonts w:ascii="Arial" w:cs="Arial" w:eastAsia="Arial" w:hAnsi="Arial"/>
                <w:b/>
                <w:bCs/>
                <w:color w:val="1A1410"/>
                <w:sz w:val="19"/>
                <w:szCs w:val="19"/>
              </w:rPr>
              <w:t xml:space="preserve">Design rule for the rebuild: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score and displayed status must derive from one reconciled computation, and a safety pillar must never be overridable by a capacity pillar.</w:t>
            </w:r>
          </w:p>
        </w:tc>
      </w:tr>
    </w:tbl>
    <w:p>
      <w:pPr>
        <w:pStyle w:val="Heading1"/>
      </w:pPr>
      <w:r>
        <w:t xml:space="preserve">6. Due-diligence sources (as wired today)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Sanctions / PEP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Primary OpenSanctions API (unified UN / OFAC / EU / World Bank); fallback direct list download (UN XML, OFAC SDN CSV, EU CSV). Plus SAM.gov Exclusions (US federal debarment).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Adverse media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Layer 1 Anthropic hosted web_search (Claude runs 2–5 targeted searches, structured findings via forced tool-use); Layer 2 fallback Claude training-knowledge, clearly labelled.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Registration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live registry check + AI analysis with a confidence score and human override.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Bank verification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risk-scored; 0 rows in production today (built, not exercised).</w:t>
      </w:r>
    </w:p>
    <w:p>
      <w:pPr>
        <w:pStyle w:val="Heading1"/>
      </w:pPr>
      <w:r>
        <w:t xml:space="preserve">7. Passport lifecycle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Publish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snapshots the current Trust Profile, revokes any existing active passport (one-active policy), mints slug + token, computes hash, and appends a capacity_passport.publish audit-chain entry. The share_token is returned only on the publish response.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Verify (token-gated)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constant-time token compare; rejects revoked/expired/non-active; on success increments verification_count, stamps last_verified_at, appends a capacity_passport.verify audit entry with an optional verifier label (audit clarity only), and returns the snapshot without the token.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Revoke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sets revoked, stamps reason, appends capacity_passport.revoke. Idempotent.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Public (no-token) share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the Wave-4 page reads /api/passport/share/&lt;slug&gt; and renders read-only; a revoked/expired passport returns 410 Gone. The token-bearing /trust/verify path remains the audited “who verified” surface.</w:t>
      </w:r>
    </w:p>
    <w:p>
      <w:pPr>
        <w:pStyle w:val="Heading1"/>
      </w:pPr>
      <w:r>
        <w:t xml:space="preserve">8. Verifiable Credentials layer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Phase 100. Deliberately simple and interoperable.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Suite: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Ed25519Signature2020, multibase base58btc proofValue. Signature over SHA-256(canonical_json(vc)).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Canonicalization (published for verifiers):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json.dumps(obj, sort_keys=True, separators=(’,’,’:’), ensure_ascii=False) — RFC-8259 sorted keys, no whitespace.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Issuer DID: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did:web, document at /.well-known/did.json under KUJA_PUBLIC_HOST.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Key storage: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KUJA_VC_SIGNING_KEY_HEX (32-byte Ed25519, hex). If unset a key is generated on boot with a logged warning — fine for dev, must be set in prod.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Revocation: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StatusList2021; bit index = CapacityPassport.id; bit 1 = revoked.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org name/country/type, capacity/diligence/composite + per-pillar scores, and snapshotHash tying the VC to the exact snapshot.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verify_credential(vc)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returns {valid, issuer_matches, signature_valid, status_active, expired, errors[]} and only accepts credentials from this issuer’s did:web.</w:t>
      </w:r>
    </w:p>
    <w:p>
      <w:pPr>
        <w:pStyle w:val="Heading1"/>
      </w:pPr>
      <w:r>
        <w:t xml:space="preserve">9. API reference</w:t>
      </w:r>
    </w:p>
    <w:p>
      <w:pPr>
        <w:pStyle w:val="Heading2"/>
      </w:pPr>
      <w:r>
        <w:t xml:space="preserve">Trust / passport (app/routes/trust_routes.py, prefix /api)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9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Path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/trust-profile/&lt;org_id&gt;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login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Unified two-pillar Trust Profile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/trust-profile/&lt;org_id&gt;/gap-insights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login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AI gap analysis (cached 30 min)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/adverse-media/screen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login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Run a screening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/passport/publish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own org / admin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Publish; returns token once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/passport/&lt;id&gt;/revoke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login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Revoke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/passport/share/&lt;slug&gt;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 snapshot (410 if revoked)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/passport/verify/&lt;slug&gt;?t=&lt;token&gt;</w:t>
            </w:r>
          </w:p>
        </w:tc>
        <w:tc>
          <w:tcPr>
            <w:tcW w:type="dxa" w:w="1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 + token</w:t>
            </w:r>
          </w:p>
        </w:tc>
        <w:tc>
          <w:tcPr>
            <w:tcW w:type="dxa" w:w="30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Token-gated verify (logs event)</w:t>
            </w:r>
          </w:p>
        </w:tc>
      </w:tr>
    </w:tbl>
    <w:p>
      <w:pPr>
        <w:pStyle w:val="Heading2"/>
      </w:pPr>
      <w:r>
        <w:t xml:space="preserve">Verifiable Credentials (app/routes/credentials_routes.py)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15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Auth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/.well-known/did.json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Issuer DID document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/.well-known/kuja-vc-context.jsonld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JSON-LD context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/api/passport/&lt;id&gt;/vc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owner / admin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Download signed VC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/api/credentials/status-list/2021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StatusList2021 revocation list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/api/credentials/verify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public, CORS-safe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Verify any Kuja-issued VC</w:t>
            </w:r>
          </w:p>
        </w:tc>
      </w:tr>
      <w:tr>
        <w:tc>
          <w:tcPr>
            <w:tcW w:type="dxa" w:w="10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/api/credentials/verifier-howto</w:t>
            </w:r>
          </w:p>
        </w:tc>
        <w:tc>
          <w:tcPr>
            <w:tcW w:type="dxa" w:w="15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public</w:t>
            </w:r>
          </w:p>
        </w:tc>
        <w:tc>
          <w:tcPr>
            <w:tcW w:type="dxa" w:w="29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Offline-verification instructions</w:t>
            </w:r>
          </w:p>
        </w:tc>
      </w:tr>
    </w:tbl>
    <w:p>
      <w:pPr>
        <w:pStyle w:val="Heading1"/>
      </w:pPr>
      <w:r>
        <w:t xml:space="preserve">10. Audit chain / tamper-evidence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AuditChainEntry.append(...) writes a hash-chained row (each entry links to the previous by hash; altering one breaks the chain visibly). Every passport publish/verify/revoke and VC event lands here. It lets an NGO answer “who verified my passport, and when?” and lets a donor’s later challenge be settled by replaying the chain. Per-tenant scoped.</w:t>
      </w:r>
    </w:p>
    <w:p>
      <w:pPr>
        <w:pStyle w:val="Heading1"/>
      </w:pPr>
      <w:r>
        <w:t xml:space="preserve">11. Frontend surfaces (Next.js 14 static export)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/trust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(authenticated, own org) — RegistrationPanel, TrustProfileCard, TrustGapInsightsCard, AdverseMediaPanel, BankVerificationPanel, CapacityPassportPanel.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/trust/share/[slug]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public, no token (Wave 4); shows revoked/expired on 410.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/trust/verify?s=&amp;t=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public, token-bearing; the audited path.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Dashboard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trust-completeness-card, trust-share-card, stale-trust-profiles-stat, trust-portable-badge.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55F"/>
          <w:sz w:val="18"/>
          <w:szCs w:val="18"/>
        </w:rPr>
        <w:t xml:space="preserve">Because the frontend is statically exported, share/verify use query-param routes rather than dynamic path segments.</w:t>
      </w:r>
    </w:p>
    <w:p>
      <w:pPr>
        <w:pStyle w:val="Heading1"/>
      </w:pPr>
      <w:r>
        <w:t xml:space="preserve">12. AI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Trust Gap Insights (Phase 18A)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narrates gaps and estimates the score lift per remediation action (estimated_lift_points, effort, projected_overall), cached 30 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Adverse media, registration analysis, compliance explainer/coach —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Claude-driven; runtime models claude-sonnet-4-6 (primary) + claude-haiku-4-5 (cheap paths); all calls logged for replay + per-org USD budget gating.</w:t>
      </w:r>
    </w:p>
    <w:p>
      <w:pPr>
        <w:pStyle w:val="Heading1"/>
      </w:pPr>
      <w:r>
        <w:t xml:space="preserve">13. Multi-tenancy / white-label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capacity framework label is network-aware: on a non-default tenant with Network.assessment_framework_display set, the in-house kuja framework renders under the tenant’s name (e.g. “NEAR Capacity Framework”). External standards keep their names. The feature already runs under host-based tenant resolution, so a standalone product could be a tenant, a fork, or a re-host of the same services.</w:t>
      </w:r>
    </w:p>
    <w:p>
      <w:pPr>
        <w:pStyle w:val="Heading1"/>
      </w:pPr>
      <w:r>
        <w:t xml:space="preserve">14. Current production adoption (honest baseline)</w:t>
      </w:r>
    </w:p>
    <w:p>
      <w:pPr>
        <w:spacing w:after="80" w:before="8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Measured on production, 25 July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Organizations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Assessments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35 (kuja 21, step 5, un_hact 4, chs 3, nupas 2)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Compliance checks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Registration verifications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Adverse-media screenings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Bank verifications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Published passports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 (1 active)</w:t>
            </w:r>
          </w:p>
        </w:tc>
      </w:tr>
      <w:tr>
        <w:tc>
          <w:tcPr>
            <w:tcW w:type="dxa" w:w="68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Passport verification events</w:t>
            </w:r>
          </w:p>
        </w:tc>
        <w:tc>
          <w:tcPr>
            <w:tcW w:type="dxa" w:w="25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1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6EC" w:sz="1"/>
              <w:left w:val="single" w:color="92400E" w:sz="18"/>
              <w:bottom w:val="single" w:color="FDF6EC" w:sz="1"/>
              <w:right w:val="single" w:color="FDF6EC" w:sz="1"/>
            </w:tcBorders>
            <w:shd w:fill="FDF6EC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Gap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The machinery is complete and demonstrated end-to-end, but real-world usage of the passport/VC layer is nascent — a working reference implementation, not validated market behaviour. That is precisely the case for extracting and marketing it deliberately rather than leaving it as a sub-feature.</w:t>
            </w:r>
          </w:p>
        </w:tc>
      </w:tr>
    </w:tbl>
    <w:p>
      <w:pPr>
        <w:pStyle w:val="Heading1"/>
      </w:pPr>
      <w:r>
        <w:t xml:space="preserve">15. Known limitations / gaps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No independent-assessor model.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All self-assessment + platform/donor DD. C4C’s premise is a trusted assessing organization; Kuja has no such role, no mutual sign-off, no consent-to-share artifact.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Content ≠ recognised taxonomy.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The five frameworks are not the C4C domain set INGOs accept. A go-to-market blocker, not a technical one.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Beneficial ownership is a proxy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(document presence), not structured UBO data.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Bank verification unused (0 rows)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unproven in practice.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VC signing key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must be provisioned in prod; on a fresh host it silently self-generates.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Snapshot is point-in-time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no freshness contract beyond expires_at; staleness of the underlying screenings is only visible in the breakdown timestamps.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No verifier accounts / workflow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verification is anonymous (optional label only); a donor can’t keep a portfolio of passports they’ve verified.</w:t>
      </w:r>
    </w:p>
    <w:p>
      <w:pPr>
        <w:pStyle w:val="Heading1"/>
      </w:pPr>
      <w:r>
        <w:t xml:space="preserve">16. Recommendations for the standalone product</w:t>
      </w:r>
    </w:p>
    <w:p>
      <w:pPr>
        <w:pStyle w:val="Heading2"/>
      </w:pPr>
      <w:r>
        <w:t xml:space="preserve">Lift-and-shift (high reuse, low risk)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TrustProfileService, CapacityPassportService, VCService, AuditChainEntry — clean, mostly self-contained. The passport + VC layer has almost no coupling to the grant product.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DD service layer (compliance, adverse media, bank) and its provider integrations (OpenSanctions, SAM.gov, Anthropic web-search).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410"/>
          <w:sz w:val="20"/>
          <w:szCs w:val="20"/>
        </w:rPr>
        <w:t xml:space="preserve">The public share / verify pages and the .well-known DID endpoints.</w:t>
      </w:r>
    </w:p>
    <w:p>
      <w:pPr>
        <w:pStyle w:val="Heading2"/>
      </w:pPr>
      <w:r>
        <w:t xml:space="preserve">Rebuild / add (the differentiated wedge)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Adopt the C4C taxonomy as a first-class framework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7 domains + 1–4 rubric + “Agreed Areas of Organizational Strengthening” + document checklist. Map Kuja’s automated DD onto the recognised domains so automation fills in the accepted form rather than competing with it.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Add the assessing-organization role + mutual sign-off + consent-to-share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the Humentum three-step flow. This is the recognition mechanic and the main thing Kuja lacks.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Verifier accounts + portfolio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let funders keep, re-verify, and get freshness alerts; turns a one-shot link into a standing relationship and a second monetisable side.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Freshness / re-attestation contract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surface “screenings as of” and auto-expire/nudge.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Structured UBO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instead of the document proxy.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b/>
          <w:bCs/>
          <w:color w:val="1A1410"/>
          <w:sz w:val="20"/>
          <w:szCs w:val="20"/>
        </w:rPr>
        <w:t xml:space="preserve">Positioning </w:t>
      </w:r>
      <w:r>
        <w:rPr>
          <w:rFonts w:ascii="Arial" w:cs="Arial" w:eastAsia="Arial" w:hAnsi="Arial"/>
          <w:color w:val="1A1410"/>
          <w:sz w:val="20"/>
          <w:szCs w:val="20"/>
        </w:rPr>
        <w:t xml:space="preserve">— reuse the existing competitive brief (docs/Kuja_Competitive_Brief_DD_Passporting_2026-07-09.docx, Kuja_Link_Competitive_Analysis.md) rather than starting the market analysis fresh.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F3FE" w:sz="1"/>
              <w:left w:val="single" w:color="1D4ED8" w:sz="18"/>
              <w:bottom w:val="single" w:color="EEF3FE" w:sz="1"/>
              <w:right w:val="single" w:color="EEF3FE" w:sz="1"/>
            </w:tcBorders>
            <w:shd w:fill="EEF3FE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Thesis — </w:t>
            </w:r>
            <w:r>
              <w:rPr>
                <w:rFonts w:ascii="Arial" w:cs="Arial" w:eastAsia="Arial" w:hAnsi="Arial"/>
                <w:color w:val="1A1410"/>
                <w:sz w:val="19"/>
                <w:szCs w:val="19"/>
              </w:rPr>
              <w:t xml:space="preserve">Kuja already has the verification engine INGOs wish C4C’s spreadsheet had; the product is that engine, wearing the C4C consortium’s recognised clothing, with a verifier side.</w:t>
            </w:r>
          </w:p>
        </w:tc>
      </w:tr>
    </w:tbl>
    <w:p>
      <w:pPr>
        <w:pStyle w:val="Heading1"/>
      </w:pPr>
      <w:r>
        <w:t xml:space="preserve">Appendix — file map (kuja-grant/)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shd w:fill="F4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1A1410"/>
                <w:sz w:val="17"/>
                <w:szCs w:val="17"/>
              </w:rPr>
              <w:t xml:space="preserve">Files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Trust Profile assembly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app/services/trust_profile_service.py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Passport lifecycle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app/services/capacity_passport_service.py, app/models/capacity_passport.py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Verifiable Credentials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app/services/vc_service.py, app/routes/credentials_routes.py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Due diligence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app/services/compliance_service.py, adverse_media_service.py, bank_verification_service.py, compliance_explainer/preemption/rerun_service.py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Gap insights (AI)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app/services/trust_gap_insights_service.py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Data models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app/models/assessment.py, compliance.py, bank_verification.py, capacity_passport.py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API routes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app/routes/trust_routes.py, credentials_routes.py, assessments.py, compliance_routes.py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frontend/src/app/(app)/trust/, app/trust/share/[slug]/, app/trust/verify/, components/trust/*, lib/trust-api.ts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Full markdown source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docs/TRUST_PROFILE_PASSPORT_TECHSPEC.md (the canonical, code-level version of this document)</w:t>
            </w:r>
          </w:p>
        </w:tc>
      </w:tr>
      <w:tr>
        <w:tc>
          <w:tcPr>
            <w:tcW w:type="dxa" w:w="260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Prior market analysis</w:t>
            </w:r>
          </w:p>
        </w:tc>
        <w:tc>
          <w:tcPr>
            <w:tcW w:type="dxa" w:w="6760"/>
            <w:tcBorders>
              <w:top w:val="single" w:color="D8CCBC" w:sz="1"/>
              <w:left w:val="single" w:color="D8CCBC" w:sz="1"/>
              <w:bottom w:val="single" w:color="D8CCBC" w:sz="1"/>
              <w:right w:val="single" w:color="D8CCB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color w:val="1A1410"/>
                <w:sz w:val="17"/>
                <w:szCs w:val="17"/>
              </w:rPr>
              <w:t xml:space="preserve">docs/Kuja_Competitive_Brief_DD_Passporting_2026-07-09.docx, Kuja_Link_Competitive_Analysis.md</w:t>
            </w:r>
          </w:p>
        </w:tc>
      </w:tr>
    </w:tbl>
    <w:sectPr>
      <w:footerReference w:type="default" r:id="rId7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55F"/>
        <w:sz w:val="15"/>
        <w:szCs w:val="15"/>
      </w:rPr>
      <w:t xml:space="preserve">Kuja · Trust Profile &amp; Capacity Passport Tech Spec · 25 July 2026 · page </w:t>
    </w:r>
    <w:r>
      <w:rPr>
        <w:rFonts w:ascii="Arial" w:cs="Arial" w:eastAsia="Arial" w:hAnsi="Arial"/>
        <w:color w:val="6B655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20"/>
      <w:outlineLvl w:val="0"/>
    </w:pPr>
    <w:rPr>
      <w:rFonts w:ascii="Arial" w:cs="Arial" w:eastAsia="Arial" w:hAnsi="Arial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7C2D1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2026-07-26T03:30:27.442Z</dcterms:created>
  <dcterms:modified xsi:type="dcterms:W3CDTF">2026-07-26T03:30:27.444Z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