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i w:val="0"/>
          <w:color w:val="C2410C"/>
          <w:sz w:val="34"/>
        </w:rPr>
        <w:t>Proximate — Khalid Session Run-Sheet</w:t>
      </w:r>
    </w:p>
    <w:p>
      <w:pPr>
        <w:spacing w:after="120"/>
      </w:pPr>
      <w:r>
        <w:rPr>
          <w:rFonts w:ascii="Arial" w:hAnsi="Arial"/>
          <w:b w:val="0"/>
          <w:i w:val="0"/>
          <w:color w:val="57534E"/>
          <w:sz w:val="19"/>
        </w:rPr>
        <w:t>30 July 2026  ·  live site: https://proximate.kuja.org  ·  drive the whole demo from this page</w:t>
      </w:r>
    </w:p>
    <w:p>
      <w:pPr>
        <w:pStyle w:val="Heading1"/>
      </w:pPr>
      <w:r>
        <w:t>1. Logins — all at proximate.kuja.org/login, password  pass123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val="clear" w:fill="7C2D1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736"/>
            <w:shd w:val="clear" w:fill="7C2D1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Sign in as</w:t>
            </w:r>
          </w:p>
        </w:tc>
        <w:tc>
          <w:tcPr>
            <w:tcW w:type="dxa" w:w="3744"/>
            <w:shd w:val="clear" w:fill="7C2D1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Use it for</w:t>
            </w:r>
          </w:p>
        </w:tc>
      </w:tr>
      <w:tr>
        <w:tc>
          <w:tcPr>
            <w:tcW w:type="dxa" w:w="3600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Sudan Fund Manager / Secretariat (Oversight Body)</w:t>
            </w:r>
          </w:p>
        </w:tc>
        <w:tc>
          <w:tcPr>
            <w:tcW w:type="dxa" w:w="2736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ob@proximate.org</w:t>
            </w:r>
          </w:p>
        </w:tc>
        <w:tc>
          <w:tcPr>
            <w:tcW w:type="dxa" w:w="3744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The whole workflow: nomination, award, contract, disbursement, receipt, closeout. This is “you”.</w:t>
            </w:r>
          </w:p>
        </w:tc>
      </w:tr>
      <w:tr>
        <w:tc>
          <w:tcPr>
            <w:tcW w:type="dxa" w:w="3600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Platform admin (restriction demo)</w:t>
            </w:r>
          </w:p>
        </w:tc>
        <w:tc>
          <w:tcPr>
            <w:tcW w:type="dxa" w:w="2736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admin@kuja.org</w:t>
            </w:r>
          </w:p>
        </w:tc>
        <w:tc>
          <w:tcPr>
            <w:tcW w:type="dxa" w:w="3744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Show it is correctly LOCKED OUT of OB-only screens.</w:t>
            </w:r>
          </w:p>
        </w:tc>
      </w:tr>
      <w:tr>
        <w:tc>
          <w:tcPr>
            <w:tcW w:type="dxa" w:w="3600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Donor (optional)</w:t>
            </w:r>
          </w:p>
        </w:tc>
        <w:tc>
          <w:tcPr>
            <w:tcW w:type="dxa" w:w="2736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donor1@proximate.org</w:t>
            </w:r>
          </w:p>
        </w:tc>
        <w:tc>
          <w:tcPr>
            <w:tcW w:type="dxa" w:w="3744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Read-only donor dashboard / reports.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/>
          <w:color w:val="57534E"/>
          <w:sz w:val="19"/>
        </w:rPr>
        <w:t>Panel members have NO login by design — you never sign in as a panel member. A panel member is seated by the Secretariat and acts through a no-login link. Do not ask Khalid to test a panel account.</w:t>
      </w:r>
    </w:p>
    <w:p>
      <w:pPr>
        <w:pStyle w:val="Heading1"/>
      </w:pPr>
      <w:r>
        <w:t>2. The demo — run it on the QA Fixture partner</w:t>
      </w:r>
    </w:p>
    <w:p>
      <w:pPr>
        <w:spacing w:after="100"/>
      </w:pPr>
      <w:r>
        <w:rPr>
          <w:rFonts w:ascii="Arial" w:hAnsi="Arial"/>
          <w:b w:val="0"/>
          <w:i w:val="0"/>
          <w:color w:val="1A1410"/>
          <w:sz w:val="19"/>
        </w:rPr>
        <w:t>Everything below is on the standing test record “QA Fixture Partner — Ready to Disburse” inside “QA Fixture Round — Happy Path”. It is already nominated, due-diligenced, awarded and contracted, so you can both SHOW those steps (in the history) and DO the remaining ones live.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32"/>
            <w:shd w:val="clear" w:fill="7C2D1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val="clear" w:fill="7C2D1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Do this</w:t>
            </w:r>
          </w:p>
        </w:tc>
        <w:tc>
          <w:tcPr>
            <w:tcW w:type="dxa" w:w="4608"/>
            <w:shd w:val="clear" w:fill="7C2D1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What it proves to Khalid</w:t>
            </w:r>
          </w:p>
        </w:tc>
      </w:tr>
      <w:tr>
        <w:tc>
          <w:tcPr>
            <w:tcW w:type="dxa" w:w="43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1</w:t>
            </w:r>
          </w:p>
        </w:tc>
        <w:tc>
          <w:tcPr>
            <w:tcW w:type="dxa" w:w="5040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Sign in as ob@proximate.org. Open the QA Fixture round → Partners tab (the “View partner roster” button jumps you there) → click History on the fixture partner.</w:t>
            </w:r>
          </w:p>
        </w:tc>
        <w:tc>
          <w:tcPr>
            <w:tcW w:type="dxa" w:w="4608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Partner history is a full timeline (his pt 12): nominated + by whom, DD, award with requested vs approved, contract signed — the partner’s whole journey on one screen.</w:t>
            </w:r>
          </w:p>
        </w:tc>
      </w:tr>
      <w:tr>
        <w:tc>
          <w:tcPr>
            <w:tcW w:type="dxa" w:w="43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2</w:t>
            </w:r>
          </w:p>
        </w:tc>
        <w:tc>
          <w:tcPr>
            <w:tcW w:type="dxa" w:w="5040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To show nomination live: left nav → Partners → “Nominate a partner”. Enter just a name (an informal group, no registration) and save.</w:t>
            </w:r>
          </w:p>
        </w:tc>
        <w:tc>
          <w:tcPr>
            <w:tcW w:type="dxa" w:w="4608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Secretariat can nominate (pt 3); informal / unregistered groups are accepted with no registration field (pt 1).</w:t>
            </w:r>
          </w:p>
        </w:tc>
      </w:tr>
      <w:tr>
        <w:tc>
          <w:tcPr>
            <w:tcW w:type="dxa" w:w="43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3</w:t>
            </w:r>
          </w:p>
        </w:tc>
        <w:tc>
          <w:tcPr>
            <w:tcW w:type="dxa" w:w="5040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Back on the round → “Awards &amp; contracts” tab. Point to the fixture’s award row and its contract.</w:t>
            </w:r>
          </w:p>
        </w:tc>
        <w:tc>
          <w:tcPr>
            <w:tcW w:type="dxa" w:w="4608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Award recorded by the Fund Manager, not a panel login (pt 5); decision method + requested vs approved amounts captured (pt 6, 7); contract opened on award approval only (pt 8).</w:t>
            </w:r>
          </w:p>
        </w:tc>
      </w:tr>
      <w:tr>
        <w:tc>
          <w:tcPr>
            <w:tcW w:type="dxa" w:w="43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4</w:t>
            </w:r>
          </w:p>
        </w:tc>
        <w:tc>
          <w:tcPr>
            <w:tcW w:type="dxa" w:w="5040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Round → Disbursements (or “Raise a disbursement”). Select the fixture partner and record the release. Leave the reporting window on its default.</w:t>
            </w:r>
          </w:p>
        </w:tc>
        <w:tc>
          <w:tcPr>
            <w:tcW w:type="dxa" w:w="4608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Reporting window follows the CONTRACT’s implementation period automatically (pt 11) — the screen says so; no accidental 14-day override.</w:t>
            </w:r>
          </w:p>
        </w:tc>
      </w:tr>
      <w:tr>
        <w:tc>
          <w:tcPr>
            <w:tcW w:type="dxa" w:w="43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5</w:t>
            </w:r>
          </w:p>
        </w:tc>
        <w:tc>
          <w:tcPr>
            <w:tcW w:type="dxa" w:w="5040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Open that disbursement → Record receipt. Enter an amount / note (a screenshot is enough).</w:t>
            </w:r>
          </w:p>
        </w:tc>
        <w:tc>
          <w:tcPr>
            <w:tcW w:type="dxa" w:w="4608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Receipt = screenshot / WhatsApp proof, no formal receipt, no partner login (pt 10). The report-due date now shows the implementation-period deadline.</w:t>
            </w:r>
          </w:p>
        </w:tc>
      </w:tr>
      <w:tr>
        <w:tc>
          <w:tcPr>
            <w:tcW w:type="dxa" w:w="432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6</w:t>
            </w:r>
          </w:p>
        </w:tc>
        <w:tc>
          <w:tcPr>
            <w:tcW w:type="dxa" w:w="5040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Round → Closeout tab → Close round.</w:t>
            </w:r>
          </w:p>
        </w:tc>
        <w:tc>
          <w:tcPr>
            <w:tcW w:type="dxa" w:w="4608"/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1A1410"/>
                <w:sz w:val="19"/>
              </w:rPr>
              <w:t>Closeout is the Fund Manager’s single action — no panel vote, no separate OB approval (pt 13). It asks for reports/receipts; can proceed with a written reason.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4F0E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57534E"/>
                <w:sz w:val="19"/>
              </w:rPr>
              <w:t xml:space="preserve">Partner receipt via a link (only if asked) — </w:t>
            </w:r>
            <w:r>
              <w:rPr>
                <w:rFonts w:ascii="Arial" w:hAnsi="Arial"/>
                <w:color w:val="1A1410"/>
                <w:sz w:val="19"/>
              </w:rPr>
              <w:t>on the disbursement page there is a copy/share confirmation link (a public /proximate-report?t=… URL). Open it in a private/incognito window to play the partner — no login. The Record-receipt path in step 5 is simpler for a live session.</w:t>
            </w:r>
          </w:p>
        </w:tc>
      </w:tr>
    </w:tbl>
    <w:p>
      <w:pPr>
        <w:spacing w:after="20"/>
      </w:pPr>
    </w:p>
    <w:p>
      <w:pPr>
        <w:pStyle w:val="Heading2"/>
      </w:pPr>
      <w:r>
        <w:t>3. Platform-admin restriction (optional negative test)</w:t>
      </w:r>
    </w:p>
    <w:p>
      <w:pPr>
        <w:spacing w:after="80"/>
      </w:pPr>
      <w:r>
        <w:rPr>
          <w:rFonts w:ascii="Arial" w:hAnsi="Arial"/>
          <w:b w:val="0"/>
          <w:i w:val="0"/>
          <w:color w:val="1A1410"/>
          <w:sz w:val="19"/>
        </w:rPr>
        <w:t>Sign in as admin@kuja.org and open the audit chain or the OB overview — the screen reads “access restricted” and nothing is shown. This demonstrates that platform administrators are held out of the fund’s governance surfaces; only the Oversight Body sees them.</w:t>
      </w:r>
    </w:p>
    <w:p>
      <w:pPr>
        <w:pStyle w:val="Heading2"/>
      </w:pPr>
      <w:r>
        <w:t>4. Two guardrails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ED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B41B1B"/>
                <w:sz w:val="19"/>
              </w:rPr>
              <w:t xml:space="preserve">This is the LIVE site. </w:t>
            </w:r>
            <w:r>
              <w:rPr>
                <w:rFonts w:ascii="Arial" w:hAnsi="Arial"/>
                <w:color w:val="1A1410"/>
                <w:sz w:val="19"/>
              </w:rPr>
              <w:t>Run the flow ONLY on the QA Fixture partner/round above. Do NOT touch any Blue Nile (round 9) partner — that is real data.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rial" w:hAnsi="Arial"/>
          <w:b w:val="0"/>
          <w:i/>
          <w:color w:val="57534E"/>
          <w:sz w:val="18"/>
        </w:rPr>
        <w:t>The pass123 accounts are demo seeds — fine for the session; rotate them before real users go live.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41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C2410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A141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