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pPr>
      <w:r>
        <w:rPr>
          <w:rFonts w:ascii="Arial" w:cs="Arial" w:eastAsia="Arial" w:hAnsi="Arial"/>
          <w:b/>
          <w:bCs/>
          <w:color w:val="0E8A7B"/>
          <w:sz w:val="20"/>
          <w:szCs w:val="20"/>
        </w:rPr>
        <w:t xml:space="preserve">KUJA PLATFORM · SAXANSAXO TENANT</w:t>
      </w:r>
    </w:p>
    <w:p>
      <w:pPr>
        <w:spacing w:after="120"/>
      </w:pPr>
      <w:r>
        <w:rPr>
          <w:rFonts w:ascii="Arial" w:cs="Arial" w:eastAsia="Arial" w:hAnsi="Arial"/>
          <w:b/>
          <w:bCs/>
          <w:color w:val="1A1410"/>
          <w:sz w:val="40"/>
          <w:szCs w:val="40"/>
        </w:rPr>
        <w:t xml:space="preserve">Domain Setup — DNS Instructions for IT</w:t>
      </w:r>
    </w:p>
    <w:p>
      <w:pPr>
        <w:spacing w:after="80" w:before="80"/>
      </w:pPr>
      <w:r>
        <w:rPr>
          <w:rFonts w:ascii="Arial" w:cs="Arial" w:eastAsia="Arial" w:hAnsi="Arial"/>
          <w:color w:val="6B655F"/>
          <w:sz w:val="22"/>
          <w:szCs w:val="22"/>
        </w:rPr>
        <w:t xml:space="preserve">July 2026 · Two production domains for the Saxansaxo system: saxansaxo.kuja.org (primary) and sclr.kuja.org (companion — SCLR is the methodology name). Both point at the same application; the app already recognizes both.</w:t>
      </w:r>
    </w:p>
    <w:p>
      <w:pPr>
        <w:pStyle w:val="Heading1"/>
        <w:spacing w:after="120" w:before="300"/>
      </w:pPr>
      <w:r>
        <w:rPr>
          <w:rFonts w:ascii="Arial" w:cs="Arial" w:eastAsia="Arial" w:hAnsi="Arial"/>
          <w:b/>
          <w:bCs/>
          <w:color w:val="7C2D12"/>
          <w:sz w:val="28"/>
          <w:szCs w:val="28"/>
        </w:rPr>
        <w:t xml:space="preserve">The picture in one paragraph</w:t>
      </w:r>
    </w:p>
    <w:p>
      <w:pPr>
        <w:spacing w:after="80" w:before="80"/>
      </w:pPr>
      <w:r>
        <w:rPr>
          <w:rFonts w:ascii="Arial" w:cs="Arial" w:eastAsia="Arial" w:hAnsi="Arial"/>
          <w:color w:val="1A1410"/>
          <w:sz w:val="21"/>
          <w:szCs w:val="21"/>
        </w:rPr>
        <w:t xml:space="preserve">The application is hosted on Railway. Giving it a custom domain is a two-step handshake: first the domain is registered on the Railway service (dashboard, ~5 minutes — this generates the exact DNS values), then IT creates two DNS records per domain at the kuja.org DNS host. Railway verifies the records and issues the HTTPS certificate automatically, usually within minutes. We did exactly this for proximate.kuja.org — this document bakes in the two traps we hit that time so we do not lose four days again.</w:t>
      </w:r>
    </w:p>
    <w:p>
      <w:pPr>
        <w:pStyle w:val="Heading1"/>
        <w:spacing w:after="120" w:before="300"/>
      </w:pPr>
      <w:r>
        <w:rPr>
          <w:rFonts w:ascii="Arial" w:cs="Arial" w:eastAsia="Arial" w:hAnsi="Arial"/>
          <w:b/>
          <w:bCs/>
          <w:color w:val="7C2D12"/>
          <w:sz w:val="28"/>
          <w:szCs w:val="28"/>
        </w:rPr>
        <w:t xml:space="preserve">Current status</w:t>
      </w:r>
    </w:p>
    <w:p>
      <w:pPr>
        <w:pStyle w:val="ListParagraph"/>
        <w:numPr>
          <w:ilvl w:val="0"/>
          <w:numId w:val="2"/>
        </w:numPr>
        <w:spacing w:after="40" w:before="40"/>
      </w:pPr>
      <w:r>
        <w:rPr>
          <w:rFonts w:ascii="Arial" w:cs="Arial" w:eastAsia="Arial" w:hAnsi="Arial"/>
          <w:b/>
          <w:bCs/>
          <w:color w:val="1A1410"/>
          <w:sz w:val="21"/>
          <w:szCs w:val="21"/>
        </w:rPr>
        <w:t xml:space="preserve">DONE — application side: </w:t>
      </w:r>
      <w:r>
        <w:rPr>
          <w:rFonts w:ascii="Arial" w:cs="Arial" w:eastAsia="Arial" w:hAnsi="Arial"/>
          <w:color w:val="1A1410"/>
          <w:sz w:val="21"/>
          <w:szCs w:val="21"/>
        </w:rPr>
        <w:t xml:space="preserve">the platform resolves both saxansaxo.kuja.org and sclr.kuja.org to the Saxansaxo tenant (shipped and covered by an automated test on every deploy).</w:t>
      </w:r>
    </w:p>
    <w:p>
      <w:pPr>
        <w:pStyle w:val="ListParagraph"/>
        <w:numPr>
          <w:ilvl w:val="0"/>
          <w:numId w:val="2"/>
        </w:numPr>
        <w:spacing w:after="40" w:before="40"/>
      </w:pPr>
      <w:r>
        <w:rPr>
          <w:rFonts w:ascii="Arial" w:cs="Arial" w:eastAsia="Arial" w:hAnsi="Arial"/>
          <w:b/>
          <w:bCs/>
          <w:color w:val="1A1410"/>
          <w:sz w:val="21"/>
          <w:szCs w:val="21"/>
        </w:rPr>
        <w:t xml:space="preserve">NEXT — Step A (Railway registration): </w:t>
      </w:r>
      <w:r>
        <w:rPr>
          <w:rFonts w:ascii="Arial" w:cs="Arial" w:eastAsia="Arial" w:hAnsi="Arial"/>
          <w:color w:val="1A1410"/>
          <w:sz w:val="21"/>
          <w:szCs w:val="21"/>
        </w:rPr>
        <w:t xml:space="preserve">needs someone with Railway dashboard access (Idiris). This mints the DNS values.</w:t>
      </w:r>
    </w:p>
    <w:p>
      <w:pPr>
        <w:pStyle w:val="ListParagraph"/>
        <w:numPr>
          <w:ilvl w:val="0"/>
          <w:numId w:val="2"/>
        </w:numPr>
        <w:spacing w:after="40" w:before="40"/>
      </w:pPr>
      <w:r>
        <w:rPr>
          <w:rFonts w:ascii="Arial" w:cs="Arial" w:eastAsia="Arial" w:hAnsi="Arial"/>
          <w:b/>
          <w:bCs/>
          <w:color w:val="1A1410"/>
          <w:sz w:val="21"/>
          <w:szCs w:val="21"/>
        </w:rPr>
        <w:t xml:space="preserve">THEN — Step B (DNS records): </w:t>
      </w:r>
      <w:r>
        <w:rPr>
          <w:rFonts w:ascii="Arial" w:cs="Arial" w:eastAsia="Arial" w:hAnsi="Arial"/>
          <w:color w:val="1A1410"/>
          <w:sz w:val="21"/>
          <w:szCs w:val="21"/>
        </w:rPr>
        <w:t xml:space="preserve">IT creates the records below with the minted values.</w:t>
      </w:r>
    </w:p>
    <w:p>
      <w:pPr>
        <w:pStyle w:val="ListParagraph"/>
        <w:numPr>
          <w:ilvl w:val="0"/>
          <w:numId w:val="2"/>
        </w:numPr>
        <w:spacing w:after="40" w:before="40"/>
      </w:pPr>
      <w:r>
        <w:rPr>
          <w:rFonts w:ascii="Arial" w:cs="Arial" w:eastAsia="Arial" w:hAnsi="Arial"/>
          <w:b/>
          <w:bCs/>
          <w:color w:val="1A1410"/>
          <w:sz w:val="21"/>
          <w:szCs w:val="21"/>
        </w:rPr>
        <w:t xml:space="preserve">Until then: </w:t>
      </w:r>
      <w:r>
        <w:rPr>
          <w:rFonts w:ascii="Arial" w:cs="Arial" w:eastAsia="Arial" w:hAnsi="Arial"/>
          <w:color w:val="1A1410"/>
          <w:sz w:val="21"/>
          <w:szCs w:val="21"/>
        </w:rPr>
        <w:t xml:space="preserve">the Saxansaxo console stays reachable at the temporary address (Railway URL + ?network=saxansaxo).</w:t>
      </w:r>
    </w:p>
    <w:p>
      <w:pPr>
        <w:pStyle w:val="Heading1"/>
        <w:spacing w:after="120" w:before="300"/>
      </w:pPr>
      <w:r>
        <w:rPr>
          <w:rFonts w:ascii="Arial" w:cs="Arial" w:eastAsia="Arial" w:hAnsi="Arial"/>
          <w:b/>
          <w:bCs/>
          <w:color w:val="7C2D12"/>
          <w:sz w:val="28"/>
          <w:szCs w:val="28"/>
        </w:rPr>
        <w:t xml:space="preserve">Step A — Register the domains on Railway (Idiris, ~5 min)</w:t>
      </w:r>
    </w:p>
    <w:p>
      <w:pPr>
        <w:pStyle w:val="ListParagraph"/>
        <w:numPr>
          <w:ilvl w:val="0"/>
          <w:numId w:val="3"/>
        </w:numPr>
        <w:spacing w:after="50" w:before="50"/>
      </w:pPr>
      <w:r>
        <w:rPr>
          <w:rFonts w:ascii="Arial" w:cs="Arial" w:eastAsia="Arial" w:hAnsi="Arial"/>
          <w:color w:val="1A1410"/>
          <w:sz w:val="21"/>
          <w:szCs w:val="21"/>
        </w:rPr>
        <w:t xml:space="preserve">Open the Railway dashboard → project </w:t>
      </w:r>
      <w:r>
        <w:rPr>
          <w:rFonts w:ascii="Arial" w:cs="Arial" w:eastAsia="Arial" w:hAnsi="Arial"/>
          <w:b/>
          <w:bCs/>
          <w:color w:val="1A1410"/>
          <w:sz w:val="21"/>
          <w:szCs w:val="21"/>
        </w:rPr>
        <w:t xml:space="preserve">clever-cooperation</w:t>
      </w:r>
      <w:r>
        <w:rPr>
          <w:rFonts w:ascii="Arial" w:cs="Arial" w:eastAsia="Arial" w:hAnsi="Arial"/>
          <w:color w:val="1A1410"/>
          <w:sz w:val="21"/>
          <w:szCs w:val="21"/>
        </w:rPr>
        <w:t xml:space="preserve"> → service </w:t>
      </w:r>
      <w:r>
        <w:rPr>
          <w:rFonts w:ascii="Arial" w:cs="Arial" w:eastAsia="Arial" w:hAnsi="Arial"/>
          <w:b/>
          <w:bCs/>
          <w:color w:val="1A1410"/>
          <w:sz w:val="21"/>
          <w:szCs w:val="21"/>
        </w:rPr>
        <w:t xml:space="preserve">web</w:t>
      </w:r>
      <w:r>
        <w:rPr>
          <w:rFonts w:ascii="Arial" w:cs="Arial" w:eastAsia="Arial" w:hAnsi="Arial"/>
          <w:color w:val="1A1410"/>
          <w:sz w:val="21"/>
          <w:szCs w:val="21"/>
        </w:rPr>
        <w:t xml:space="preserve"> → Settings → Networking (Custom Domains).</w:t>
      </w:r>
    </w:p>
    <w:p>
      <w:pPr>
        <w:pStyle w:val="ListParagraph"/>
        <w:numPr>
          <w:ilvl w:val="0"/>
          <w:numId w:val="3"/>
        </w:numPr>
        <w:spacing w:after="50" w:before="50"/>
      </w:pPr>
      <w:r>
        <w:rPr>
          <w:rFonts w:ascii="Arial" w:cs="Arial" w:eastAsia="Arial" w:hAnsi="Arial"/>
          <w:color w:val="1A1410"/>
          <w:sz w:val="21"/>
          <w:szCs w:val="21"/>
        </w:rPr>
        <w:t xml:space="preserve">Click </w:t>
      </w:r>
      <w:r>
        <w:rPr>
          <w:rFonts w:ascii="Arial" w:cs="Arial" w:eastAsia="Arial" w:hAnsi="Arial"/>
          <w:b/>
          <w:bCs/>
          <w:color w:val="1A1410"/>
          <w:sz w:val="21"/>
          <w:szCs w:val="21"/>
        </w:rPr>
        <w:t xml:space="preserve">+ Custom Domain</w:t>
      </w:r>
      <w:r>
        <w:rPr>
          <w:rFonts w:ascii="Arial" w:cs="Arial" w:eastAsia="Arial" w:hAnsi="Arial"/>
          <w:color w:val="1A1410"/>
          <w:sz w:val="21"/>
          <w:szCs w:val="21"/>
        </w:rPr>
        <w:t xml:space="preserve"> and enter </w:t>
      </w:r>
      <w:r>
        <w:rPr>
          <w:rFonts w:ascii="Arial" w:cs="Arial" w:eastAsia="Arial" w:hAnsi="Arial"/>
          <w:b/>
          <w:bCs/>
          <w:color w:val="1A1410"/>
          <w:sz w:val="21"/>
          <w:szCs w:val="21"/>
        </w:rPr>
        <w:t xml:space="preserve">saxansaxo.kuja.org</w:t>
      </w:r>
      <w:r>
        <w:rPr>
          <w:rFonts w:ascii="Arial" w:cs="Arial" w:eastAsia="Arial" w:hAnsi="Arial"/>
          <w:color w:val="1A1410"/>
          <w:sz w:val="21"/>
          <w:szCs w:val="21"/>
        </w:rPr>
        <w:t xml:space="preserve">. Railway will display the DNS records it requires — a CNAME target (something like </w:t>
      </w:r>
      <w:r>
        <w:rPr>
          <w:rFonts w:ascii="Arial" w:cs="Arial" w:eastAsia="Arial" w:hAnsi="Arial"/>
          <w:i/>
          <w:iCs/>
          <w:color w:val="1A1410"/>
          <w:sz w:val="21"/>
          <w:szCs w:val="21"/>
        </w:rPr>
        <w:t xml:space="preserve">xxxxxxxx.up.railway.app</w:t>
      </w:r>
      <w:r>
        <w:rPr>
          <w:rFonts w:ascii="Arial" w:cs="Arial" w:eastAsia="Arial" w:hAnsi="Arial"/>
          <w:color w:val="1A1410"/>
          <w:sz w:val="21"/>
          <w:szCs w:val="21"/>
        </w:rPr>
        <w:t xml:space="preserve">) and usually a TXT verification record with a value beginning </w:t>
      </w:r>
      <w:r>
        <w:rPr>
          <w:rFonts w:ascii="Arial" w:cs="Arial" w:eastAsia="Arial" w:hAnsi="Arial"/>
          <w:i/>
          <w:iCs/>
          <w:color w:val="1A1410"/>
          <w:sz w:val="21"/>
          <w:szCs w:val="21"/>
        </w:rPr>
        <w:t xml:space="preserve">railway-verify=</w:t>
      </w:r>
      <w:r>
        <w:rPr>
          <w:rFonts w:ascii="Arial" w:cs="Arial" w:eastAsia="Arial" w:hAnsi="Arial"/>
          <w:color w:val="1A1410"/>
          <w:sz w:val="21"/>
          <w:szCs w:val="21"/>
        </w:rPr>
        <w:t xml:space="preserve">.</w:t>
      </w:r>
    </w:p>
    <w:p>
      <w:pPr>
        <w:pStyle w:val="ListParagraph"/>
        <w:numPr>
          <w:ilvl w:val="0"/>
          <w:numId w:val="3"/>
        </w:numPr>
        <w:spacing w:after="50" w:before="50"/>
      </w:pPr>
      <w:r>
        <w:rPr>
          <w:rFonts w:ascii="Arial" w:cs="Arial" w:eastAsia="Arial" w:hAnsi="Arial"/>
          <w:color w:val="1A1410"/>
          <w:sz w:val="21"/>
          <w:szCs w:val="21"/>
        </w:rPr>
        <w:t xml:space="preserve">Repeat for </w:t>
      </w:r>
      <w:r>
        <w:rPr>
          <w:rFonts w:ascii="Arial" w:cs="Arial" w:eastAsia="Arial" w:hAnsi="Arial"/>
          <w:b/>
          <w:bCs/>
          <w:color w:val="1A1410"/>
          <w:sz w:val="21"/>
          <w:szCs w:val="21"/>
        </w:rPr>
        <w:t xml:space="preserve">sclr.kuja.org</w:t>
      </w:r>
      <w:r>
        <w:rPr>
          <w:rFonts w:ascii="Arial" w:cs="Arial" w:eastAsia="Arial" w:hAnsi="Arial"/>
          <w:color w:val="1A1410"/>
          <w:sz w:val="21"/>
          <w:szCs w:val="21"/>
        </w:rPr>
        <w:t xml:space="preserve">. Each domain gets its OWN values — do not reuse one domain’s values for the other.</w:t>
      </w:r>
    </w:p>
    <w:p>
      <w:pPr>
        <w:pStyle w:val="ListParagraph"/>
        <w:numPr>
          <w:ilvl w:val="0"/>
          <w:numId w:val="3"/>
        </w:numPr>
        <w:spacing w:after="50" w:before="50"/>
      </w:pPr>
      <w:r>
        <w:rPr>
          <w:rFonts w:ascii="Arial" w:cs="Arial" w:eastAsia="Arial" w:hAnsi="Arial"/>
          <w:color w:val="1A1410"/>
          <w:sz w:val="21"/>
          <w:szCs w:val="21"/>
        </w:rPr>
        <w:t xml:space="preserve">Copy the exact values shown for both domains (screenshot is fine) and send them to IT with this document.</w:t>
      </w:r>
    </w:p>
    <w:p>
      <w:pPr>
        <w:spacing w:after="80" w:before="80"/>
      </w:pPr>
      <w:r>
        <w:rPr>
          <w:rFonts w:ascii="Arial" w:cs="Arial" w:eastAsia="Arial" w:hAnsi="Arial"/>
          <w:i/>
          <w:iCs/>
          <w:color w:val="6B655F"/>
          <w:sz w:val="21"/>
          <w:szCs w:val="21"/>
        </w:rPr>
        <w:t xml:space="preserve">Note: the plan-limit banner that sometimes shows on this screen was a red herring last time — it does not block adding these domains.</w:t>
      </w:r>
    </w:p>
    <w:p>
      <w:pPr>
        <w:pStyle w:val="Heading1"/>
        <w:spacing w:after="120" w:before="300"/>
      </w:pPr>
      <w:r>
        <w:rPr>
          <w:rFonts w:ascii="Arial" w:cs="Arial" w:eastAsia="Arial" w:hAnsi="Arial"/>
          <w:b/>
          <w:bCs/>
          <w:color w:val="7C2D12"/>
          <w:sz w:val="28"/>
          <w:szCs w:val="28"/>
        </w:rPr>
        <w:t xml:space="preserve">Step B — Create the DNS records (IT, at the kuja.org DNS host)</w:t>
      </w:r>
    </w:p>
    <w:p>
      <w:pPr>
        <w:spacing w:after="80" w:before="80"/>
      </w:pPr>
      <w:r>
        <w:rPr>
          <w:rFonts w:ascii="Arial" w:cs="Arial" w:eastAsia="Arial" w:hAnsi="Arial"/>
          <w:color w:val="1A1410"/>
          <w:sz w:val="21"/>
          <w:szCs w:val="21"/>
        </w:rPr>
        <w:t xml:space="preserve">Create these four records, filling the value column from Step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860"/>
        <w:gridCol w:w="1200"/>
      </w:tblGrid>
      <w:tr>
        <w:trPr>
          <w:tblHeader/>
        </w:trPr>
        <w:tc>
          <w:tcPr>
            <w:tcW w:type="dxa" w:w="1000"/>
            <w:tcBorders>
              <w:top w:val="single" w:color="CCCCCC" w:sz="1"/>
              <w:left w:val="single" w:color="CCCCCC" w:sz="1"/>
              <w:bottom w:val="single" w:color="CCCCCC" w:sz="1"/>
              <w:right w:val="single" w:color="CCCCCC" w:sz="1"/>
            </w:tcBorders>
            <w:shd w:fill="F4E8DC" w:val="clear"/>
            <w:tcMar>
              <w:top w:type="dxa" w:w="60"/>
              <w:left w:type="dxa" w:w="100"/>
              <w:bottom w:type="dxa" w:w="60"/>
              <w:right w:type="dxa" w:w="100"/>
            </w:tcMar>
          </w:tcPr>
          <w:p>
            <w:pPr>
              <w:spacing w:after="20" w:before="20"/>
            </w:pPr>
            <w:r>
              <w:rPr>
                <w:rFonts w:ascii="Arial" w:cs="Arial" w:eastAsia="Arial" w:hAnsi="Arial"/>
                <w:b/>
                <w:bCs/>
                <w:color w:val="1A1410"/>
                <w:sz w:val="19"/>
                <w:szCs w:val="19"/>
              </w:rPr>
              <w:t xml:space="preserve">Type</w:t>
            </w:r>
          </w:p>
        </w:tc>
        <w:tc>
          <w:tcPr>
            <w:tcW w:type="dxa" w:w="3300"/>
            <w:tcBorders>
              <w:top w:val="single" w:color="CCCCCC" w:sz="1"/>
              <w:left w:val="single" w:color="CCCCCC" w:sz="1"/>
              <w:bottom w:val="single" w:color="CCCCCC" w:sz="1"/>
              <w:right w:val="single" w:color="CCCCCC" w:sz="1"/>
            </w:tcBorders>
            <w:shd w:fill="F4E8DC" w:val="clear"/>
            <w:tcMar>
              <w:top w:type="dxa" w:w="60"/>
              <w:left w:type="dxa" w:w="100"/>
              <w:bottom w:type="dxa" w:w="60"/>
              <w:right w:type="dxa" w:w="100"/>
            </w:tcMar>
          </w:tcPr>
          <w:p>
            <w:pPr>
              <w:spacing w:after="20" w:before="20"/>
            </w:pPr>
            <w:r>
              <w:rPr>
                <w:rFonts w:ascii="Arial" w:cs="Arial" w:eastAsia="Arial" w:hAnsi="Arial"/>
                <w:b/>
                <w:bCs/>
                <w:color w:val="1A1410"/>
                <w:sz w:val="19"/>
                <w:szCs w:val="19"/>
              </w:rPr>
              <w:t xml:space="preserve">Name / Host</w:t>
            </w:r>
          </w:p>
        </w:tc>
        <w:tc>
          <w:tcPr>
            <w:tcW w:type="dxa" w:w="3860"/>
            <w:tcBorders>
              <w:top w:val="single" w:color="CCCCCC" w:sz="1"/>
              <w:left w:val="single" w:color="CCCCCC" w:sz="1"/>
              <w:bottom w:val="single" w:color="CCCCCC" w:sz="1"/>
              <w:right w:val="single" w:color="CCCCCC" w:sz="1"/>
            </w:tcBorders>
            <w:shd w:fill="F4E8DC" w:val="clear"/>
            <w:tcMar>
              <w:top w:type="dxa" w:w="60"/>
              <w:left w:type="dxa" w:w="100"/>
              <w:bottom w:type="dxa" w:w="60"/>
              <w:right w:type="dxa" w:w="100"/>
            </w:tcMar>
          </w:tcPr>
          <w:p>
            <w:pPr>
              <w:spacing w:after="20" w:before="20"/>
            </w:pPr>
            <w:r>
              <w:rPr>
                <w:rFonts w:ascii="Arial" w:cs="Arial" w:eastAsia="Arial" w:hAnsi="Arial"/>
                <w:b/>
                <w:bCs/>
                <w:color w:val="1A1410"/>
                <w:sz w:val="19"/>
                <w:szCs w:val="19"/>
              </w:rPr>
              <w:t xml:space="preserve">Value</w:t>
            </w:r>
          </w:p>
        </w:tc>
        <w:tc>
          <w:tcPr>
            <w:tcW w:type="dxa" w:w="1200"/>
            <w:tcBorders>
              <w:top w:val="single" w:color="CCCCCC" w:sz="1"/>
              <w:left w:val="single" w:color="CCCCCC" w:sz="1"/>
              <w:bottom w:val="single" w:color="CCCCCC" w:sz="1"/>
              <w:right w:val="single" w:color="CCCCCC" w:sz="1"/>
            </w:tcBorders>
            <w:shd w:fill="F4E8DC" w:val="clear"/>
            <w:tcMar>
              <w:top w:type="dxa" w:w="60"/>
              <w:left w:type="dxa" w:w="100"/>
              <w:bottom w:type="dxa" w:w="60"/>
              <w:right w:type="dxa" w:w="100"/>
            </w:tcMar>
          </w:tcPr>
          <w:p>
            <w:pPr>
              <w:spacing w:after="20" w:before="20"/>
            </w:pPr>
            <w:r>
              <w:rPr>
                <w:rFonts w:ascii="Arial" w:cs="Arial" w:eastAsia="Arial" w:hAnsi="Arial"/>
                <w:b/>
                <w:bCs/>
                <w:color w:val="1A1410"/>
                <w:sz w:val="19"/>
                <w:szCs w:val="19"/>
              </w:rPr>
              <w:t xml:space="preserve">TTL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1A1410"/>
                <w:sz w:val="19"/>
                <w:szCs w:val="19"/>
              </w:rPr>
              <w:t xml:space="preserve">CNAME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color w:val="1A1410"/>
                <w:sz w:val="19"/>
                <w:szCs w:val="19"/>
              </w:rPr>
              <w:t xml:space="preserve">saxansaxo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1A1410"/>
                <w:sz w:val="19"/>
                <w:szCs w:val="19"/>
              </w:rPr>
              <w:t xml:space="preserve">&lt;CNAME target Railway shows for saxansaxo.kuja.org&gt;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1A1410"/>
                <w:sz w:val="19"/>
                <w:szCs w:val="19"/>
              </w:rPr>
              <w:t xml:space="preserve">300 / Auto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1A1410"/>
                <w:sz w:val="19"/>
                <w:szCs w:val="19"/>
              </w:rPr>
              <w:t xml:space="preserve">TXT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color w:val="1A1410"/>
                <w:sz w:val="19"/>
                <w:szCs w:val="19"/>
              </w:rPr>
              <w:t xml:space="preserve">_railway-verify.saxansaxo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1A1410"/>
                <w:sz w:val="19"/>
                <w:szCs w:val="19"/>
              </w:rPr>
              <w:t xml:space="preserve">&lt;exact TXT value Railway shows — starts railway-verify=&gt;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1A1410"/>
                <w:sz w:val="19"/>
                <w:szCs w:val="19"/>
              </w:rPr>
              <w:t xml:space="preserve">300 / Auto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1A1410"/>
                <w:sz w:val="19"/>
                <w:szCs w:val="19"/>
              </w:rPr>
              <w:t xml:space="preserve">CNAME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color w:val="1A1410"/>
                <w:sz w:val="19"/>
                <w:szCs w:val="19"/>
              </w:rPr>
              <w:t xml:space="preserve">sclr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1A1410"/>
                <w:sz w:val="19"/>
                <w:szCs w:val="19"/>
              </w:rPr>
              <w:t xml:space="preserve">&lt;CNAME target Railway shows for sclr.kuja.org&gt;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1A1410"/>
                <w:sz w:val="19"/>
                <w:szCs w:val="19"/>
              </w:rPr>
              <w:t xml:space="preserve">300 / Auto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1A1410"/>
                <w:sz w:val="19"/>
                <w:szCs w:val="19"/>
              </w:rPr>
              <w:t xml:space="preserve">TXT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color w:val="1A1410"/>
                <w:sz w:val="19"/>
                <w:szCs w:val="19"/>
              </w:rPr>
              <w:t xml:space="preserve">_railway-verify.sclr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1A1410"/>
                <w:sz w:val="19"/>
                <w:szCs w:val="19"/>
              </w:rPr>
              <w:t xml:space="preserve">&lt;exact TXT value Railway shows — starts railway-verify=&gt;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1A1410"/>
                <w:sz w:val="19"/>
                <w:szCs w:val="19"/>
              </w:rPr>
              <w:t xml:space="preserve">300 / Auto</w:t>
            </w:r>
          </w:p>
        </w:tc>
      </w:tr>
    </w:tbl>
    <w:p>
      <w:pPr>
        <w:spacing w:after="80" w:before="160"/>
      </w:pPr>
      <w:r>
        <w:rPr>
          <w:rFonts w:ascii="Arial" w:cs="Arial" w:eastAsia="Arial" w:hAnsi="Arial"/>
          <w:b/>
          <w:bCs/>
          <w:color w:val="92400E"/>
          <w:sz w:val="21"/>
          <w:szCs w:val="21"/>
        </w:rPr>
        <w:t xml:space="preserve">The two traps that cost us four days on proximate.kuja.org — please read:</w:t>
      </w:r>
    </w:p>
    <w:p>
      <w:pPr>
        <w:pStyle w:val="ListParagraph"/>
        <w:numPr>
          <w:ilvl w:val="0"/>
          <w:numId w:val="2"/>
        </w:numPr>
        <w:spacing w:after="40" w:before="40"/>
      </w:pPr>
      <w:r>
        <w:rPr>
          <w:rFonts w:ascii="Arial" w:cs="Arial" w:eastAsia="Arial" w:hAnsi="Arial"/>
          <w:b/>
          <w:bCs/>
          <w:color w:val="92400E"/>
          <w:sz w:val="21"/>
          <w:szCs w:val="21"/>
        </w:rPr>
        <w:t xml:space="preserve">Trap 1 — the doubled prefix. </w:t>
      </w:r>
      <w:r>
        <w:rPr>
          <w:rFonts w:ascii="Arial" w:cs="Arial" w:eastAsia="Arial" w:hAnsi="Arial"/>
          <w:color w:val="1A1410"/>
          <w:sz w:val="21"/>
          <w:szCs w:val="21"/>
        </w:rPr>
        <w:t xml:space="preserve">The TXT value must be the string Railway shows, pasted ONCE. Last time the record was saved as "railway-verify=railway-verify=…" (a copy-paste slip: the DNS console field already implied the prefix). Railway’s check is exact-match, so it failed silently while a quick nslookup "looked fine". After saving, read the record back character-by-character.</w:t>
      </w:r>
    </w:p>
    <w:p>
      <w:pPr>
        <w:pStyle w:val="ListParagraph"/>
        <w:numPr>
          <w:ilvl w:val="0"/>
          <w:numId w:val="2"/>
        </w:numPr>
        <w:spacing w:after="40" w:before="40"/>
      </w:pPr>
      <w:r>
        <w:rPr>
          <w:rFonts w:ascii="Arial" w:cs="Arial" w:eastAsia="Arial" w:hAnsi="Arial"/>
          <w:b/>
          <w:bCs/>
          <w:color w:val="92400E"/>
          <w:sz w:val="21"/>
          <w:szCs w:val="21"/>
        </w:rPr>
        <w:t xml:space="preserve">Trap 2 — proxied CNAME. </w:t>
      </w:r>
      <w:r>
        <w:rPr>
          <w:rFonts w:ascii="Arial" w:cs="Arial" w:eastAsia="Arial" w:hAnsi="Arial"/>
          <w:color w:val="1A1410"/>
          <w:sz w:val="21"/>
          <w:szCs w:val="21"/>
        </w:rPr>
        <w:t xml:space="preserve">If the DNS host is Cloudflare (or similar), the CNAME records must be DNS-only (grey cloud), NOT proxied. Railway has to see the CNAME directly to issue the certificate.</w:t>
      </w:r>
    </w:p>
    <w:p>
      <w:pPr>
        <w:pStyle w:val="ListParagraph"/>
        <w:numPr>
          <w:ilvl w:val="0"/>
          <w:numId w:val="2"/>
        </w:numPr>
        <w:spacing w:after="40" w:before="40"/>
      </w:pPr>
      <w:r>
        <w:rPr>
          <w:rFonts w:ascii="Arial" w:cs="Arial" w:eastAsia="Arial" w:hAnsi="Arial"/>
          <w:b/>
          <w:bCs/>
          <w:color w:val="1A1410"/>
          <w:sz w:val="21"/>
          <w:szCs w:val="21"/>
        </w:rPr>
        <w:t xml:space="preserve">Do not touch </w:t>
      </w:r>
      <w:r>
        <w:rPr>
          <w:rFonts w:ascii="Arial" w:cs="Arial" w:eastAsia="Arial" w:hAnsi="Arial"/>
          <w:color w:val="1A1410"/>
          <w:sz w:val="21"/>
          <w:szCs w:val="21"/>
        </w:rPr>
        <w:t xml:space="preserve">the existing proximate / near records, and do not create any A records for these names.</w:t>
      </w:r>
    </w:p>
    <w:p>
      <w:pPr>
        <w:pStyle w:val="Heading1"/>
        <w:spacing w:after="120" w:before="300"/>
      </w:pPr>
      <w:r>
        <w:rPr>
          <w:rFonts w:ascii="Arial" w:cs="Arial" w:eastAsia="Arial" w:hAnsi="Arial"/>
          <w:b/>
          <w:bCs/>
          <w:color w:val="7C2D12"/>
          <w:sz w:val="28"/>
          <w:szCs w:val="28"/>
        </w:rPr>
        <w:t xml:space="preserve">Step C — Verify (IT + Idiris)</w:t>
      </w:r>
    </w:p>
    <w:p>
      <w:pPr>
        <w:pStyle w:val="ListParagraph"/>
        <w:numPr>
          <w:ilvl w:val="0"/>
          <w:numId w:val="3"/>
        </w:numPr>
        <w:spacing w:after="50" w:before="50"/>
      </w:pPr>
      <w:r>
        <w:rPr>
          <w:rFonts w:ascii="Arial" w:cs="Arial" w:eastAsia="Arial" w:hAnsi="Arial"/>
          <w:color w:val="1A1410"/>
          <w:sz w:val="21"/>
          <w:szCs w:val="21"/>
        </w:rPr>
        <w:t xml:space="preserve">IT sanity checks (any terminal): </w:t>
      </w:r>
      <w:r>
        <w:rPr>
          <w:rFonts w:ascii="Arial" w:cs="Arial" w:eastAsia="Arial" w:hAnsi="Arial"/>
          <w:b/>
          <w:bCs/>
          <w:color w:val="1A1410"/>
          <w:sz w:val="21"/>
          <w:szCs w:val="21"/>
        </w:rPr>
        <w:t xml:space="preserve">nslookup -type=CNAME saxansaxo.kuja.org</w:t>
      </w:r>
      <w:r>
        <w:rPr>
          <w:rFonts w:ascii="Arial" w:cs="Arial" w:eastAsia="Arial" w:hAnsi="Arial"/>
          <w:color w:val="1A1410"/>
          <w:sz w:val="21"/>
          <w:szCs w:val="21"/>
        </w:rPr>
        <w:t xml:space="preserve">  and  </w:t>
      </w:r>
      <w:r>
        <w:rPr>
          <w:rFonts w:ascii="Arial" w:cs="Arial" w:eastAsia="Arial" w:hAnsi="Arial"/>
          <w:b/>
          <w:bCs/>
          <w:color w:val="1A1410"/>
          <w:sz w:val="21"/>
          <w:szCs w:val="21"/>
        </w:rPr>
        <w:t xml:space="preserve">nslookup -type=TXT _railway-verify.saxansaxo.kuja.org</w:t>
      </w:r>
      <w:r>
        <w:rPr>
          <w:rFonts w:ascii="Arial" w:cs="Arial" w:eastAsia="Arial" w:hAnsi="Arial"/>
          <w:color w:val="1A1410"/>
          <w:sz w:val="21"/>
          <w:szCs w:val="21"/>
        </w:rPr>
        <w:t xml:space="preserve"> (repeat for sclr). Confirm the values match Step A exactly.</w:t>
      </w:r>
    </w:p>
    <w:p>
      <w:pPr>
        <w:pStyle w:val="ListParagraph"/>
        <w:numPr>
          <w:ilvl w:val="0"/>
          <w:numId w:val="3"/>
        </w:numPr>
        <w:spacing w:after="50" w:before="50"/>
      </w:pPr>
      <w:r>
        <w:rPr>
          <w:rFonts w:ascii="Arial" w:cs="Arial" w:eastAsia="Arial" w:hAnsi="Arial"/>
          <w:color w:val="1A1410"/>
          <w:sz w:val="21"/>
          <w:szCs w:val="21"/>
        </w:rPr>
        <w:t xml:space="preserve">Railway dashboard: each domain should move to verified with the certificate issued — typically under 5 minutes once DNS propagates.</w:t>
      </w:r>
    </w:p>
    <w:p>
      <w:pPr>
        <w:pStyle w:val="ListParagraph"/>
        <w:numPr>
          <w:ilvl w:val="0"/>
          <w:numId w:val="3"/>
        </w:numPr>
        <w:spacing w:after="50" w:before="50"/>
      </w:pPr>
      <w:r>
        <w:rPr>
          <w:rFonts w:ascii="Arial" w:cs="Arial" w:eastAsia="Arial" w:hAnsi="Arial"/>
          <w:b/>
          <w:bCs/>
          <w:color w:val="1A1410"/>
          <w:sz w:val="21"/>
          <w:szCs w:val="21"/>
        </w:rPr>
        <w:t xml:space="preserve">If Railway sits on "Waiting for DNS update" for more than ~30 minutes </w:t>
      </w:r>
      <w:r>
        <w:rPr>
          <w:rFonts w:ascii="Arial" w:cs="Arial" w:eastAsia="Arial" w:hAnsi="Arial"/>
          <w:color w:val="1A1410"/>
          <w:sz w:val="21"/>
          <w:szCs w:val="21"/>
        </w:rPr>
        <w:t xml:space="preserve">even though nslookup shows correct records: this is a known Railway quirk — its verification state gets stuck. The fix that worked for proximate.kuja.org: in Railway, DELETE the domain entry and immediately RE-ADD the same domain. Verification then completes in seconds with the same DNS records (no DNS change needed).</w:t>
      </w:r>
    </w:p>
    <w:p>
      <w:pPr>
        <w:pStyle w:val="ListParagraph"/>
        <w:numPr>
          <w:ilvl w:val="0"/>
          <w:numId w:val="3"/>
        </w:numPr>
        <w:spacing w:after="50" w:before="50"/>
      </w:pPr>
      <w:r>
        <w:rPr>
          <w:rFonts w:ascii="Arial" w:cs="Arial" w:eastAsia="Arial" w:hAnsi="Arial"/>
          <w:color w:val="1A1410"/>
          <w:sz w:val="21"/>
          <w:szCs w:val="21"/>
        </w:rPr>
        <w:t xml:space="preserve">Done when: </w:t>
      </w:r>
      <w:r>
        <w:rPr>
          <w:rFonts w:ascii="Arial" w:cs="Arial" w:eastAsia="Arial" w:hAnsi="Arial"/>
          <w:b/>
          <w:bCs/>
          <w:color w:val="1A1410"/>
          <w:sz w:val="21"/>
          <w:szCs w:val="21"/>
        </w:rPr>
        <w:t xml:space="preserve">https://saxansaxo.kuja.org</w:t>
      </w:r>
      <w:r>
        <w:rPr>
          <w:rFonts w:ascii="Arial" w:cs="Arial" w:eastAsia="Arial" w:hAnsi="Arial"/>
          <w:color w:val="1A1410"/>
          <w:sz w:val="21"/>
          <w:szCs w:val="21"/>
        </w:rPr>
        <w:t xml:space="preserve"> and </w:t>
      </w:r>
      <w:r>
        <w:rPr>
          <w:rFonts w:ascii="Arial" w:cs="Arial" w:eastAsia="Arial" w:hAnsi="Arial"/>
          <w:b/>
          <w:bCs/>
          <w:color w:val="1A1410"/>
          <w:sz w:val="21"/>
          <w:szCs w:val="21"/>
        </w:rPr>
        <w:t xml:space="preserve">https://sclr.kuja.org</w:t>
      </w:r>
      <w:r>
        <w:rPr>
          <w:rFonts w:ascii="Arial" w:cs="Arial" w:eastAsia="Arial" w:hAnsi="Arial"/>
          <w:color w:val="1A1410"/>
          <w:sz w:val="21"/>
          <w:szCs w:val="21"/>
        </w:rPr>
        <w:t xml:space="preserve"> load the Saxansaxo sign-in page (teal branding, Somali-first) with a valid padlock. Tell Idiris — a full verification pass of the console and public pages on both domains runs after that.</w:t>
      </w:r>
    </w:p>
    <w:p>
      <w:pPr>
        <w:pStyle w:val="Heading1"/>
        <w:spacing w:after="120" w:before="300"/>
      </w:pPr>
      <w:r>
        <w:rPr>
          <w:rFonts w:ascii="Arial" w:cs="Arial" w:eastAsia="Arial" w:hAnsi="Arial"/>
          <w:b/>
          <w:bCs/>
          <w:color w:val="7C2D12"/>
          <w:sz w:val="28"/>
          <w:szCs w:val="28"/>
        </w:rPr>
        <w:t xml:space="preserve">Good to know</w:t>
      </w:r>
    </w:p>
    <w:p>
      <w:pPr>
        <w:pStyle w:val="ListParagraph"/>
        <w:numPr>
          <w:ilvl w:val="0"/>
          <w:numId w:val="2"/>
        </w:numPr>
        <w:spacing w:after="40" w:before="40"/>
      </w:pPr>
      <w:r>
        <w:rPr>
          <w:rFonts w:ascii="Arial" w:cs="Arial" w:eastAsia="Arial" w:hAnsi="Arial"/>
          <w:b/>
          <w:bCs/>
          <w:color w:val="1A1410"/>
          <w:sz w:val="21"/>
          <w:szCs w:val="21"/>
        </w:rPr>
        <w:t xml:space="preserve">Both domains serve the same system </w:t>
      </w:r>
      <w:r>
        <w:rPr>
          <w:rFonts w:ascii="Arial" w:cs="Arial" w:eastAsia="Arial" w:hAnsi="Arial"/>
          <w:color w:val="1A1410"/>
          <w:sz w:val="21"/>
          <w:szCs w:val="21"/>
        </w:rPr>
        <w:t xml:space="preserve">— sclr.kuja.org is a straight alias, useful for outreach materials that lead with the methodology name. No redirect between them for now; we can make one canonical later if the team prefers.</w:t>
      </w:r>
    </w:p>
    <w:p>
      <w:pPr>
        <w:pStyle w:val="ListParagraph"/>
        <w:numPr>
          <w:ilvl w:val="0"/>
          <w:numId w:val="2"/>
        </w:numPr>
        <w:spacing w:after="40" w:before="40"/>
      </w:pPr>
      <w:r>
        <w:rPr>
          <w:rFonts w:ascii="Arial" w:cs="Arial" w:eastAsia="Arial" w:hAnsi="Arial"/>
          <w:b/>
          <w:bCs/>
          <w:color w:val="1A1410"/>
          <w:sz w:val="21"/>
          <w:szCs w:val="21"/>
        </w:rPr>
        <w:t xml:space="preserve">Rollback is clean: </w:t>
      </w:r>
      <w:r>
        <w:rPr>
          <w:rFonts w:ascii="Arial" w:cs="Arial" w:eastAsia="Arial" w:hAnsi="Arial"/>
          <w:color w:val="1A1410"/>
          <w:sz w:val="21"/>
          <w:szCs w:val="21"/>
        </w:rPr>
        <w:t xml:space="preserve">removing the DNS records (or the Railway domain entries) simply reverts to the temporary access URL. Nothing in the application breaks.</w:t>
      </w:r>
    </w:p>
    <w:p>
      <w:pPr>
        <w:pStyle w:val="ListParagraph"/>
        <w:numPr>
          <w:ilvl w:val="0"/>
          <w:numId w:val="2"/>
        </w:numPr>
        <w:spacing w:after="40" w:before="40"/>
      </w:pPr>
      <w:r>
        <w:rPr>
          <w:rFonts w:ascii="Arial" w:cs="Arial" w:eastAsia="Arial" w:hAnsi="Arial"/>
          <w:b/>
          <w:bCs/>
          <w:color w:val="1A1410"/>
          <w:sz w:val="21"/>
          <w:szCs w:val="21"/>
        </w:rPr>
        <w:t xml:space="preserve">Housekeeping while in the DNS console: </w:t>
      </w:r>
      <w:r>
        <w:rPr>
          <w:rFonts w:ascii="Arial" w:cs="Arial" w:eastAsia="Arial" w:hAnsi="Arial"/>
          <w:color w:val="1A1410"/>
          <w:sz w:val="21"/>
          <w:szCs w:val="21"/>
        </w:rPr>
        <w:t xml:space="preserve">the stale proximate.adesoafrica.org entry in Railway has no DNS behind it and can be deleted (dashboard-only, optional).</w:t>
      </w:r>
    </w:p>
    <w:p>
      <w:pPr>
        <w:spacing w:after="80" w:before="160"/>
      </w:pPr>
      <w:r>
        <w:rPr>
          <w:rFonts w:ascii="Arial" w:cs="Arial" w:eastAsia="Arial" w:hAnsi="Arial"/>
          <w:i/>
          <w:iCs/>
          <w:color w:val="6B655F"/>
          <w:sz w:val="21"/>
          <w:szCs w:val="21"/>
        </w:rPr>
        <w:t xml:space="preserve">Questions: Idiris (platform) — attach the Step A screenshot when handing to IT so the values travel with this document.</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2026-07-21T13:16:22.301Z</dcterms:created>
  <dcterms:modified xsi:type="dcterms:W3CDTF">2026-07-21T13:16:22.305Z</dcterms:modified>
</cp:coreProperties>
</file>

<file path=docProps/custom.xml><?xml version="1.0" encoding="utf-8"?>
<Properties xmlns="http://schemas.openxmlformats.org/officeDocument/2006/custom-properties" xmlns:vt="http://schemas.openxmlformats.org/officeDocument/2006/docPropsVTypes"/>
</file>