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200"/>
      </w:pPr>
      <w:r>
        <w:rPr>
          <w:rFonts w:ascii="Arial" w:cs="Arial" w:eastAsia="Arial" w:hAnsi="Arial"/>
          <w:b/>
          <w:bCs/>
          <w:color w:val="C2410C"/>
          <w:sz w:val="22"/>
          <w:szCs w:val="22"/>
        </w:rPr>
        <w:t xml:space="preserve">ADESO · PROXIMATE FUND</w:t>
      </w:r>
    </w:p>
    <w:p>
      <w:pPr>
        <w:spacing w:after="140"/>
      </w:pPr>
      <w:r>
        <w:rPr>
          <w:rFonts w:ascii="Arial" w:cs="Arial" w:eastAsia="Arial" w:hAnsi="Arial"/>
          <w:b/>
          <w:bCs/>
          <w:color w:val="1A1410"/>
          <w:sz w:val="66"/>
          <w:szCs w:val="66"/>
        </w:rPr>
        <w:t xml:space="preserve">User Guide</w:t>
      </w:r>
    </w:p>
    <w:p>
      <w:pPr>
        <w:spacing w:after="400"/>
      </w:pPr>
      <w:r>
        <w:rPr>
          <w:rFonts w:ascii="Arial" w:cs="Arial" w:eastAsia="Arial" w:hAnsi="Arial"/>
          <w:color w:val="6B655F"/>
          <w:sz w:val="26"/>
          <w:szCs w:val="26"/>
        </w:rPr>
        <w:t xml:space="preserve">How to run a funding round, from the donor’s money arriving to the partner’s report coming back.</w:t>
      </w:r>
    </w:p>
    <w:p>
      <w:pPr>
        <w:spacing w:after="90" w:before="90"/>
      </w:pPr>
      <w:r>
        <w:rPr>
          <w:rFonts w:ascii="Arial" w:cs="Arial" w:eastAsia="Arial" w:hAnsi="Arial"/>
          <w:color w:val="6B655F"/>
          <w:sz w:val="20"/>
          <w:szCs w:val="20"/>
        </w:rPr>
        <w:t xml:space="preserve">July 2026 · First edition</w:t>
      </w:r>
    </w:p>
    <w:p>
      <w:pPr>
        <w:spacing w:after="90" w:before="90"/>
      </w:pPr>
      <w:r>
        <w:rPr>
          <w:rFonts w:ascii="Arial" w:cs="Arial" w:eastAsia="Arial" w:hAnsi="Arial"/>
          <w:color w:val="6B655F"/>
          <w:sz w:val="20"/>
          <w:szCs w:val="20"/>
        </w:rPr>
        <w:t xml:space="preserve">For the Adeso secretariat and Oversight Body members.</w:t>
      </w:r>
    </w:p>
    <w:p>
      <w:r>
        <w:br w:type="page"/>
      </w:r>
    </w:p>
    <w:p>
      <w:pPr>
        <w:pStyle w:val="Heading1"/>
      </w:pPr>
      <w:r>
        <w:t xml:space="preserve">What’s in this guide</w:t>
      </w:r>
    </w:p>
    <w:p>
      <w:pPr>
        <w:spacing w:after="90" w:before="90"/>
      </w:pPr>
      <w:r>
        <w:rPr>
          <w:rFonts w:ascii="Arial" w:cs="Arial" w:eastAsia="Arial" w:hAnsi="Arial"/>
          <w:i/>
          <w:iCs/>
          <w:color w:val="6B655F"/>
          <w:sz w:val="19"/>
          <w:szCs w:val="19"/>
        </w:rPr>
        <w:t xml:space="preserve">If the contents list below looks empty or out of date, click it once and press F9 to refresh it.</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Start here</w:t>
      </w:r>
    </w:p>
    <w:p>
      <w:pPr>
        <w:pStyle w:val="Heading2"/>
      </w:pPr>
      <w:r>
        <w:t xml:space="preserve">What this system is for</w:t>
      </w:r>
    </w:p>
    <w:p>
      <w:pPr>
        <w:spacing w:after="90" w:before="90"/>
      </w:pPr>
      <w:r>
        <w:rPr>
          <w:rFonts w:ascii="Arial" w:cs="Arial" w:eastAsia="Arial" w:hAnsi="Arial"/>
          <w:color w:val="1A1410"/>
          <w:sz w:val="21"/>
          <w:szCs w:val="21"/>
        </w:rPr>
        <w:t xml:space="preserve">The Proximate Fund moves money to community organisations in Sudan quickly, and keeps a complete record of why each decision was made. This system is where that happens. Every step of the fund’s standard operating procedures — nominating a partner, collecting community endorsements, running due diligence, releasing money, chasing the report — is a screen in this application rather than a spreadsheet, a WhatsApp thread, or a folder on someone’s laptop.</w:t>
      </w:r>
    </w:p>
    <w:p>
      <w:pPr>
        <w:spacing w:after="90" w:before="90"/>
      </w:pPr>
      <w:r>
        <w:rPr>
          <w:rFonts w:ascii="Arial" w:cs="Arial" w:eastAsia="Arial" w:hAnsi="Arial"/>
          <w:color w:val="1A1410"/>
          <w:sz w:val="21"/>
          <w:szCs w:val="21"/>
        </w:rPr>
        <w:t xml:space="preserve">Two things follow from that, and they shape everything in this guide. First, the system will not let you skip a control. If a partner has not been endorsed, you cannot pay them; if a payment route has not been verified, it will not appear in the dropdown. When something is greyed out, that is the SOP talking, not a bug. Second, every action you take is written to a tamper-evident log with your name on it. That is what lets Adeso show a donor exactly how a decision was reached, months later.</w:t>
      </w:r>
    </w:p>
    <w:p>
      <w:pPr>
        <w:pStyle w:val="Heading2"/>
      </w:pPr>
      <w:r>
        <w:t xml:space="preserve">Who does what</w:t>
      </w:r>
    </w:p>
    <w:p>
      <w:pPr>
        <w:spacing w:after="90" w:before="90"/>
      </w:pPr>
      <w:r>
        <w:rPr>
          <w:rFonts w:ascii="Arial" w:cs="Arial" w:eastAsia="Arial" w:hAnsi="Arial"/>
          <w:color w:val="1A1410"/>
          <w:sz w:val="21"/>
          <w:szCs w:val="21"/>
        </w:rPr>
        <w:t xml:space="preserve">Only two kinds of people sign in to this system. Everyone else takes part through a link you send them — no account, no password.</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6160"/>
      </w:tblGrid>
      <w:tr>
        <w:trPr>
          <w:tblHeader/>
        </w:trPr>
        <w:tc>
          <w:tcPr>
            <w:tcW w:type="dxa" w:w="1900"/>
            <w:tcBorders>
              <w:top w:val="single" w:color="D8CCBC" w:sz="1"/>
              <w:left w:val="single" w:color="D8CCBC" w:sz="1"/>
              <w:bottom w:val="single" w:color="D8CCBC" w:sz="1"/>
              <w:right w:val="single" w:color="D8CCBC" w:sz="1"/>
            </w:tcBorders>
            <w:shd w:fill="F4E8DC" w:val="clear"/>
            <w:tcMar>
              <w:top w:type="dxa" w:w="70"/>
              <w:left w:type="dxa" w:w="110"/>
              <w:bottom w:type="dxa" w:w="70"/>
              <w:right w:type="dxa" w:w="110"/>
            </w:tcMar>
          </w:tcPr>
          <w:p>
            <w:pPr>
              <w:spacing w:after="20" w:before="20"/>
            </w:pPr>
            <w:r>
              <w:rPr>
                <w:rFonts w:ascii="Arial" w:cs="Arial" w:eastAsia="Arial" w:hAnsi="Arial"/>
                <w:b/>
                <w:bCs/>
                <w:color w:val="1A1410"/>
                <w:sz w:val="19"/>
                <w:szCs w:val="19"/>
              </w:rPr>
              <w:t xml:space="preserve">Role</w:t>
            </w:r>
          </w:p>
        </w:tc>
        <w:tc>
          <w:tcPr>
            <w:tcW w:type="dxa" w:w="1300"/>
            <w:tcBorders>
              <w:top w:val="single" w:color="D8CCBC" w:sz="1"/>
              <w:left w:val="single" w:color="D8CCBC" w:sz="1"/>
              <w:bottom w:val="single" w:color="D8CCBC" w:sz="1"/>
              <w:right w:val="single" w:color="D8CCBC" w:sz="1"/>
            </w:tcBorders>
            <w:shd w:fill="F4E8DC" w:val="clear"/>
            <w:tcMar>
              <w:top w:type="dxa" w:w="70"/>
              <w:left w:type="dxa" w:w="110"/>
              <w:bottom w:type="dxa" w:w="70"/>
              <w:right w:type="dxa" w:w="110"/>
            </w:tcMar>
          </w:tcPr>
          <w:p>
            <w:pPr>
              <w:spacing w:after="20" w:before="20"/>
            </w:pPr>
            <w:r>
              <w:rPr>
                <w:rFonts w:ascii="Arial" w:cs="Arial" w:eastAsia="Arial" w:hAnsi="Arial"/>
                <w:b/>
                <w:bCs/>
                <w:color w:val="1A1410"/>
                <w:sz w:val="19"/>
                <w:szCs w:val="19"/>
              </w:rPr>
              <w:t xml:space="preserve">Signs in?</w:t>
            </w:r>
          </w:p>
        </w:tc>
        <w:tc>
          <w:tcPr>
            <w:tcW w:type="dxa" w:w="6160"/>
            <w:tcBorders>
              <w:top w:val="single" w:color="D8CCBC" w:sz="1"/>
              <w:left w:val="single" w:color="D8CCBC" w:sz="1"/>
              <w:bottom w:val="single" w:color="D8CCBC" w:sz="1"/>
              <w:right w:val="single" w:color="D8CCBC" w:sz="1"/>
            </w:tcBorders>
            <w:shd w:fill="F4E8DC" w:val="clear"/>
            <w:tcMar>
              <w:top w:type="dxa" w:w="70"/>
              <w:left w:type="dxa" w:w="110"/>
              <w:bottom w:type="dxa" w:w="70"/>
              <w:right w:type="dxa" w:w="110"/>
            </w:tcMar>
          </w:tcPr>
          <w:p>
            <w:pPr>
              <w:spacing w:after="20" w:before="20"/>
            </w:pPr>
            <w:r>
              <w:rPr>
                <w:rFonts w:ascii="Arial" w:cs="Arial" w:eastAsia="Arial" w:hAnsi="Arial"/>
                <w:b/>
                <w:bCs/>
                <w:color w:val="1A1410"/>
                <w:sz w:val="19"/>
                <w:szCs w:val="19"/>
              </w:rPr>
              <w:t xml:space="preserve">What they do</w:t>
            </w:r>
          </w:p>
        </w:tc>
      </w:tr>
      <w:tr>
        <w:tc>
          <w:tcPr>
            <w:tcW w:type="dxa" w:w="19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Oversight Body (OB)</w:t>
            </w:r>
          </w:p>
        </w:tc>
        <w:tc>
          <w:tcPr>
            <w:tcW w:type="dxa" w:w="13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Yes</w:t>
            </w:r>
          </w:p>
        </w:tc>
        <w:tc>
          <w:tcPr>
            <w:tcW w:type="dxa" w:w="61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Runs the fund. Opens rounds, clears partners, releases money, reviews reports, approves what a donor gets to see. Most of this guide is written for you.</w:t>
            </w:r>
          </w:p>
        </w:tc>
      </w:tr>
      <w:tr>
        <w:tc>
          <w:tcPr>
            <w:tcW w:type="dxa" w:w="19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Donor</w:t>
            </w:r>
          </w:p>
        </w:tc>
        <w:tc>
          <w:tcPr>
            <w:tcW w:type="dxa" w:w="13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Yes</w:t>
            </w:r>
          </w:p>
        </w:tc>
        <w:tc>
          <w:tcPr>
            <w:tcW w:type="dxa" w:w="61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Sees the rounds they fund, outcome summaries, and published reports. Cannot see partner personal details.</w:t>
            </w:r>
          </w:p>
        </w:tc>
      </w:tr>
      <w:tr>
        <w:tc>
          <w:tcPr>
            <w:tcW w:type="dxa" w:w="19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Partner</w:t>
            </w:r>
          </w:p>
        </w:tc>
        <w:tc>
          <w:tcPr>
            <w:tcW w:type="dxa" w:w="13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No — link</w:t>
            </w:r>
          </w:p>
        </w:tc>
        <w:tc>
          <w:tcPr>
            <w:tcW w:type="dxa" w:w="61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The funded community organisation. Receives money, sends back a report and, later, a 90-day outcome attestation.</w:t>
            </w:r>
          </w:p>
        </w:tc>
      </w:tr>
      <w:tr>
        <w:tc>
          <w:tcPr>
            <w:tcW w:type="dxa" w:w="19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Endorser</w:t>
            </w:r>
          </w:p>
        </w:tc>
        <w:tc>
          <w:tcPr>
            <w:tcW w:type="dxa" w:w="13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No — link</w:t>
            </w:r>
          </w:p>
        </w:tc>
        <w:tc>
          <w:tcPr>
            <w:tcW w:type="dxa" w:w="61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A community member (often an elder) who vouches for a partner by answering three questions.</w:t>
            </w:r>
          </w:p>
        </w:tc>
      </w:tr>
      <w:tr>
        <w:tc>
          <w:tcPr>
            <w:tcW w:type="dxa" w:w="19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Panel member</w:t>
            </w:r>
          </w:p>
        </w:tc>
        <w:tc>
          <w:tcPr>
            <w:tcW w:type="dxa" w:w="13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No — link</w:t>
            </w:r>
          </w:p>
        </w:tc>
        <w:tc>
          <w:tcPr>
            <w:tcW w:type="dxa" w:w="61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Votes on which nominated partners a round should fund.</w:t>
            </w:r>
          </w:p>
        </w:tc>
      </w:tr>
      <w:tr>
        <w:tc>
          <w:tcPr>
            <w:tcW w:type="dxa" w:w="19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Independent verifier</w:t>
            </w:r>
          </w:p>
        </w:tc>
        <w:tc>
          <w:tcPr>
            <w:tcW w:type="dxa" w:w="13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No — link</w:t>
            </w:r>
          </w:p>
        </w:tc>
        <w:tc>
          <w:tcPr>
            <w:tcW w:type="dxa" w:w="61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A conflict-free third party asked to confirm or dispute one disbursement.</w:t>
            </w:r>
          </w:p>
        </w:tc>
      </w:tr>
      <w:tr>
        <w:tc>
          <w:tcPr>
            <w:tcW w:type="dxa" w:w="19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Anyone</w:t>
            </w:r>
          </w:p>
        </w:tc>
        <w:tc>
          <w:tcPr>
            <w:tcW w:type="dxa" w:w="13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No — link</w:t>
            </w:r>
          </w:p>
        </w:tc>
        <w:tc>
          <w:tcPr>
            <w:tcW w:type="dxa" w:w="61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Can nominate an organisation, or raise a grievance anonymously.</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F6EC" w:sz="1"/>
              <w:left w:val="single" w:color="92400E" w:sz="18"/>
              <w:bottom w:val="single" w:color="FDF6EC" w:sz="1"/>
              <w:right w:val="single" w:color="FDF6EC" w:sz="1"/>
            </w:tcBorders>
            <w:shd w:fill="FDF6EC" w:val="clear"/>
            <w:tcMar>
              <w:top w:type="dxa" w:w="100"/>
              <w:left w:type="dxa" w:w="160"/>
              <w:bottom w:type="dxa" w:w="100"/>
              <w:right w:type="dxa" w:w="140"/>
            </w:tcMar>
          </w:tcPr>
          <w:p>
            <w:pPr>
              <w:spacing w:after="0" w:before="0"/>
            </w:pPr>
            <w:r>
              <w:rPr>
                <w:rFonts w:ascii="Arial" w:cs="Arial" w:eastAsia="Arial" w:hAnsi="Arial"/>
                <w:b/>
                <w:bCs/>
                <w:color w:val="92400E"/>
                <w:sz w:val="19"/>
                <w:szCs w:val="19"/>
              </w:rPr>
              <w:t xml:space="preserve">Take care — </w:t>
            </w:r>
            <w:r>
              <w:rPr>
                <w:rFonts w:ascii="Arial" w:cs="Arial" w:eastAsia="Arial" w:hAnsi="Arial"/>
                <w:color w:val="1A1410"/>
                <w:sz w:val="19"/>
                <w:szCs w:val="19"/>
              </w:rPr>
              <w:t xml:space="preserve">Two OB members are required for the decisions that matter — activating a round and releasing money above the threshold. </w:t>
            </w:r>
            <w:r>
              <w:rPr>
                <w:rFonts w:ascii="Arial" w:cs="Arial" w:eastAsia="Arial" w:hAnsi="Arial"/>
                <w:b/>
                <w:bCs/>
                <w:color w:val="1A1410"/>
                <w:sz w:val="19"/>
                <w:szCs w:val="19"/>
              </w:rPr>
              <w:t xml:space="preserve">You cannot co-sign your own action.</w:t>
            </w:r>
            <w:r>
              <w:rPr>
                <w:rFonts w:ascii="Arial" w:cs="Arial" w:eastAsia="Arial" w:hAnsi="Arial"/>
                <w:color w:val="1A1410"/>
                <w:sz w:val="19"/>
                <w:szCs w:val="19"/>
              </w:rPr>
              <w:t xml:space="preserve"> That is deliberate, and it means the fund needs at least two active OB members at all times.</w:t>
            </w:r>
          </w:p>
        </w:tc>
      </w:tr>
    </w:tbl>
    <w:p>
      <w:pPr>
        <w:pStyle w:val="Heading2"/>
      </w:pPr>
      <w:r>
        <w:t xml:space="preserve">Signing in</w:t>
      </w:r>
    </w:p>
    <w:p>
      <w:pPr>
        <w:spacing w:after="90" w:before="90"/>
      </w:pPr>
      <w:r>
        <w:rPr>
          <w:rFonts w:ascii="Arial" w:cs="Arial" w:eastAsia="Arial" w:hAnsi="Arial"/>
          <w:color w:val="1A1410"/>
          <w:sz w:val="21"/>
          <w:szCs w:val="21"/>
        </w:rPr>
        <w:t xml:space="preserve">Go to https://proximate.kuja.org and sign in with your Adeso email address and password. The fund’s own branding tells you that you are in the right place; if you see the generic Kuja marketplace instead, you are on the wrong address.</w:t>
      </w:r>
    </w:p>
    <w:p>
      <w:pPr>
        <w:spacing w:after="90" w:before="90"/>
      </w:pPr>
      <w:r>
        <w:rPr>
          <w:rFonts w:ascii="Arial" w:cs="Arial" w:eastAsia="Arial" w:hAnsi="Arial"/>
          <w:color w:val="1A1410"/>
          <w:sz w:val="21"/>
          <w:szCs w:val="21"/>
        </w:rPr>
        <w:t xml:space="preserve">The interface is available in Arabic and English. Change it under Settings — your choice sticks to your account, so it follows you between devices and does not affect anybody else. Arabic users get a right-to-left layout automatically.</w:t>
      </w:r>
    </w:p>
    <w:p>
      <w:pPr>
        <w:pStyle w:val="Heading2"/>
      </w:pPr>
      <w:r>
        <w:t xml:space="preserve">Finding your way around</w:t>
      </w:r>
    </w:p>
    <w:p>
      <w:pPr>
        <w:spacing w:after="90" w:before="90"/>
      </w:pPr>
      <w:r>
        <w:rPr>
          <w:rFonts w:ascii="Arial" w:cs="Arial" w:eastAsia="Arial" w:hAnsi="Arial"/>
          <w:color w:val="1A1410"/>
          <w:sz w:val="21"/>
          <w:szCs w:val="21"/>
        </w:rPr>
        <w:t xml:space="preserve">The menu down the left is in three groups. You will spend most of your time in the first one.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4260"/>
      </w:tblGrid>
      <w:tr>
        <w:trPr>
          <w:tblHeader/>
        </w:trPr>
        <w:tc>
          <w:tcPr>
            <w:tcW w:type="dxa" w:w="1800"/>
            <w:tcBorders>
              <w:top w:val="single" w:color="D8CCBC" w:sz="1"/>
              <w:left w:val="single" w:color="D8CCBC" w:sz="1"/>
              <w:bottom w:val="single" w:color="D8CCBC" w:sz="1"/>
              <w:right w:val="single" w:color="D8CCBC" w:sz="1"/>
            </w:tcBorders>
            <w:shd w:fill="F4E8DC" w:val="clear"/>
            <w:tcMar>
              <w:top w:type="dxa" w:w="70"/>
              <w:left w:type="dxa" w:w="110"/>
              <w:bottom w:type="dxa" w:w="70"/>
              <w:right w:type="dxa" w:w="110"/>
            </w:tcMar>
          </w:tcPr>
          <w:p>
            <w:pPr>
              <w:spacing w:after="20" w:before="20"/>
            </w:pPr>
            <w:r>
              <w:rPr>
                <w:rFonts w:ascii="Arial" w:cs="Arial" w:eastAsia="Arial" w:hAnsi="Arial"/>
                <w:b/>
                <w:bCs/>
                <w:color w:val="1A1410"/>
                <w:sz w:val="19"/>
                <w:szCs w:val="19"/>
              </w:rPr>
              <w:t xml:space="preserve">Group</w:t>
            </w:r>
          </w:p>
        </w:tc>
        <w:tc>
          <w:tcPr>
            <w:tcW w:type="dxa" w:w="3300"/>
            <w:tcBorders>
              <w:top w:val="single" w:color="D8CCBC" w:sz="1"/>
              <w:left w:val="single" w:color="D8CCBC" w:sz="1"/>
              <w:bottom w:val="single" w:color="D8CCBC" w:sz="1"/>
              <w:right w:val="single" w:color="D8CCBC" w:sz="1"/>
            </w:tcBorders>
            <w:shd w:fill="F4E8DC" w:val="clear"/>
            <w:tcMar>
              <w:top w:type="dxa" w:w="70"/>
              <w:left w:type="dxa" w:w="110"/>
              <w:bottom w:type="dxa" w:w="70"/>
              <w:right w:type="dxa" w:w="110"/>
            </w:tcMar>
          </w:tcPr>
          <w:p>
            <w:pPr>
              <w:spacing w:after="20" w:before="20"/>
            </w:pPr>
            <w:r>
              <w:rPr>
                <w:rFonts w:ascii="Arial" w:cs="Arial" w:eastAsia="Arial" w:hAnsi="Arial"/>
                <w:b/>
                <w:bCs/>
                <w:color w:val="1A1410"/>
                <w:sz w:val="19"/>
                <w:szCs w:val="19"/>
              </w:rPr>
              <w:t xml:space="preserve">What’s in it</w:t>
            </w:r>
          </w:p>
        </w:tc>
        <w:tc>
          <w:tcPr>
            <w:tcW w:type="dxa" w:w="4260"/>
            <w:tcBorders>
              <w:top w:val="single" w:color="D8CCBC" w:sz="1"/>
              <w:left w:val="single" w:color="D8CCBC" w:sz="1"/>
              <w:bottom w:val="single" w:color="D8CCBC" w:sz="1"/>
              <w:right w:val="single" w:color="D8CCBC" w:sz="1"/>
            </w:tcBorders>
            <w:shd w:fill="F4E8DC" w:val="clear"/>
            <w:tcMar>
              <w:top w:type="dxa" w:w="70"/>
              <w:left w:type="dxa" w:w="110"/>
              <w:bottom w:type="dxa" w:w="70"/>
              <w:right w:type="dxa" w:w="110"/>
            </w:tcMar>
          </w:tcPr>
          <w:p>
            <w:pPr>
              <w:spacing w:after="20" w:before="20"/>
            </w:pPr>
            <w:r>
              <w:rPr>
                <w:rFonts w:ascii="Arial" w:cs="Arial" w:eastAsia="Arial" w:hAnsi="Arial"/>
                <w:b/>
                <w:bCs/>
                <w:color w:val="1A1410"/>
                <w:sz w:val="19"/>
                <w:szCs w:val="19"/>
              </w:rPr>
              <w:t xml:space="preserve">Use it for</w:t>
            </w:r>
          </w:p>
        </w:tc>
      </w:tr>
      <w:tr>
        <w:tc>
          <w:tcPr>
            <w:tcW w:type="dxa" w:w="18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Workspace</w:t>
            </w:r>
          </w:p>
        </w:tc>
        <w:tc>
          <w:tcPr>
            <w:tcW w:type="dxa" w:w="33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Dashboard · Grants from donors · Rounds &amp; disbursements</w:t>
            </w:r>
          </w:p>
        </w:tc>
        <w:tc>
          <w:tcPr>
            <w:tcW w:type="dxa" w:w="42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Your day-to-day. Start here every morning.</w:t>
            </w:r>
          </w:p>
        </w:tc>
      </w:tr>
      <w:tr>
        <w:tc>
          <w:tcPr>
            <w:tcW w:type="dxa" w:w="18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Operations</w:t>
            </w:r>
          </w:p>
        </w:tc>
        <w:tc>
          <w:tcPr>
            <w:tcW w:type="dxa" w:w="33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Partners · Endorsers · All disbursements · Crisis signals</w:t>
            </w:r>
          </w:p>
        </w:tc>
        <w:tc>
          <w:tcPr>
            <w:tcW w:type="dxa" w:w="42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Working on the register — a specific partner, the approval queue, a single payment.</w:t>
            </w:r>
          </w:p>
        </w:tc>
      </w:tr>
      <w:tr>
        <w:tc>
          <w:tcPr>
            <w:tcW w:type="dxa" w:w="18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Governance</w:t>
            </w:r>
          </w:p>
        </w:tc>
        <w:tc>
          <w:tcPr>
            <w:tcW w:type="dxa" w:w="33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Audit chain · Settings</w:t>
            </w:r>
          </w:p>
        </w:tc>
        <w:tc>
          <w:tcPr>
            <w:tcW w:type="dxa" w:w="42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Looking up what happened and when. Occasional.</w:t>
            </w:r>
          </w:p>
        </w:tc>
      </w:tr>
    </w:tbl>
    <w:p>
      <w:pPr>
        <w:spacing w:after="60" w:before="0"/>
      </w:pPr>
    </w:p>
    <w:p>
      <w:pPr>
        <w:spacing w:after="90" w:before="90"/>
      </w:pPr>
      <w:r>
        <w:rPr>
          <w:rFonts w:ascii="Arial" w:cs="Arial" w:eastAsia="Arial" w:hAnsi="Arial"/>
          <w:color w:val="1A1410"/>
          <w:sz w:val="21"/>
          <w:szCs w:val="21"/>
        </w:rPr>
        <w:t xml:space="preserve">Three things worth knowing about the console itself. The Dashboard opens with a “Needs your attention” list — that is a ranked queue of everything waiting on you, and it is the fastest way to start the day. Pressing Ctrl+K (Cmd+K on a Mac) opens a search box that jumps straight to any partner, round or disbursement by name. And filters live in the web address, so once you have filtered a list down you can bookmark it or paste it to a colleague and they will see exactly the same view.</w:t>
      </w:r>
    </w:p>
    <w:p>
      <w:pPr>
        <w:pBdr>
          <w:bottom w:val="single" w:color="E7DCCE" w:sz="6" w:space="1"/>
        </w:pBdr>
        <w:spacing w:after="160" w:before="160"/>
      </w:pPr>
    </w:p>
    <w:p>
      <w:pPr>
        <w:pStyle w:val="Heading2"/>
      </w:pPr>
      <w:r>
        <w:t xml:space="preserve">The cycle, in one page</w:t>
      </w:r>
    </w:p>
    <w:p>
      <w:pPr>
        <w:spacing w:after="90" w:before="90"/>
      </w:pPr>
      <w:r>
        <w:rPr>
          <w:rFonts w:ascii="Arial" w:cs="Arial" w:eastAsia="Arial" w:hAnsi="Arial"/>
          <w:color w:val="1A1410"/>
          <w:sz w:val="21"/>
          <w:szCs w:val="21"/>
        </w:rPr>
        <w:t xml:space="preserve">Everything in Part 2 follows this order. A round moves through it once; each partner inside the round moves through the middle of it individually.</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760"/>
      </w:tblGrid>
      <w:tr>
        <w:trPr>
          <w:tblHeader/>
        </w:trPr>
        <w:tc>
          <w:tcPr>
            <w:tcW w:type="dxa" w:w="600"/>
            <w:tcBorders>
              <w:top w:val="single" w:color="D8CCBC" w:sz="1"/>
              <w:left w:val="single" w:color="D8CCBC" w:sz="1"/>
              <w:bottom w:val="single" w:color="D8CCBC" w:sz="1"/>
              <w:right w:val="single" w:color="D8CCBC" w:sz="1"/>
            </w:tcBorders>
            <w:shd w:fill="F4E8DC" w:val="clear"/>
            <w:tcMar>
              <w:top w:type="dxa" w:w="70"/>
              <w:left w:type="dxa" w:w="110"/>
              <w:bottom w:type="dxa" w:w="70"/>
              <w:right w:type="dxa" w:w="110"/>
            </w:tcMar>
          </w:tcPr>
          <w:p>
            <w:pPr>
              <w:spacing w:after="20" w:before="20"/>
            </w:pPr>
            <w:r>
              <w:rPr>
                <w:rFonts w:ascii="Arial" w:cs="Arial" w:eastAsia="Arial" w:hAnsi="Arial"/>
                <w:b/>
                <w:bCs/>
                <w:color w:val="1A1410"/>
                <w:sz w:val="19"/>
                <w:szCs w:val="19"/>
              </w:rPr>
              <w:t xml:space="preserve">#</w:t>
            </w:r>
          </w:p>
        </w:tc>
        <w:tc>
          <w:tcPr>
            <w:tcW w:type="dxa" w:w="3000"/>
            <w:tcBorders>
              <w:top w:val="single" w:color="D8CCBC" w:sz="1"/>
              <w:left w:val="single" w:color="D8CCBC" w:sz="1"/>
              <w:bottom w:val="single" w:color="D8CCBC" w:sz="1"/>
              <w:right w:val="single" w:color="D8CCBC" w:sz="1"/>
            </w:tcBorders>
            <w:shd w:fill="F4E8DC" w:val="clear"/>
            <w:tcMar>
              <w:top w:type="dxa" w:w="70"/>
              <w:left w:type="dxa" w:w="110"/>
              <w:bottom w:type="dxa" w:w="70"/>
              <w:right w:type="dxa" w:w="110"/>
            </w:tcMar>
          </w:tcPr>
          <w:p>
            <w:pPr>
              <w:spacing w:after="20" w:before="20"/>
            </w:pPr>
            <w:r>
              <w:rPr>
                <w:rFonts w:ascii="Arial" w:cs="Arial" w:eastAsia="Arial" w:hAnsi="Arial"/>
                <w:b/>
                <w:bCs/>
                <w:color w:val="1A1410"/>
                <w:sz w:val="19"/>
                <w:szCs w:val="19"/>
              </w:rPr>
              <w:t xml:space="preserve">Stage</w:t>
            </w:r>
          </w:p>
        </w:tc>
        <w:tc>
          <w:tcPr>
            <w:tcW w:type="dxa" w:w="5760"/>
            <w:tcBorders>
              <w:top w:val="single" w:color="D8CCBC" w:sz="1"/>
              <w:left w:val="single" w:color="D8CCBC" w:sz="1"/>
              <w:bottom w:val="single" w:color="D8CCBC" w:sz="1"/>
              <w:right w:val="single" w:color="D8CCBC" w:sz="1"/>
            </w:tcBorders>
            <w:shd w:fill="F4E8DC" w:val="clear"/>
            <w:tcMar>
              <w:top w:type="dxa" w:w="70"/>
              <w:left w:type="dxa" w:w="110"/>
              <w:bottom w:type="dxa" w:w="70"/>
              <w:right w:type="dxa" w:w="110"/>
            </w:tcMar>
          </w:tcPr>
          <w:p>
            <w:pPr>
              <w:spacing w:after="20" w:before="20"/>
            </w:pPr>
            <w:r>
              <w:rPr>
                <w:rFonts w:ascii="Arial" w:cs="Arial" w:eastAsia="Arial" w:hAnsi="Arial"/>
                <w:b/>
                <w:bCs/>
                <w:color w:val="1A1410"/>
                <w:sz w:val="19"/>
                <w:szCs w:val="19"/>
              </w:rPr>
              <w:t xml:space="preserve">What has to be true before you can move on</w:t>
            </w:r>
          </w:p>
        </w:tc>
      </w:tr>
      <w:tr>
        <w:tc>
          <w:tcPr>
            <w:tcW w:type="dxa" w:w="6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1</w:t>
            </w:r>
          </w:p>
        </w:tc>
        <w:tc>
          <w:tcPr>
            <w:tcW w:type="dxa" w:w="30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A donor grant is recorded</w:t>
            </w:r>
          </w:p>
        </w:tc>
        <w:tc>
          <w:tcPr>
            <w:tcW w:type="dxa" w:w="57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The signed agreement is uploaded and its terms accepted.</w:t>
            </w:r>
          </w:p>
        </w:tc>
      </w:tr>
      <w:tr>
        <w:tc>
          <w:tcPr>
            <w:tcW w:type="dxa" w:w="6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2</w:t>
            </w:r>
          </w:p>
        </w:tc>
        <w:tc>
          <w:tcPr>
            <w:tcW w:type="dxa" w:w="30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A crisis signal is logged</w:t>
            </w:r>
          </w:p>
        </w:tc>
        <w:tc>
          <w:tcPr>
            <w:tcW w:type="dxa" w:w="57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Someone has recorded what is happening and why it warrants a response.</w:t>
            </w:r>
          </w:p>
        </w:tc>
      </w:tr>
      <w:tr>
        <w:tc>
          <w:tcPr>
            <w:tcW w:type="dxa" w:w="6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3</w:t>
            </w:r>
          </w:p>
        </w:tc>
        <w:tc>
          <w:tcPr>
            <w:tcW w:type="dxa" w:w="30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A round is opened and signed</w:t>
            </w:r>
          </w:p>
        </w:tc>
        <w:tc>
          <w:tcPr>
            <w:tcW w:type="dxa" w:w="57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Two OB members have signed it. The round is Active.</w:t>
            </w:r>
          </w:p>
        </w:tc>
      </w:tr>
      <w:tr>
        <w:tc>
          <w:tcPr>
            <w:tcW w:type="dxa" w:w="6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4</w:t>
            </w:r>
          </w:p>
        </w:tc>
        <w:tc>
          <w:tcPr>
            <w:tcW w:type="dxa" w:w="30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Partners are nominated</w:t>
            </w:r>
          </w:p>
        </w:tc>
        <w:tc>
          <w:tcPr>
            <w:tcW w:type="dxa" w:w="57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The organisation exists in the register, with a locality and contact.</w:t>
            </w:r>
          </w:p>
        </w:tc>
      </w:tr>
      <w:tr>
        <w:tc>
          <w:tcPr>
            <w:tcW w:type="dxa" w:w="6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5</w:t>
            </w:r>
          </w:p>
        </w:tc>
        <w:tc>
          <w:tcPr>
            <w:tcW w:type="dxa" w:w="30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Endorsements come in</w:t>
            </w:r>
          </w:p>
        </w:tc>
        <w:tc>
          <w:tcPr>
            <w:tcW w:type="dxa" w:w="57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Independent community endorsers have answered the three questions.</w:t>
            </w:r>
          </w:p>
        </w:tc>
      </w:tr>
      <w:tr>
        <w:tc>
          <w:tcPr>
            <w:tcW w:type="dxa" w:w="6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6</w:t>
            </w:r>
          </w:p>
        </w:tc>
        <w:tc>
          <w:tcPr>
            <w:tcW w:type="dxa" w:w="30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Due diligence clears</w:t>
            </w:r>
          </w:p>
        </w:tc>
        <w:tc>
          <w:tcPr>
            <w:tcW w:type="dxa" w:w="57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Screening, media check and a verified payment route are on file.</w:t>
            </w:r>
          </w:p>
        </w:tc>
      </w:tr>
      <w:tr>
        <w:tc>
          <w:tcPr>
            <w:tcW w:type="dxa" w:w="6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7</w:t>
            </w:r>
          </w:p>
        </w:tc>
        <w:tc>
          <w:tcPr>
            <w:tcW w:type="dxa" w:w="30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The panel selects</w:t>
            </w:r>
          </w:p>
        </w:tc>
        <w:tc>
          <w:tcPr>
            <w:tcW w:type="dxa" w:w="57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Panel members have voted on who this round funds.</w:t>
            </w:r>
          </w:p>
        </w:tc>
      </w:tr>
      <w:tr>
        <w:tc>
          <w:tcPr>
            <w:tcW w:type="dxa" w:w="6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8</w:t>
            </w:r>
          </w:p>
        </w:tc>
        <w:tc>
          <w:tcPr>
            <w:tcW w:type="dxa" w:w="30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Money goes out</w:t>
            </w:r>
          </w:p>
        </w:tc>
        <w:tc>
          <w:tcPr>
            <w:tcW w:type="dxa" w:w="57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The disbursement is co-signed and sent. A report obligation now exists.</w:t>
            </w:r>
          </w:p>
        </w:tc>
      </w:tr>
      <w:tr>
        <w:tc>
          <w:tcPr>
            <w:tcW w:type="dxa" w:w="6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9</w:t>
            </w:r>
          </w:p>
        </w:tc>
        <w:tc>
          <w:tcPr>
            <w:tcW w:type="dxa" w:w="30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The report comes back</w:t>
            </w:r>
          </w:p>
        </w:tc>
        <w:tc>
          <w:tcPr>
            <w:tcW w:type="dxa" w:w="57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The partner has answered, and an OB member has verified or flagged it.</w:t>
            </w:r>
          </w:p>
        </w:tc>
      </w:tr>
      <w:tr>
        <w:tc>
          <w:tcPr>
            <w:tcW w:type="dxa" w:w="6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10</w:t>
            </w:r>
          </w:p>
        </w:tc>
        <w:tc>
          <w:tcPr>
            <w:tcW w:type="dxa" w:w="30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The donor report is published</w:t>
            </w:r>
          </w:p>
        </w:tc>
        <w:tc>
          <w:tcPr>
            <w:tcW w:type="dxa" w:w="57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The narrative is compiled and each piece of evidence has passed the safeguarding gate.</w:t>
            </w:r>
          </w:p>
        </w:tc>
      </w:tr>
      <w:tr>
        <w:tc>
          <w:tcPr>
            <w:tcW w:type="dxa" w:w="6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11</w:t>
            </w:r>
          </w:p>
        </w:tc>
        <w:tc>
          <w:tcPr>
            <w:tcW w:type="dxa" w:w="30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The 90-day outcome is attested</w:t>
            </w:r>
          </w:p>
        </w:tc>
        <w:tc>
          <w:tcPr>
            <w:tcW w:type="dxa" w:w="57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The partner has said what lasted; an OB member has verified it.</w:t>
            </w:r>
          </w:p>
        </w:tc>
      </w:tr>
      <w:tr>
        <w:tc>
          <w:tcPr>
            <w:tcW w:type="dxa" w:w="6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12</w:t>
            </w:r>
          </w:p>
        </w:tc>
        <w:tc>
          <w:tcPr>
            <w:tcW w:type="dxa" w:w="30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The round is closed</w:t>
            </w:r>
          </w:p>
        </w:tc>
        <w:tc>
          <w:tcPr>
            <w:tcW w:type="dxa" w:w="57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A closing summary is written. The closing pack is downloadable.</w:t>
            </w:r>
          </w:p>
        </w:tc>
      </w:tr>
    </w:tbl>
    <w:p>
      <w:r>
        <w:br w:type="page"/>
      </w:r>
    </w:p>
    <w:p>
      <w:pPr>
        <w:pStyle w:val="Heading1"/>
      </w:pPr>
      <w:r>
        <w:t xml:space="preserve">Doing the work</w:t>
      </w:r>
    </w:p>
    <w:p>
      <w:pPr>
        <w:spacing w:after="90" w:before="90"/>
      </w:pPr>
      <w:r>
        <w:rPr>
          <w:rFonts w:ascii="Arial" w:cs="Arial" w:eastAsia="Arial" w:hAnsi="Arial"/>
          <w:color w:val="6B655F"/>
          <w:sz w:val="21"/>
          <w:szCs w:val="21"/>
        </w:rPr>
        <w:t xml:space="preserve">Each chapter below covers one stage. The strip at the top of the chapter tells you who does it, where it lives, and when it happens. Anything in quotation marks is a button or a field you will see on screen.</w:t>
      </w:r>
    </w:p>
    <w:p>
      <w:pPr>
        <w:pStyle w:val="Heading2"/>
      </w:pPr>
      <w:r>
        <w:t xml:space="preserve">1. Record a grant from a donor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8CCBC" w:sz="1"/>
              <w:left w:val="single" w:color="D8CCBC" w:sz="1"/>
              <w:bottom w:val="single" w:color="D8CCBC" w:sz="1"/>
              <w:right w:val="single" w:color="D8CCBC" w:sz="1"/>
            </w:tcBorders>
            <w:shd w:fill="FBF6F0" w:val="clear"/>
            <w:tcMar>
              <w:top w:type="dxa" w:w="70"/>
              <w:left w:type="dxa" w:w="110"/>
              <w:bottom w:type="dxa" w:w="70"/>
              <w:right w:type="dxa" w:w="110"/>
            </w:tcMar>
          </w:tcPr>
          <w:p>
            <w:pPr>
              <w:spacing w:after="10" w:before="20"/>
            </w:pPr>
            <w:r>
              <w:rPr>
                <w:rFonts w:ascii="Arial" w:cs="Arial" w:eastAsia="Arial" w:hAnsi="Arial"/>
                <w:b/>
                <w:bCs/>
                <w:color w:val="C2410C"/>
                <w:sz w:val="15"/>
                <w:szCs w:val="15"/>
              </w:rPr>
              <w:t xml:space="preserve">WHO DOES THIS</w:t>
            </w:r>
          </w:p>
          <w:p>
            <w:pPr>
              <w:spacing w:after="20" w:before="0"/>
            </w:pPr>
            <w:r>
              <w:rPr>
                <w:rFonts w:ascii="Arial" w:cs="Arial" w:eastAsia="Arial" w:hAnsi="Arial"/>
                <w:color w:val="1A1410"/>
                <w:sz w:val="19"/>
                <w:szCs w:val="19"/>
              </w:rPr>
              <w:t xml:space="preserve">OB</w:t>
            </w:r>
          </w:p>
        </w:tc>
        <w:tc>
          <w:tcPr>
            <w:tcW w:type="dxa" w:w="3120"/>
            <w:tcBorders>
              <w:top w:val="single" w:color="D8CCBC" w:sz="1"/>
              <w:left w:val="single" w:color="D8CCBC" w:sz="1"/>
              <w:bottom w:val="single" w:color="D8CCBC" w:sz="1"/>
              <w:right w:val="single" w:color="D8CCBC" w:sz="1"/>
            </w:tcBorders>
            <w:shd w:fill="FBF6F0" w:val="clear"/>
            <w:tcMar>
              <w:top w:type="dxa" w:w="70"/>
              <w:left w:type="dxa" w:w="110"/>
              <w:bottom w:type="dxa" w:w="70"/>
              <w:right w:type="dxa" w:w="110"/>
            </w:tcMar>
          </w:tcPr>
          <w:p>
            <w:pPr>
              <w:spacing w:after="10" w:before="20"/>
            </w:pPr>
            <w:r>
              <w:rPr>
                <w:rFonts w:ascii="Arial" w:cs="Arial" w:eastAsia="Arial" w:hAnsi="Arial"/>
                <w:b/>
                <w:bCs/>
                <w:color w:val="C2410C"/>
                <w:sz w:val="15"/>
                <w:szCs w:val="15"/>
              </w:rPr>
              <w:t xml:space="preserve">WHERE IN THE APP</w:t>
            </w:r>
          </w:p>
          <w:p>
            <w:pPr>
              <w:spacing w:after="20" w:before="0"/>
            </w:pPr>
            <w:r>
              <w:rPr>
                <w:rFonts w:ascii="Arial" w:cs="Arial" w:eastAsia="Arial" w:hAnsi="Arial"/>
                <w:color w:val="1A1410"/>
                <w:sz w:val="19"/>
                <w:szCs w:val="19"/>
              </w:rPr>
              <w:t xml:space="preserve">Workspace → Grants from donors</w:t>
            </w:r>
          </w:p>
        </w:tc>
        <w:tc>
          <w:tcPr>
            <w:tcW w:type="dxa" w:w="3120"/>
            <w:tcBorders>
              <w:top w:val="single" w:color="D8CCBC" w:sz="1"/>
              <w:left w:val="single" w:color="D8CCBC" w:sz="1"/>
              <w:bottom w:val="single" w:color="D8CCBC" w:sz="1"/>
              <w:right w:val="single" w:color="D8CCBC" w:sz="1"/>
            </w:tcBorders>
            <w:shd w:fill="FBF6F0" w:val="clear"/>
            <w:tcMar>
              <w:top w:type="dxa" w:w="70"/>
              <w:left w:type="dxa" w:w="110"/>
              <w:bottom w:type="dxa" w:w="70"/>
              <w:right w:type="dxa" w:w="110"/>
            </w:tcMar>
          </w:tcPr>
          <w:p>
            <w:pPr>
              <w:spacing w:after="10" w:before="20"/>
            </w:pPr>
            <w:r>
              <w:rPr>
                <w:rFonts w:ascii="Arial" w:cs="Arial" w:eastAsia="Arial" w:hAnsi="Arial"/>
                <w:b/>
                <w:bCs/>
                <w:color w:val="C2410C"/>
                <w:sz w:val="15"/>
                <w:szCs w:val="15"/>
              </w:rPr>
              <w:t xml:space="preserve">WHEN</w:t>
            </w:r>
          </w:p>
          <w:p>
            <w:pPr>
              <w:spacing w:after="20" w:before="0"/>
            </w:pPr>
            <w:r>
              <w:rPr>
                <w:rFonts w:ascii="Arial" w:cs="Arial" w:eastAsia="Arial" w:hAnsi="Arial"/>
                <w:color w:val="1A1410"/>
                <w:sz w:val="19"/>
                <w:szCs w:val="19"/>
              </w:rPr>
              <w:t xml:space="preserve">When a donor agreement is signed</w:t>
            </w:r>
          </w:p>
        </w:tc>
      </w:tr>
    </w:tbl>
    <w:p>
      <w:pPr>
        <w:spacing w:after="90" w:before="90"/>
      </w:pPr>
      <w:r>
        <w:rPr>
          <w:rFonts w:ascii="Arial" w:cs="Arial" w:eastAsia="Arial" w:hAnsi="Arial"/>
          <w:color w:val="1A1410"/>
          <w:sz w:val="21"/>
          <w:szCs w:val="21"/>
        </w:rPr>
        <w:t xml:space="preserve">Before the fund can spend anything, the money has to exist in the system with its conditions attached. You upload the signed agreement and the system reads it for you — deliverables, reporting cadence, restrictions, compliance obligations — then you check its work.</w:t>
      </w:r>
    </w:p>
    <w:p>
      <w:pPr>
        <w:pStyle w:val="ListParagraph"/>
        <w:numPr>
          <w:ilvl w:val="0"/>
          <w:numId w:val="2"/>
        </w:numPr>
        <w:spacing w:after="60" w:before="60"/>
      </w:pPr>
      <w:r>
        <w:rPr>
          <w:rFonts w:ascii="Arial" w:cs="Arial" w:eastAsia="Arial" w:hAnsi="Arial"/>
          <w:color w:val="1A1410"/>
          <w:sz w:val="21"/>
          <w:szCs w:val="21"/>
        </w:rPr>
        <w:t xml:space="preserve">Open Grants from donors and click “Upload signed agreement”.</w:t>
      </w:r>
    </w:p>
    <w:p>
      <w:pPr>
        <w:pStyle w:val="ListParagraph"/>
        <w:numPr>
          <w:ilvl w:val="0"/>
          <w:numId w:val="2"/>
        </w:numPr>
        <w:spacing w:after="60" w:before="60"/>
      </w:pPr>
      <w:r>
        <w:rPr>
          <w:rFonts w:ascii="Arial" w:cs="Arial" w:eastAsia="Arial" w:hAnsi="Arial"/>
          <w:color w:val="1A1410"/>
          <w:sz w:val="21"/>
          <w:szCs w:val="21"/>
        </w:rPr>
        <w:t xml:space="preserve">Drop the signed PDF onto the upload area, then click “Extract terms with AI”. It takes roughly 20 to 60 seconds.</w:t>
      </w:r>
    </w:p>
    <w:p>
      <w:pPr>
        <w:pStyle w:val="ListParagraph"/>
        <w:numPr>
          <w:ilvl w:val="0"/>
          <w:numId w:val="2"/>
        </w:numPr>
        <w:spacing w:after="60" w:before="60"/>
      </w:pPr>
      <w:r>
        <w:rPr>
          <w:rFonts w:ascii="Arial" w:cs="Arial" w:eastAsia="Arial" w:hAnsi="Arial"/>
          <w:b/>
          <w:bCs/>
          <w:color w:val="1A1410"/>
          <w:sz w:val="21"/>
          <w:szCs w:val="21"/>
        </w:rPr>
        <w:t xml:space="preserve">Read every field on the review screen.</w:t>
      </w:r>
      <w:r>
        <w:rPr>
          <w:rFonts w:ascii="Arial" w:cs="Arial" w:eastAsia="Arial" w:hAnsi="Arial"/>
          <w:color w:val="1A1410"/>
          <w:sz w:val="21"/>
          <w:szCs w:val="21"/>
        </w:rPr>
        <w:t xml:space="preserve"> The system shows a confidence score, but you are the one accepting a legal record. Correct anything wrong, add missing deliverables, and check the restriction quotes against the actual contract.</w:t>
      </w:r>
    </w:p>
    <w:p>
      <w:pPr>
        <w:pStyle w:val="ListParagraph"/>
        <w:numPr>
          <w:ilvl w:val="0"/>
          <w:numId w:val="2"/>
        </w:numPr>
        <w:spacing w:after="60" w:before="60"/>
      </w:pPr>
      <w:r>
        <w:rPr>
          <w:rFonts w:ascii="Arial" w:cs="Arial" w:eastAsia="Arial" w:hAnsi="Arial"/>
          <w:color w:val="1A1410"/>
          <w:sz w:val="21"/>
          <w:szCs w:val="21"/>
        </w:rPr>
        <w:t xml:space="preserve">Pick the donor from the dropdown. If they are not listed, add them in Settings first, otherwise the grant will not link to their portal view.</w:t>
      </w:r>
    </w:p>
    <w:p>
      <w:pPr>
        <w:pStyle w:val="ListParagraph"/>
        <w:numPr>
          <w:ilvl w:val="0"/>
          <w:numId w:val="2"/>
        </w:numPr>
        <w:spacing w:after="60" w:before="60"/>
      </w:pPr>
      <w:r>
        <w:rPr>
          <w:rFonts w:ascii="Arial" w:cs="Arial" w:eastAsia="Arial" w:hAnsi="Arial"/>
          <w:color w:val="1A1410"/>
          <w:sz w:val="21"/>
          <w:szCs w:val="21"/>
        </w:rPr>
        <w:t xml:space="preserve">Click “Accept &amp; create grant”. Nothing is saved until you do — you can click “Start over” at any point before this.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F6EC" w:sz="1"/>
              <w:left w:val="single" w:color="92400E" w:sz="18"/>
              <w:bottom w:val="single" w:color="FDF6EC" w:sz="1"/>
              <w:right w:val="single" w:color="FDF6EC" w:sz="1"/>
            </w:tcBorders>
            <w:shd w:fill="FDF6EC" w:val="clear"/>
            <w:tcMar>
              <w:top w:type="dxa" w:w="100"/>
              <w:left w:type="dxa" w:w="160"/>
              <w:bottom w:type="dxa" w:w="100"/>
              <w:right w:type="dxa" w:w="140"/>
            </w:tcMar>
          </w:tcPr>
          <w:p>
            <w:pPr>
              <w:spacing w:after="0" w:before="0"/>
            </w:pPr>
            <w:r>
              <w:rPr>
                <w:rFonts w:ascii="Arial" w:cs="Arial" w:eastAsia="Arial" w:hAnsi="Arial"/>
                <w:b/>
                <w:bCs/>
                <w:color w:val="92400E"/>
                <w:sz w:val="19"/>
                <w:szCs w:val="19"/>
              </w:rPr>
              <w:t xml:space="preserve">Take care — </w:t>
            </w:r>
            <w:r>
              <w:rPr>
                <w:rFonts w:ascii="Arial" w:cs="Arial" w:eastAsia="Arial" w:hAnsi="Arial"/>
                <w:color w:val="1A1410"/>
                <w:sz w:val="19"/>
                <w:szCs w:val="19"/>
              </w:rPr>
              <w:t xml:space="preserve">The extraction needs a text-based PDF. A scanned photograph of a signed page will come back thin or empty — in that case fill the fields in by hand rather than accepting a bad reading.</w:t>
            </w:r>
          </w:p>
        </w:tc>
      </w:tr>
    </w:tbl>
    <w:p>
      <w:pPr>
        <w:pStyle w:val="Heading2"/>
      </w:pPr>
      <w:r>
        <w:t xml:space="preserve">2. Log a crisis signal and decide to 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8CCBC" w:sz="1"/>
              <w:left w:val="single" w:color="D8CCBC" w:sz="1"/>
              <w:bottom w:val="single" w:color="D8CCBC" w:sz="1"/>
              <w:right w:val="single" w:color="D8CCBC" w:sz="1"/>
            </w:tcBorders>
            <w:shd w:fill="FBF6F0" w:val="clear"/>
            <w:tcMar>
              <w:top w:type="dxa" w:w="70"/>
              <w:left w:type="dxa" w:w="110"/>
              <w:bottom w:type="dxa" w:w="70"/>
              <w:right w:type="dxa" w:w="110"/>
            </w:tcMar>
          </w:tcPr>
          <w:p>
            <w:pPr>
              <w:spacing w:after="10" w:before="20"/>
            </w:pPr>
            <w:r>
              <w:rPr>
                <w:rFonts w:ascii="Arial" w:cs="Arial" w:eastAsia="Arial" w:hAnsi="Arial"/>
                <w:b/>
                <w:bCs/>
                <w:color w:val="C2410C"/>
                <w:sz w:val="15"/>
                <w:szCs w:val="15"/>
              </w:rPr>
              <w:t xml:space="preserve">WHO DOES THIS</w:t>
            </w:r>
          </w:p>
          <w:p>
            <w:pPr>
              <w:spacing w:after="20" w:before="0"/>
            </w:pPr>
            <w:r>
              <w:rPr>
                <w:rFonts w:ascii="Arial" w:cs="Arial" w:eastAsia="Arial" w:hAnsi="Arial"/>
                <w:color w:val="1A1410"/>
                <w:sz w:val="19"/>
                <w:szCs w:val="19"/>
              </w:rPr>
              <w:t xml:space="preserve">OB</w:t>
            </w:r>
          </w:p>
        </w:tc>
        <w:tc>
          <w:tcPr>
            <w:tcW w:type="dxa" w:w="3120"/>
            <w:tcBorders>
              <w:top w:val="single" w:color="D8CCBC" w:sz="1"/>
              <w:left w:val="single" w:color="D8CCBC" w:sz="1"/>
              <w:bottom w:val="single" w:color="D8CCBC" w:sz="1"/>
              <w:right w:val="single" w:color="D8CCBC" w:sz="1"/>
            </w:tcBorders>
            <w:shd w:fill="FBF6F0" w:val="clear"/>
            <w:tcMar>
              <w:top w:type="dxa" w:w="70"/>
              <w:left w:type="dxa" w:w="110"/>
              <w:bottom w:type="dxa" w:w="70"/>
              <w:right w:type="dxa" w:w="110"/>
            </w:tcMar>
          </w:tcPr>
          <w:p>
            <w:pPr>
              <w:spacing w:after="10" w:before="20"/>
            </w:pPr>
            <w:r>
              <w:rPr>
                <w:rFonts w:ascii="Arial" w:cs="Arial" w:eastAsia="Arial" w:hAnsi="Arial"/>
                <w:b/>
                <w:bCs/>
                <w:color w:val="C2410C"/>
                <w:sz w:val="15"/>
                <w:szCs w:val="15"/>
              </w:rPr>
              <w:t xml:space="preserve">WHERE IN THE APP</w:t>
            </w:r>
          </w:p>
          <w:p>
            <w:pPr>
              <w:spacing w:after="20" w:before="0"/>
            </w:pPr>
            <w:r>
              <w:rPr>
                <w:rFonts w:ascii="Arial" w:cs="Arial" w:eastAsia="Arial" w:hAnsi="Arial"/>
                <w:color w:val="1A1410"/>
                <w:sz w:val="19"/>
                <w:szCs w:val="19"/>
              </w:rPr>
              <w:t xml:space="preserve">Operations → Crisis signals</w:t>
            </w:r>
          </w:p>
        </w:tc>
        <w:tc>
          <w:tcPr>
            <w:tcW w:type="dxa" w:w="3120"/>
            <w:tcBorders>
              <w:top w:val="single" w:color="D8CCBC" w:sz="1"/>
              <w:left w:val="single" w:color="D8CCBC" w:sz="1"/>
              <w:bottom w:val="single" w:color="D8CCBC" w:sz="1"/>
              <w:right w:val="single" w:color="D8CCBC" w:sz="1"/>
            </w:tcBorders>
            <w:shd w:fill="FBF6F0" w:val="clear"/>
            <w:tcMar>
              <w:top w:type="dxa" w:w="70"/>
              <w:left w:type="dxa" w:w="110"/>
              <w:bottom w:type="dxa" w:w="70"/>
              <w:right w:type="dxa" w:w="110"/>
            </w:tcMar>
          </w:tcPr>
          <w:p>
            <w:pPr>
              <w:spacing w:after="10" w:before="20"/>
            </w:pPr>
            <w:r>
              <w:rPr>
                <w:rFonts w:ascii="Arial" w:cs="Arial" w:eastAsia="Arial" w:hAnsi="Arial"/>
                <w:b/>
                <w:bCs/>
                <w:color w:val="C2410C"/>
                <w:sz w:val="15"/>
                <w:szCs w:val="15"/>
              </w:rPr>
              <w:t xml:space="preserve">WHEN</w:t>
            </w:r>
          </w:p>
          <w:p>
            <w:pPr>
              <w:spacing w:after="20" w:before="0"/>
            </w:pPr>
            <w:r>
              <w:rPr>
                <w:rFonts w:ascii="Arial" w:cs="Arial" w:eastAsia="Arial" w:hAnsi="Arial"/>
                <w:color w:val="1A1410"/>
                <w:sz w:val="19"/>
                <w:szCs w:val="19"/>
              </w:rPr>
              <w:t xml:space="preserve">When something happens</w:t>
            </w:r>
          </w:p>
        </w:tc>
      </w:tr>
    </w:tbl>
    <w:p>
      <w:pPr>
        <w:spacing w:after="90" w:before="90"/>
      </w:pPr>
      <w:r>
        <w:rPr>
          <w:rFonts w:ascii="Arial" w:cs="Arial" w:eastAsia="Arial" w:hAnsi="Arial"/>
          <w:color w:val="1A1410"/>
          <w:sz w:val="21"/>
          <w:szCs w:val="21"/>
        </w:rPr>
        <w:t xml:space="preserve">This is the fund’s memory of why it responded. Logging a signal takes a minute and means that six months later the decision to open a round has a documented starting point rather than a recollection.</w:t>
      </w:r>
    </w:p>
    <w:p>
      <w:pPr>
        <w:pStyle w:val="ListParagraph"/>
        <w:numPr>
          <w:ilvl w:val="0"/>
          <w:numId w:val="3"/>
        </w:numPr>
        <w:spacing w:after="60" w:before="60"/>
      </w:pPr>
      <w:r>
        <w:rPr>
          <w:rFonts w:ascii="Arial" w:cs="Arial" w:eastAsia="Arial" w:hAnsi="Arial"/>
          <w:color w:val="1A1410"/>
          <w:sz w:val="21"/>
          <w:szCs w:val="21"/>
        </w:rPr>
        <w:t xml:space="preserve">Click “Log a new crisis signal”. Enter the country, the type of event, and a short description of what is happening and how you know.</w:t>
      </w:r>
    </w:p>
    <w:p>
      <w:pPr>
        <w:pStyle w:val="ListParagraph"/>
        <w:numPr>
          <w:ilvl w:val="0"/>
          <w:numId w:val="3"/>
        </w:numPr>
        <w:spacing w:after="60" w:before="60"/>
      </w:pPr>
      <w:r>
        <w:rPr>
          <w:rFonts w:ascii="Arial" w:cs="Arial" w:eastAsia="Arial" w:hAnsi="Arial"/>
          <w:color w:val="1A1410"/>
          <w:sz w:val="21"/>
          <w:szCs w:val="21"/>
        </w:rPr>
        <w:t xml:space="preserve">Click “Log signal”. It appears under “Pending signals” for the OB to consider.</w:t>
      </w:r>
    </w:p>
    <w:p>
      <w:pPr>
        <w:pStyle w:val="ListParagraph"/>
        <w:numPr>
          <w:ilvl w:val="0"/>
          <w:numId w:val="3"/>
        </w:numPr>
        <w:spacing w:after="60" w:before="60"/>
      </w:pPr>
      <w:r>
        <w:rPr>
          <w:rFonts w:ascii="Arial" w:cs="Arial" w:eastAsia="Arial" w:hAnsi="Arial"/>
          <w:color w:val="1A1410"/>
          <w:sz w:val="21"/>
          <w:szCs w:val="21"/>
        </w:rPr>
        <w:t xml:space="preserve">Optionally, click one of the “Draft brief as:” buttons — Strengthen, Incubate or Enable — to have the system draft a decision brief for that scenario. Treat it as a first draft for discussion, not a decision.</w:t>
      </w:r>
    </w:p>
    <w:p>
      <w:pPr>
        <w:pStyle w:val="ListParagraph"/>
        <w:numPr>
          <w:ilvl w:val="0"/>
          <w:numId w:val="3"/>
        </w:numPr>
        <w:spacing w:after="60" w:before="60"/>
      </w:pPr>
      <w:r>
        <w:rPr>
          <w:rFonts w:ascii="Arial" w:cs="Arial" w:eastAsia="Arial" w:hAnsi="Arial"/>
          <w:color w:val="1A1410"/>
          <w:sz w:val="21"/>
          <w:szCs w:val="21"/>
        </w:rPr>
        <w:t xml:space="preserve">When the OB agrees to respond, click “Start a round from this signal”. This opens the new round form with the crisis details already filled in, and keeps the link between the signal and the round.</w:t>
      </w:r>
    </w:p>
    <w:p>
      <w:pPr>
        <w:pStyle w:val="Heading2"/>
      </w:pPr>
      <w:r>
        <w:t xml:space="preserve">3. Open a round and get it signed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8CCBC" w:sz="1"/>
              <w:left w:val="single" w:color="D8CCBC" w:sz="1"/>
              <w:bottom w:val="single" w:color="D8CCBC" w:sz="1"/>
              <w:right w:val="single" w:color="D8CCBC" w:sz="1"/>
            </w:tcBorders>
            <w:shd w:fill="FBF6F0" w:val="clear"/>
            <w:tcMar>
              <w:top w:type="dxa" w:w="70"/>
              <w:left w:type="dxa" w:w="110"/>
              <w:bottom w:type="dxa" w:w="70"/>
              <w:right w:type="dxa" w:w="110"/>
            </w:tcMar>
          </w:tcPr>
          <w:p>
            <w:pPr>
              <w:spacing w:after="10" w:before="20"/>
            </w:pPr>
            <w:r>
              <w:rPr>
                <w:rFonts w:ascii="Arial" w:cs="Arial" w:eastAsia="Arial" w:hAnsi="Arial"/>
                <w:b/>
                <w:bCs/>
                <w:color w:val="C2410C"/>
                <w:sz w:val="15"/>
                <w:szCs w:val="15"/>
              </w:rPr>
              <w:t xml:space="preserve">WHO DOES THIS</w:t>
            </w:r>
          </w:p>
          <w:p>
            <w:pPr>
              <w:spacing w:after="20" w:before="0"/>
            </w:pPr>
            <w:r>
              <w:rPr>
                <w:rFonts w:ascii="Arial" w:cs="Arial" w:eastAsia="Arial" w:hAnsi="Arial"/>
                <w:color w:val="1A1410"/>
                <w:sz w:val="19"/>
                <w:szCs w:val="19"/>
              </w:rPr>
              <w:t xml:space="preserve">OB — two members</w:t>
            </w:r>
          </w:p>
        </w:tc>
        <w:tc>
          <w:tcPr>
            <w:tcW w:type="dxa" w:w="3120"/>
            <w:tcBorders>
              <w:top w:val="single" w:color="D8CCBC" w:sz="1"/>
              <w:left w:val="single" w:color="D8CCBC" w:sz="1"/>
              <w:bottom w:val="single" w:color="D8CCBC" w:sz="1"/>
              <w:right w:val="single" w:color="D8CCBC" w:sz="1"/>
            </w:tcBorders>
            <w:shd w:fill="FBF6F0" w:val="clear"/>
            <w:tcMar>
              <w:top w:type="dxa" w:w="70"/>
              <w:left w:type="dxa" w:w="110"/>
              <w:bottom w:type="dxa" w:w="70"/>
              <w:right w:type="dxa" w:w="110"/>
            </w:tcMar>
          </w:tcPr>
          <w:p>
            <w:pPr>
              <w:spacing w:after="10" w:before="20"/>
            </w:pPr>
            <w:r>
              <w:rPr>
                <w:rFonts w:ascii="Arial" w:cs="Arial" w:eastAsia="Arial" w:hAnsi="Arial"/>
                <w:b/>
                <w:bCs/>
                <w:color w:val="C2410C"/>
                <w:sz w:val="15"/>
                <w:szCs w:val="15"/>
              </w:rPr>
              <w:t xml:space="preserve">WHERE IN THE APP</w:t>
            </w:r>
          </w:p>
          <w:p>
            <w:pPr>
              <w:spacing w:after="20" w:before="0"/>
            </w:pPr>
            <w:r>
              <w:rPr>
                <w:rFonts w:ascii="Arial" w:cs="Arial" w:eastAsia="Arial" w:hAnsi="Arial"/>
                <w:color w:val="1A1410"/>
                <w:sz w:val="19"/>
                <w:szCs w:val="19"/>
              </w:rPr>
              <w:t xml:space="preserve">Workspace → Rounds &amp; disbursements</w:t>
            </w:r>
          </w:p>
        </w:tc>
        <w:tc>
          <w:tcPr>
            <w:tcW w:type="dxa" w:w="3120"/>
            <w:tcBorders>
              <w:top w:val="single" w:color="D8CCBC" w:sz="1"/>
              <w:left w:val="single" w:color="D8CCBC" w:sz="1"/>
              <w:bottom w:val="single" w:color="D8CCBC" w:sz="1"/>
              <w:right w:val="single" w:color="D8CCBC" w:sz="1"/>
            </w:tcBorders>
            <w:shd w:fill="FBF6F0" w:val="clear"/>
            <w:tcMar>
              <w:top w:type="dxa" w:w="70"/>
              <w:left w:type="dxa" w:w="110"/>
              <w:bottom w:type="dxa" w:w="70"/>
              <w:right w:type="dxa" w:w="110"/>
            </w:tcMar>
          </w:tcPr>
          <w:p>
            <w:pPr>
              <w:spacing w:after="10" w:before="20"/>
            </w:pPr>
            <w:r>
              <w:rPr>
                <w:rFonts w:ascii="Arial" w:cs="Arial" w:eastAsia="Arial" w:hAnsi="Arial"/>
                <w:b/>
                <w:bCs/>
                <w:color w:val="C2410C"/>
                <w:sz w:val="15"/>
                <w:szCs w:val="15"/>
              </w:rPr>
              <w:t xml:space="preserve">WHEN</w:t>
            </w:r>
          </w:p>
          <w:p>
            <w:pPr>
              <w:spacing w:after="20" w:before="0"/>
            </w:pPr>
            <w:r>
              <w:rPr>
                <w:rFonts w:ascii="Arial" w:cs="Arial" w:eastAsia="Arial" w:hAnsi="Arial"/>
                <w:color w:val="1A1410"/>
                <w:sz w:val="19"/>
                <w:szCs w:val="19"/>
              </w:rPr>
              <w:t xml:space="preserve">At the start of a response</w:t>
            </w:r>
          </w:p>
        </w:tc>
      </w:tr>
    </w:tbl>
    <w:p>
      <w:pPr>
        <w:spacing w:after="90" w:before="90"/>
      </w:pPr>
      <w:r>
        <w:rPr>
          <w:rFonts w:ascii="Arial" w:cs="Arial" w:eastAsia="Arial" w:hAnsi="Arial"/>
          <w:color w:val="1A1410"/>
          <w:sz w:val="21"/>
          <w:szCs w:val="21"/>
        </w:rPr>
        <w:t xml:space="preserve">A round is one funding cycle: an envelope of money, a set of partners, and a start and end. No money can move until two OB members have signed it.</w:t>
      </w:r>
    </w:p>
    <w:p>
      <w:pPr>
        <w:pStyle w:val="ListParagraph"/>
        <w:numPr>
          <w:ilvl w:val="0"/>
          <w:numId w:val="4"/>
        </w:numPr>
        <w:spacing w:after="60" w:before="60"/>
      </w:pPr>
      <w:r>
        <w:rPr>
          <w:rFonts w:ascii="Arial" w:cs="Arial" w:eastAsia="Arial" w:hAnsi="Arial"/>
          <w:color w:val="1A1410"/>
          <w:sz w:val="21"/>
          <w:szCs w:val="21"/>
        </w:rPr>
        <w:t xml:space="preserve">Click “Start new round”. Give it a title, choose the trigger, pick the donor and set the envelope in USD. Title and trigger are the fields that matter; the rest can be filled in later.</w:t>
      </w:r>
    </w:p>
    <w:p>
      <w:pPr>
        <w:pStyle w:val="ListParagraph"/>
        <w:numPr>
          <w:ilvl w:val="0"/>
          <w:numId w:val="4"/>
        </w:numPr>
        <w:spacing w:after="60" w:before="60"/>
      </w:pPr>
      <w:r>
        <w:rPr>
          <w:rFonts w:ascii="Arial" w:cs="Arial" w:eastAsia="Arial" w:hAnsi="Arial"/>
          <w:color w:val="1A1410"/>
          <w:sz w:val="21"/>
          <w:szCs w:val="21"/>
        </w:rPr>
        <w:t xml:space="preserve">Click “Draft round”. The round is now a draft — visible, editable, and harmless.</w:t>
      </w:r>
    </w:p>
    <w:p>
      <w:pPr>
        <w:pStyle w:val="ListParagraph"/>
        <w:numPr>
          <w:ilvl w:val="0"/>
          <w:numId w:val="4"/>
        </w:numPr>
        <w:spacing w:after="60" w:before="60"/>
      </w:pPr>
      <w:r>
        <w:rPr>
          <w:rFonts w:ascii="Arial" w:cs="Arial" w:eastAsia="Arial" w:hAnsi="Arial"/>
          <w:color w:val="1A1410"/>
          <w:sz w:val="21"/>
          <w:szCs w:val="21"/>
        </w:rPr>
        <w:t xml:space="preserve">When the draft is right, open it and click “Submit for review”.</w:t>
      </w:r>
    </w:p>
    <w:p>
      <w:pPr>
        <w:pStyle w:val="ListParagraph"/>
        <w:numPr>
          <w:ilvl w:val="0"/>
          <w:numId w:val="4"/>
        </w:numPr>
        <w:spacing w:after="60" w:before="60"/>
      </w:pPr>
      <w:r>
        <w:rPr>
          <w:rFonts w:ascii="Arial" w:cs="Arial" w:eastAsia="Arial" w:hAnsi="Arial"/>
          <w:b/>
          <w:bCs/>
          <w:color w:val="1A1410"/>
          <w:sz w:val="21"/>
          <w:szCs w:val="21"/>
        </w:rPr>
        <w:t xml:space="preserve">A second OB member</w:t>
      </w:r>
      <w:r>
        <w:rPr>
          <w:rFonts w:ascii="Arial" w:cs="Arial" w:eastAsia="Arial" w:hAnsi="Arial"/>
          <w:color w:val="1A1410"/>
          <w:sz w:val="21"/>
          <w:szCs w:val="21"/>
        </w:rPr>
        <w:t xml:space="preserve"> opens the round and clicks “Sign — no conflict of interest”. If they have any connection to a partner likely to be funded, they click “Recuse (COI)” instead and a different member signs.</w:t>
      </w:r>
    </w:p>
    <w:p>
      <w:pPr>
        <w:pStyle w:val="ListParagraph"/>
        <w:numPr>
          <w:ilvl w:val="0"/>
          <w:numId w:val="4"/>
        </w:numPr>
        <w:spacing w:after="60" w:before="60"/>
      </w:pPr>
      <w:r>
        <w:rPr>
          <w:rFonts w:ascii="Arial" w:cs="Arial" w:eastAsia="Arial" w:hAnsi="Arial"/>
          <w:color w:val="1A1410"/>
          <w:sz w:val="21"/>
          <w:szCs w:val="21"/>
        </w:rPr>
        <w:t xml:space="preserve">Once the required signatures are in, the round becomes Active and you can add partners and release money.</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F7F0" w:sz="1"/>
              <w:left w:val="single" w:color="15803D" w:sz="18"/>
              <w:bottom w:val="single" w:color="F0F7F0" w:sz="1"/>
              <w:right w:val="single" w:color="F0F7F0" w:sz="1"/>
            </w:tcBorders>
            <w:shd w:fill="F0F7F0" w:val="clear"/>
            <w:tcMar>
              <w:top w:type="dxa" w:w="100"/>
              <w:left w:type="dxa" w:w="160"/>
              <w:bottom w:type="dxa" w:w="100"/>
              <w:right w:type="dxa" w:w="140"/>
            </w:tcMar>
          </w:tcPr>
          <w:p>
            <w:pPr>
              <w:spacing w:after="0" w:before="0"/>
            </w:pPr>
            <w:r>
              <w:rPr>
                <w:rFonts w:ascii="Arial" w:cs="Arial" w:eastAsia="Arial" w:hAnsi="Arial"/>
                <w:b/>
                <w:bCs/>
                <w:color w:val="15803D"/>
                <w:sz w:val="19"/>
                <w:szCs w:val="19"/>
              </w:rPr>
              <w:t xml:space="preserve">Good to know — </w:t>
            </w:r>
            <w:r>
              <w:rPr>
                <w:rFonts w:ascii="Arial" w:cs="Arial" w:eastAsia="Arial" w:hAnsi="Arial"/>
                <w:color w:val="1A1410"/>
                <w:sz w:val="19"/>
                <w:szCs w:val="19"/>
              </w:rPr>
              <w:t xml:space="preserve">The Overview tab always shows a “What’s next” button for whatever the round needs from you at that moment. If you are unsure of the state of a round, that button is the answer.</w:t>
            </w:r>
          </w:p>
        </w:tc>
      </w:tr>
    </w:tbl>
    <w:p>
      <w:pPr>
        <w:pStyle w:val="Heading2"/>
      </w:pPr>
      <w:r>
        <w:t xml:space="preserve">4. Bring partners into the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8CCBC" w:sz="1"/>
              <w:left w:val="single" w:color="D8CCBC" w:sz="1"/>
              <w:bottom w:val="single" w:color="D8CCBC" w:sz="1"/>
              <w:right w:val="single" w:color="D8CCBC" w:sz="1"/>
            </w:tcBorders>
            <w:shd w:fill="FBF6F0" w:val="clear"/>
            <w:tcMar>
              <w:top w:type="dxa" w:w="70"/>
              <w:left w:type="dxa" w:w="110"/>
              <w:bottom w:type="dxa" w:w="70"/>
              <w:right w:type="dxa" w:w="110"/>
            </w:tcMar>
          </w:tcPr>
          <w:p>
            <w:pPr>
              <w:spacing w:after="10" w:before="20"/>
            </w:pPr>
            <w:r>
              <w:rPr>
                <w:rFonts w:ascii="Arial" w:cs="Arial" w:eastAsia="Arial" w:hAnsi="Arial"/>
                <w:b/>
                <w:bCs/>
                <w:color w:val="C2410C"/>
                <w:sz w:val="15"/>
                <w:szCs w:val="15"/>
              </w:rPr>
              <w:t xml:space="preserve">WHO DOES THIS</w:t>
            </w:r>
          </w:p>
          <w:p>
            <w:pPr>
              <w:spacing w:after="20" w:before="0"/>
            </w:pPr>
            <w:r>
              <w:rPr>
                <w:rFonts w:ascii="Arial" w:cs="Arial" w:eastAsia="Arial" w:hAnsi="Arial"/>
                <w:color w:val="1A1410"/>
                <w:sz w:val="19"/>
                <w:szCs w:val="19"/>
              </w:rPr>
              <w:t xml:space="preserve">OB, or the community</w:t>
            </w:r>
          </w:p>
        </w:tc>
        <w:tc>
          <w:tcPr>
            <w:tcW w:type="dxa" w:w="3120"/>
            <w:tcBorders>
              <w:top w:val="single" w:color="D8CCBC" w:sz="1"/>
              <w:left w:val="single" w:color="D8CCBC" w:sz="1"/>
              <w:bottom w:val="single" w:color="D8CCBC" w:sz="1"/>
              <w:right w:val="single" w:color="D8CCBC" w:sz="1"/>
            </w:tcBorders>
            <w:shd w:fill="FBF6F0" w:val="clear"/>
            <w:tcMar>
              <w:top w:type="dxa" w:w="70"/>
              <w:left w:type="dxa" w:w="110"/>
              <w:bottom w:type="dxa" w:w="70"/>
              <w:right w:type="dxa" w:w="110"/>
            </w:tcMar>
          </w:tcPr>
          <w:p>
            <w:pPr>
              <w:spacing w:after="10" w:before="20"/>
            </w:pPr>
            <w:r>
              <w:rPr>
                <w:rFonts w:ascii="Arial" w:cs="Arial" w:eastAsia="Arial" w:hAnsi="Arial"/>
                <w:b/>
                <w:bCs/>
                <w:color w:val="C2410C"/>
                <w:sz w:val="15"/>
                <w:szCs w:val="15"/>
              </w:rPr>
              <w:t xml:space="preserve">WHERE IN THE APP</w:t>
            </w:r>
          </w:p>
          <w:p>
            <w:pPr>
              <w:spacing w:after="20" w:before="0"/>
            </w:pPr>
            <w:r>
              <w:rPr>
                <w:rFonts w:ascii="Arial" w:cs="Arial" w:eastAsia="Arial" w:hAnsi="Arial"/>
                <w:color w:val="1A1410"/>
                <w:sz w:val="19"/>
                <w:szCs w:val="19"/>
              </w:rPr>
              <w:t xml:space="preserve">Operations → Partners</w:t>
            </w:r>
          </w:p>
        </w:tc>
        <w:tc>
          <w:tcPr>
            <w:tcW w:type="dxa" w:w="3120"/>
            <w:tcBorders>
              <w:top w:val="single" w:color="D8CCBC" w:sz="1"/>
              <w:left w:val="single" w:color="D8CCBC" w:sz="1"/>
              <w:bottom w:val="single" w:color="D8CCBC" w:sz="1"/>
              <w:right w:val="single" w:color="D8CCBC" w:sz="1"/>
            </w:tcBorders>
            <w:shd w:fill="FBF6F0" w:val="clear"/>
            <w:tcMar>
              <w:top w:type="dxa" w:w="70"/>
              <w:left w:type="dxa" w:w="110"/>
              <w:bottom w:type="dxa" w:w="70"/>
              <w:right w:type="dxa" w:w="110"/>
            </w:tcMar>
          </w:tcPr>
          <w:p>
            <w:pPr>
              <w:spacing w:after="10" w:before="20"/>
            </w:pPr>
            <w:r>
              <w:rPr>
                <w:rFonts w:ascii="Arial" w:cs="Arial" w:eastAsia="Arial" w:hAnsi="Arial"/>
                <w:b/>
                <w:bCs/>
                <w:color w:val="C2410C"/>
                <w:sz w:val="15"/>
                <w:szCs w:val="15"/>
              </w:rPr>
              <w:t xml:space="preserve">WHEN</w:t>
            </w:r>
          </w:p>
          <w:p>
            <w:pPr>
              <w:spacing w:after="20" w:before="0"/>
            </w:pPr>
            <w:r>
              <w:rPr>
                <w:rFonts w:ascii="Arial" w:cs="Arial" w:eastAsia="Arial" w:hAnsi="Arial"/>
                <w:color w:val="1A1410"/>
                <w:sz w:val="19"/>
                <w:szCs w:val="19"/>
              </w:rPr>
              <w:t xml:space="preserve">Continuously</w:t>
            </w:r>
          </w:p>
        </w:tc>
      </w:tr>
    </w:tbl>
    <w:p>
      <w:pPr>
        <w:spacing w:after="90" w:before="90"/>
      </w:pPr>
      <w:r>
        <w:rPr>
          <w:rFonts w:ascii="Arial" w:cs="Arial" w:eastAsia="Arial" w:hAnsi="Arial"/>
          <w:color w:val="1A1410"/>
          <w:sz w:val="21"/>
          <w:szCs w:val="21"/>
        </w:rPr>
        <w:t xml:space="preserve">There are three ways an organisation gets into the register, and they all end in the same place — a partner record at the “nominated” stage, waiting for endorsements.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60"/>
        <w:gridCol w:w="2700"/>
      </w:tblGrid>
      <w:tr>
        <w:trPr>
          <w:tblHeader/>
        </w:trPr>
        <w:tc>
          <w:tcPr>
            <w:tcW w:type="dxa" w:w="2200"/>
            <w:tcBorders>
              <w:top w:val="single" w:color="D8CCBC" w:sz="1"/>
              <w:left w:val="single" w:color="D8CCBC" w:sz="1"/>
              <w:bottom w:val="single" w:color="D8CCBC" w:sz="1"/>
              <w:right w:val="single" w:color="D8CCBC" w:sz="1"/>
            </w:tcBorders>
            <w:shd w:fill="F4E8DC" w:val="clear"/>
            <w:tcMar>
              <w:top w:type="dxa" w:w="70"/>
              <w:left w:type="dxa" w:w="110"/>
              <w:bottom w:type="dxa" w:w="70"/>
              <w:right w:type="dxa" w:w="110"/>
            </w:tcMar>
          </w:tcPr>
          <w:p>
            <w:pPr>
              <w:spacing w:after="20" w:before="20"/>
            </w:pPr>
            <w:r>
              <w:rPr>
                <w:rFonts w:ascii="Arial" w:cs="Arial" w:eastAsia="Arial" w:hAnsi="Arial"/>
                <w:b/>
                <w:bCs/>
                <w:color w:val="1A1410"/>
                <w:sz w:val="19"/>
                <w:szCs w:val="19"/>
              </w:rPr>
              <w:t xml:space="preserve">Route</w:t>
            </w:r>
          </w:p>
        </w:tc>
        <w:tc>
          <w:tcPr>
            <w:tcW w:type="dxa" w:w="4460"/>
            <w:tcBorders>
              <w:top w:val="single" w:color="D8CCBC" w:sz="1"/>
              <w:left w:val="single" w:color="D8CCBC" w:sz="1"/>
              <w:bottom w:val="single" w:color="D8CCBC" w:sz="1"/>
              <w:right w:val="single" w:color="D8CCBC" w:sz="1"/>
            </w:tcBorders>
            <w:shd w:fill="F4E8DC" w:val="clear"/>
            <w:tcMar>
              <w:top w:type="dxa" w:w="70"/>
              <w:left w:type="dxa" w:w="110"/>
              <w:bottom w:type="dxa" w:w="70"/>
              <w:right w:type="dxa" w:w="110"/>
            </w:tcMar>
          </w:tcPr>
          <w:p>
            <w:pPr>
              <w:spacing w:after="20" w:before="20"/>
            </w:pPr>
            <w:r>
              <w:rPr>
                <w:rFonts w:ascii="Arial" w:cs="Arial" w:eastAsia="Arial" w:hAnsi="Arial"/>
                <w:b/>
                <w:bCs/>
                <w:color w:val="1A1410"/>
                <w:sz w:val="19"/>
                <w:szCs w:val="19"/>
              </w:rPr>
              <w:t xml:space="preserve">How it works</w:t>
            </w:r>
          </w:p>
        </w:tc>
        <w:tc>
          <w:tcPr>
            <w:tcW w:type="dxa" w:w="2700"/>
            <w:tcBorders>
              <w:top w:val="single" w:color="D8CCBC" w:sz="1"/>
              <w:left w:val="single" w:color="D8CCBC" w:sz="1"/>
              <w:bottom w:val="single" w:color="D8CCBC" w:sz="1"/>
              <w:right w:val="single" w:color="D8CCBC" w:sz="1"/>
            </w:tcBorders>
            <w:shd w:fill="F4E8DC" w:val="clear"/>
            <w:tcMar>
              <w:top w:type="dxa" w:w="70"/>
              <w:left w:type="dxa" w:w="110"/>
              <w:bottom w:type="dxa" w:w="70"/>
              <w:right w:type="dxa" w:w="110"/>
            </w:tcMar>
          </w:tcPr>
          <w:p>
            <w:pPr>
              <w:spacing w:after="20" w:before="20"/>
            </w:pPr>
            <w:r>
              <w:rPr>
                <w:rFonts w:ascii="Arial" w:cs="Arial" w:eastAsia="Arial" w:hAnsi="Arial"/>
                <w:b/>
                <w:bCs/>
                <w:color w:val="1A1410"/>
                <w:sz w:val="19"/>
                <w:szCs w:val="19"/>
              </w:rPr>
              <w:t xml:space="preserve">When to use it</w:t>
            </w:r>
          </w:p>
        </w:tc>
      </w:tr>
      <w:tr>
        <w:tc>
          <w:tcPr>
            <w:tcW w:type="dxa" w:w="22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Public nomination</w:t>
            </w:r>
          </w:p>
        </w:tc>
        <w:tc>
          <w:tcPr>
            <w:tcW w:type="dxa" w:w="44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Share the public nomination link (also on the Dashboard as “Public nomination form”). Anyone can fill it in — no account needed. It arrives in your register.</w:t>
            </w:r>
          </w:p>
        </w:tc>
        <w:tc>
          <w:tcPr>
            <w:tcW w:type="dxa" w:w="27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Open calls, QR codes on posters, WhatsApp forwards, coordination bodies.</w:t>
            </w:r>
          </w:p>
        </w:tc>
      </w:tr>
      <w:tr>
        <w:tc>
          <w:tcPr>
            <w:tcW w:type="dxa" w:w="22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Direct nomination</w:t>
            </w:r>
          </w:p>
        </w:tc>
        <w:tc>
          <w:tcPr>
            <w:tcW w:type="dxa" w:w="44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Partners → “Nominate partner”. You enter the organisation’s details, and bank details if you have them.</w:t>
            </w:r>
          </w:p>
        </w:tc>
        <w:tc>
          <w:tcPr>
            <w:tcW w:type="dxa" w:w="27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A group you already know, or one that reached you offline.</w:t>
            </w:r>
          </w:p>
        </w:tc>
      </w:tr>
      <w:tr>
        <w:tc>
          <w:tcPr>
            <w:tcW w:type="dxa" w:w="22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Bulk PIF import</w:t>
            </w:r>
          </w:p>
        </w:tc>
        <w:tc>
          <w:tcPr>
            <w:tcW w:type="dxa" w:w="44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Partners → “Import PIFs”. Select multiple completed Partner Information Forms (PDF or Word) at once and the system reads each into a partner record.</w:t>
            </w:r>
          </w:p>
        </w:tc>
        <w:tc>
          <w:tcPr>
            <w:tcW w:type="dxa" w:w="27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After a field exercise or a panel meeting that produced a stack of forms.</w:t>
            </w:r>
          </w:p>
        </w:tc>
      </w:tr>
    </w:tbl>
    <w:p>
      <w:pPr>
        <w:spacing w:after="60" w:before="0"/>
      </w:pPr>
    </w:p>
    <w:p>
      <w:pPr>
        <w:spacing w:after="90" w:before="90"/>
      </w:pPr>
      <w:r>
        <w:rPr>
          <w:rFonts w:ascii="Arial" w:cs="Arial" w:eastAsia="Arial" w:hAnsi="Arial"/>
          <w:color w:val="1A1410"/>
          <w:sz w:val="21"/>
          <w:szCs w:val="21"/>
        </w:rPr>
        <w:t xml:space="preserve">To put a partner into a specific round, open the round, go to the Partners tab and click “Add partner”. They join the roster at the “planned” stage and move along on their own as endorsements, payments and reports arrive — you never set a partner’s stage by hand.</w:t>
      </w:r>
    </w:p>
    <w:p>
      <w:pPr>
        <w:pStyle w:val="Heading2"/>
      </w:pPr>
      <w:r>
        <w:t xml:space="preserve">5. Collect community endorsements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8CCBC" w:sz="1"/>
              <w:left w:val="single" w:color="D8CCBC" w:sz="1"/>
              <w:bottom w:val="single" w:color="D8CCBC" w:sz="1"/>
              <w:right w:val="single" w:color="D8CCBC" w:sz="1"/>
            </w:tcBorders>
            <w:shd w:fill="FBF6F0" w:val="clear"/>
            <w:tcMar>
              <w:top w:type="dxa" w:w="70"/>
              <w:left w:type="dxa" w:w="110"/>
              <w:bottom w:type="dxa" w:w="70"/>
              <w:right w:type="dxa" w:w="110"/>
            </w:tcMar>
          </w:tcPr>
          <w:p>
            <w:pPr>
              <w:spacing w:after="10" w:before="20"/>
            </w:pPr>
            <w:r>
              <w:rPr>
                <w:rFonts w:ascii="Arial" w:cs="Arial" w:eastAsia="Arial" w:hAnsi="Arial"/>
                <w:b/>
                <w:bCs/>
                <w:color w:val="C2410C"/>
                <w:sz w:val="15"/>
                <w:szCs w:val="15"/>
              </w:rPr>
              <w:t xml:space="preserve">WHO DOES THIS</w:t>
            </w:r>
          </w:p>
          <w:p>
            <w:pPr>
              <w:spacing w:after="20" w:before="0"/>
            </w:pPr>
            <w:r>
              <w:rPr>
                <w:rFonts w:ascii="Arial" w:cs="Arial" w:eastAsia="Arial" w:hAnsi="Arial"/>
                <w:color w:val="1A1410"/>
                <w:sz w:val="19"/>
                <w:szCs w:val="19"/>
              </w:rPr>
              <w:t xml:space="preserve">OB invites · community endorses</w:t>
            </w:r>
          </w:p>
        </w:tc>
        <w:tc>
          <w:tcPr>
            <w:tcW w:type="dxa" w:w="3120"/>
            <w:tcBorders>
              <w:top w:val="single" w:color="D8CCBC" w:sz="1"/>
              <w:left w:val="single" w:color="D8CCBC" w:sz="1"/>
              <w:bottom w:val="single" w:color="D8CCBC" w:sz="1"/>
              <w:right w:val="single" w:color="D8CCBC" w:sz="1"/>
            </w:tcBorders>
            <w:shd w:fill="FBF6F0" w:val="clear"/>
            <w:tcMar>
              <w:top w:type="dxa" w:w="70"/>
              <w:left w:type="dxa" w:w="110"/>
              <w:bottom w:type="dxa" w:w="70"/>
              <w:right w:type="dxa" w:w="110"/>
            </w:tcMar>
          </w:tcPr>
          <w:p>
            <w:pPr>
              <w:spacing w:after="10" w:before="20"/>
            </w:pPr>
            <w:r>
              <w:rPr>
                <w:rFonts w:ascii="Arial" w:cs="Arial" w:eastAsia="Arial" w:hAnsi="Arial"/>
                <w:b/>
                <w:bCs/>
                <w:color w:val="C2410C"/>
                <w:sz w:val="15"/>
                <w:szCs w:val="15"/>
              </w:rPr>
              <w:t xml:space="preserve">WHERE IN THE APP</w:t>
            </w:r>
          </w:p>
          <w:p>
            <w:pPr>
              <w:spacing w:after="20" w:before="0"/>
            </w:pPr>
            <w:r>
              <w:rPr>
                <w:rFonts w:ascii="Arial" w:cs="Arial" w:eastAsia="Arial" w:hAnsi="Arial"/>
                <w:color w:val="1A1410"/>
                <w:sz w:val="19"/>
                <w:szCs w:val="19"/>
              </w:rPr>
              <w:t xml:space="preserve">Round → Partners tab</w:t>
            </w:r>
          </w:p>
        </w:tc>
        <w:tc>
          <w:tcPr>
            <w:tcW w:type="dxa" w:w="3120"/>
            <w:tcBorders>
              <w:top w:val="single" w:color="D8CCBC" w:sz="1"/>
              <w:left w:val="single" w:color="D8CCBC" w:sz="1"/>
              <w:bottom w:val="single" w:color="D8CCBC" w:sz="1"/>
              <w:right w:val="single" w:color="D8CCBC" w:sz="1"/>
            </w:tcBorders>
            <w:shd w:fill="FBF6F0" w:val="clear"/>
            <w:tcMar>
              <w:top w:type="dxa" w:w="70"/>
              <w:left w:type="dxa" w:w="110"/>
              <w:bottom w:type="dxa" w:w="70"/>
              <w:right w:type="dxa" w:w="110"/>
            </w:tcMar>
          </w:tcPr>
          <w:p>
            <w:pPr>
              <w:spacing w:after="10" w:before="20"/>
            </w:pPr>
            <w:r>
              <w:rPr>
                <w:rFonts w:ascii="Arial" w:cs="Arial" w:eastAsia="Arial" w:hAnsi="Arial"/>
                <w:b/>
                <w:bCs/>
                <w:color w:val="C2410C"/>
                <w:sz w:val="15"/>
                <w:szCs w:val="15"/>
              </w:rPr>
              <w:t xml:space="preserve">WHEN</w:t>
            </w:r>
          </w:p>
          <w:p>
            <w:pPr>
              <w:spacing w:after="20" w:before="0"/>
            </w:pPr>
            <w:r>
              <w:rPr>
                <w:rFonts w:ascii="Arial" w:cs="Arial" w:eastAsia="Arial" w:hAnsi="Arial"/>
                <w:color w:val="1A1410"/>
                <w:sz w:val="19"/>
                <w:szCs w:val="19"/>
              </w:rPr>
              <w:t xml:space="preserve">Before due diligence can clear</w:t>
            </w:r>
          </w:p>
        </w:tc>
      </w:tr>
    </w:tbl>
    <w:p>
      <w:pPr>
        <w:spacing w:after="90" w:before="90"/>
      </w:pPr>
      <w:r>
        <w:rPr>
          <w:rFonts w:ascii="Arial" w:cs="Arial" w:eastAsia="Arial" w:hAnsi="Arial"/>
          <w:color w:val="1A1410"/>
          <w:sz w:val="21"/>
          <w:szCs w:val="21"/>
        </w:rPr>
        <w:t xml:space="preserve">This is the heart of the model. Rather than judging an organisation on paperwork, the fund asks people who live near it three plain questions. Two independent, conflict-free endorsements are needed before a partner can be cleared.</w:t>
      </w:r>
    </w:p>
    <w:p>
      <w:pPr>
        <w:pStyle w:val="ListParagraph"/>
        <w:numPr>
          <w:ilvl w:val="0"/>
          <w:numId w:val="5"/>
        </w:numPr>
        <w:spacing w:after="60" w:before="60"/>
      </w:pPr>
      <w:r>
        <w:rPr>
          <w:rFonts w:ascii="Arial" w:cs="Arial" w:eastAsia="Arial" w:hAnsi="Arial"/>
          <w:color w:val="1A1410"/>
          <w:sz w:val="21"/>
          <w:szCs w:val="21"/>
        </w:rPr>
        <w:t xml:space="preserve">Open the round, go to the Partners tab, find the partner and click “Invite endorser”.</w:t>
      </w:r>
    </w:p>
    <w:p>
      <w:pPr>
        <w:pStyle w:val="ListParagraph"/>
        <w:numPr>
          <w:ilvl w:val="0"/>
          <w:numId w:val="5"/>
        </w:numPr>
        <w:spacing w:after="60" w:before="60"/>
      </w:pPr>
      <w:r>
        <w:rPr>
          <w:rFonts w:ascii="Arial" w:cs="Arial" w:eastAsia="Arial" w:hAnsi="Arial"/>
          <w:color w:val="1A1410"/>
          <w:sz w:val="21"/>
          <w:szCs w:val="21"/>
        </w:rPr>
        <w:t xml:space="preserve">Enter the elder’s name, their phone number, their locality, and a short note that they will see explaining what is being asked.</w:t>
      </w:r>
    </w:p>
    <w:p>
      <w:pPr>
        <w:pStyle w:val="ListParagraph"/>
        <w:numPr>
          <w:ilvl w:val="0"/>
          <w:numId w:val="5"/>
        </w:numPr>
        <w:spacing w:after="60" w:before="60"/>
      </w:pPr>
      <w:r>
        <w:rPr>
          <w:rFonts w:ascii="Arial" w:cs="Arial" w:eastAsia="Arial" w:hAnsi="Arial"/>
          <w:color w:val="1A1410"/>
          <w:sz w:val="21"/>
          <w:szCs w:val="21"/>
        </w:rPr>
        <w:t xml:space="preserve">Click “Generate invite”. You get a personal one-time link. Click “Open in WhatsApp” to send it directly, or “Copy link” to send it another way.</w:t>
      </w:r>
    </w:p>
    <w:p>
      <w:pPr>
        <w:pStyle w:val="ListParagraph"/>
        <w:numPr>
          <w:ilvl w:val="0"/>
          <w:numId w:val="5"/>
        </w:numPr>
        <w:spacing w:after="60" w:before="60"/>
      </w:pPr>
      <w:r>
        <w:rPr>
          <w:rFonts w:ascii="Arial" w:cs="Arial" w:eastAsia="Arial" w:hAnsi="Arial"/>
          <w:color w:val="1A1410"/>
          <w:sz w:val="21"/>
          <w:szCs w:val="21"/>
        </w:rPr>
        <w:t xml:space="preserve">Repeat for a second endorser. Use “+ Invite another endorser for this partner”.</w:t>
      </w:r>
    </w:p>
    <w:p>
      <w:pPr>
        <w:pStyle w:val="ListParagraph"/>
        <w:numPr>
          <w:ilvl w:val="0"/>
          <w:numId w:val="5"/>
        </w:numPr>
        <w:spacing w:after="60" w:before="60"/>
      </w:pPr>
      <w:r>
        <w:rPr>
          <w:rFonts w:ascii="Arial" w:cs="Arial" w:eastAsia="Arial" w:hAnsi="Arial"/>
          <w:color w:val="1A1410"/>
          <w:sz w:val="21"/>
          <w:szCs w:val="21"/>
        </w:rPr>
        <w:t xml:space="preserve">The endorser opens the link on their phone — no login — and answers three yes/no questions. They can record a voice note for each answer instead of typing, which matters where writing is a barrier.</w:t>
      </w:r>
    </w:p>
    <w:p>
      <w:pPr>
        <w:pStyle w:val="ListParagraph"/>
        <w:numPr>
          <w:ilvl w:val="0"/>
          <w:numId w:val="5"/>
        </w:numPr>
        <w:spacing w:after="60" w:before="60"/>
      </w:pPr>
      <w:r>
        <w:rPr>
          <w:rFonts w:ascii="Arial" w:cs="Arial" w:eastAsia="Arial" w:hAnsi="Arial"/>
          <w:color w:val="1A1410"/>
          <w:sz w:val="21"/>
          <w:szCs w:val="21"/>
        </w:rPr>
        <w:t xml:space="preserve">Answers appear on the partner’s Endorsements tab as they arrive, including any conflict-of-interest flag the endorser raised and any voice recording.</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F6EC" w:sz="1"/>
              <w:left w:val="single" w:color="92400E" w:sz="18"/>
              <w:bottom w:val="single" w:color="FDF6EC" w:sz="1"/>
              <w:right w:val="single" w:color="FDF6EC" w:sz="1"/>
            </w:tcBorders>
            <w:shd w:fill="FDF6EC" w:val="clear"/>
            <w:tcMar>
              <w:top w:type="dxa" w:w="100"/>
              <w:left w:type="dxa" w:w="160"/>
              <w:bottom w:type="dxa" w:w="100"/>
              <w:right w:type="dxa" w:w="140"/>
            </w:tcMar>
          </w:tcPr>
          <w:p>
            <w:pPr>
              <w:spacing w:after="0" w:before="0"/>
            </w:pPr>
            <w:r>
              <w:rPr>
                <w:rFonts w:ascii="Arial" w:cs="Arial" w:eastAsia="Arial" w:hAnsi="Arial"/>
                <w:b/>
                <w:bCs/>
                <w:color w:val="92400E"/>
                <w:sz w:val="19"/>
                <w:szCs w:val="19"/>
              </w:rPr>
              <w:t xml:space="preserve">Take care — </w:t>
            </w:r>
            <w:r>
              <w:rPr>
                <w:rFonts w:ascii="Arial" w:cs="Arial" w:eastAsia="Arial" w:hAnsi="Arial"/>
                <w:color w:val="1A1410"/>
                <w:sz w:val="19"/>
                <w:szCs w:val="19"/>
              </w:rPr>
              <w:t xml:space="preserve">An endorser who is new to the system has to be approved before their endorsement counts. Check </w:t>
            </w:r>
            <w:r>
              <w:rPr>
                <w:rFonts w:ascii="Arial" w:cs="Arial" w:eastAsia="Arial" w:hAnsi="Arial"/>
                <w:b/>
                <w:bCs/>
                <w:color w:val="1A1410"/>
                <w:sz w:val="19"/>
                <w:szCs w:val="19"/>
              </w:rPr>
              <w:t xml:space="preserve">Operations → Endorsers</w:t>
            </w:r>
            <w:r>
              <w:rPr>
                <w:rFonts w:ascii="Arial" w:cs="Arial" w:eastAsia="Arial" w:hAnsi="Arial"/>
                <w:color w:val="1A1410"/>
                <w:sz w:val="19"/>
                <w:szCs w:val="19"/>
              </w:rPr>
              <w:t xml:space="preserve"> regularly — see chapter 13.</w:t>
            </w:r>
          </w:p>
        </w:tc>
      </w:tr>
    </w:tbl>
    <w:p>
      <w:pPr>
        <w:pStyle w:val="Heading2"/>
      </w:pPr>
      <w:r>
        <w:t xml:space="preserve">6. Clear a partner through due diligence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8CCBC" w:sz="1"/>
              <w:left w:val="single" w:color="D8CCBC" w:sz="1"/>
              <w:bottom w:val="single" w:color="D8CCBC" w:sz="1"/>
              <w:right w:val="single" w:color="D8CCBC" w:sz="1"/>
            </w:tcBorders>
            <w:shd w:fill="FBF6F0" w:val="clear"/>
            <w:tcMar>
              <w:top w:type="dxa" w:w="70"/>
              <w:left w:type="dxa" w:w="110"/>
              <w:bottom w:type="dxa" w:w="70"/>
              <w:right w:type="dxa" w:w="110"/>
            </w:tcMar>
          </w:tcPr>
          <w:p>
            <w:pPr>
              <w:spacing w:after="10" w:before="20"/>
            </w:pPr>
            <w:r>
              <w:rPr>
                <w:rFonts w:ascii="Arial" w:cs="Arial" w:eastAsia="Arial" w:hAnsi="Arial"/>
                <w:b/>
                <w:bCs/>
                <w:color w:val="C2410C"/>
                <w:sz w:val="15"/>
                <w:szCs w:val="15"/>
              </w:rPr>
              <w:t xml:space="preserve">WHO DOES THIS</w:t>
            </w:r>
          </w:p>
          <w:p>
            <w:pPr>
              <w:spacing w:after="20" w:before="0"/>
            </w:pPr>
            <w:r>
              <w:rPr>
                <w:rFonts w:ascii="Arial" w:cs="Arial" w:eastAsia="Arial" w:hAnsi="Arial"/>
                <w:color w:val="1A1410"/>
                <w:sz w:val="19"/>
                <w:szCs w:val="19"/>
              </w:rPr>
              <w:t xml:space="preserve">OB</w:t>
            </w:r>
          </w:p>
        </w:tc>
        <w:tc>
          <w:tcPr>
            <w:tcW w:type="dxa" w:w="3120"/>
            <w:tcBorders>
              <w:top w:val="single" w:color="D8CCBC" w:sz="1"/>
              <w:left w:val="single" w:color="D8CCBC" w:sz="1"/>
              <w:bottom w:val="single" w:color="D8CCBC" w:sz="1"/>
              <w:right w:val="single" w:color="D8CCBC" w:sz="1"/>
            </w:tcBorders>
            <w:shd w:fill="FBF6F0" w:val="clear"/>
            <w:tcMar>
              <w:top w:type="dxa" w:w="70"/>
              <w:left w:type="dxa" w:w="110"/>
              <w:bottom w:type="dxa" w:w="70"/>
              <w:right w:type="dxa" w:w="110"/>
            </w:tcMar>
          </w:tcPr>
          <w:p>
            <w:pPr>
              <w:spacing w:after="10" w:before="20"/>
            </w:pPr>
            <w:r>
              <w:rPr>
                <w:rFonts w:ascii="Arial" w:cs="Arial" w:eastAsia="Arial" w:hAnsi="Arial"/>
                <w:b/>
                <w:bCs/>
                <w:color w:val="C2410C"/>
                <w:sz w:val="15"/>
                <w:szCs w:val="15"/>
              </w:rPr>
              <w:t xml:space="preserve">WHERE IN THE APP</w:t>
            </w:r>
          </w:p>
          <w:p>
            <w:pPr>
              <w:spacing w:after="20" w:before="0"/>
            </w:pPr>
            <w:r>
              <w:rPr>
                <w:rFonts w:ascii="Arial" w:cs="Arial" w:eastAsia="Arial" w:hAnsi="Arial"/>
                <w:color w:val="1A1410"/>
                <w:sz w:val="19"/>
                <w:szCs w:val="19"/>
              </w:rPr>
              <w:t xml:space="preserve">Partner record → Due diligence tab</w:t>
            </w:r>
          </w:p>
        </w:tc>
        <w:tc>
          <w:tcPr>
            <w:tcW w:type="dxa" w:w="3120"/>
            <w:tcBorders>
              <w:top w:val="single" w:color="D8CCBC" w:sz="1"/>
              <w:left w:val="single" w:color="D8CCBC" w:sz="1"/>
              <w:bottom w:val="single" w:color="D8CCBC" w:sz="1"/>
              <w:right w:val="single" w:color="D8CCBC" w:sz="1"/>
            </w:tcBorders>
            <w:shd w:fill="FBF6F0" w:val="clear"/>
            <w:tcMar>
              <w:top w:type="dxa" w:w="70"/>
              <w:left w:type="dxa" w:w="110"/>
              <w:bottom w:type="dxa" w:w="70"/>
              <w:right w:type="dxa" w:w="110"/>
            </w:tcMar>
          </w:tcPr>
          <w:p>
            <w:pPr>
              <w:spacing w:after="10" w:before="20"/>
            </w:pPr>
            <w:r>
              <w:rPr>
                <w:rFonts w:ascii="Arial" w:cs="Arial" w:eastAsia="Arial" w:hAnsi="Arial"/>
                <w:b/>
                <w:bCs/>
                <w:color w:val="C2410C"/>
                <w:sz w:val="15"/>
                <w:szCs w:val="15"/>
              </w:rPr>
              <w:t xml:space="preserve">WHEN</w:t>
            </w:r>
          </w:p>
          <w:p>
            <w:pPr>
              <w:spacing w:after="20" w:before="0"/>
            </w:pPr>
            <w:r>
              <w:rPr>
                <w:rFonts w:ascii="Arial" w:cs="Arial" w:eastAsia="Arial" w:hAnsi="Arial"/>
                <w:color w:val="1A1410"/>
                <w:sz w:val="19"/>
                <w:szCs w:val="19"/>
              </w:rPr>
              <w:t xml:space="preserve">Once endorsements are in</w:t>
            </w:r>
          </w:p>
        </w:tc>
      </w:tr>
    </w:tbl>
    <w:p>
      <w:pPr>
        <w:spacing w:after="90" w:before="90"/>
      </w:pPr>
      <w:r>
        <w:rPr>
          <w:rFonts w:ascii="Arial" w:cs="Arial" w:eastAsia="Arial" w:hAnsi="Arial"/>
          <w:color w:val="1A1410"/>
          <w:sz w:val="21"/>
          <w:szCs w:val="21"/>
        </w:rPr>
        <w:t xml:space="preserve">Clearing a partner means four things are on file. You can do them in any order, but all four have to be there before the partner can receive money.</w:t>
      </w:r>
    </w:p>
    <w:p>
      <w:pPr>
        <w:pStyle w:val="ListParagraph"/>
        <w:numPr>
          <w:ilvl w:val="0"/>
          <w:numId w:val="6"/>
        </w:numPr>
        <w:spacing w:after="60" w:before="60"/>
      </w:pPr>
      <w:r>
        <w:rPr>
          <w:rFonts w:ascii="Arial" w:cs="Arial" w:eastAsia="Arial" w:hAnsi="Arial"/>
          <w:b/>
          <w:bCs/>
          <w:color w:val="1A1410"/>
          <w:sz w:val="21"/>
          <w:szCs w:val="21"/>
        </w:rPr>
        <w:t xml:space="preserve">The Partner Information Form. </w:t>
      </w:r>
      <w:r>
        <w:rPr>
          <w:rFonts w:ascii="Arial" w:cs="Arial" w:eastAsia="Arial" w:hAnsi="Arial"/>
          <w:color w:val="1A1410"/>
          <w:sz w:val="21"/>
          <w:szCs w:val="21"/>
        </w:rPr>
        <w:t xml:space="preserve">Identity, programme, financial and risk details. Imported automatically if the partner came in through a PIF, otherwise entered here.</w:t>
      </w:r>
    </w:p>
    <w:p>
      <w:pPr>
        <w:pStyle w:val="ListParagraph"/>
        <w:numPr>
          <w:ilvl w:val="0"/>
          <w:numId w:val="6"/>
        </w:numPr>
        <w:spacing w:after="60" w:before="60"/>
      </w:pPr>
      <w:r>
        <w:rPr>
          <w:rFonts w:ascii="Arial" w:cs="Arial" w:eastAsia="Arial" w:hAnsi="Arial"/>
          <w:b/>
          <w:bCs/>
          <w:color w:val="1A1410"/>
          <w:sz w:val="21"/>
          <w:szCs w:val="21"/>
        </w:rPr>
        <w:t xml:space="preserve">A media check. </w:t>
      </w:r>
      <w:r>
        <w:rPr>
          <w:rFonts w:ascii="Arial" w:cs="Arial" w:eastAsia="Arial" w:hAnsi="Arial"/>
          <w:color w:val="1A1410"/>
          <w:sz w:val="21"/>
          <w:szCs w:val="21"/>
        </w:rPr>
        <w:t xml:space="preserve">Click “Run web check” to have the system search publicly for anything concerning, then record a verdict — Positive, No footprint, Inconclusive or Negative. You can also click “Record check” and enter what you found yourself. An “AI draft” badge marks anything the system pre-filled, and you remain the one who decides.</w:t>
      </w:r>
    </w:p>
    <w:p>
      <w:pPr>
        <w:pStyle w:val="ListParagraph"/>
        <w:numPr>
          <w:ilvl w:val="0"/>
          <w:numId w:val="6"/>
        </w:numPr>
        <w:spacing w:after="60" w:before="60"/>
      </w:pPr>
      <w:r>
        <w:rPr>
          <w:rFonts w:ascii="Arial" w:cs="Arial" w:eastAsia="Arial" w:hAnsi="Arial"/>
          <w:b/>
          <w:bCs/>
          <w:color w:val="1A1410"/>
          <w:sz w:val="21"/>
          <w:szCs w:val="21"/>
        </w:rPr>
        <w:t xml:space="preserve">Screening evidence. </w:t>
      </w:r>
      <w:r>
        <w:rPr>
          <w:rFonts w:ascii="Arial" w:cs="Arial" w:eastAsia="Arial" w:hAnsi="Arial"/>
          <w:color w:val="1A1410"/>
          <w:sz w:val="21"/>
          <w:szCs w:val="21"/>
        </w:rPr>
        <w:t xml:space="preserve">Upload supporting files under “Due-diligence evidence”, choosing the right kind for each — PIF original, screening evidence, media evidence, situation analysis, CV, payment confirmation.</w:t>
      </w:r>
    </w:p>
    <w:p>
      <w:pPr>
        <w:pStyle w:val="ListParagraph"/>
        <w:numPr>
          <w:ilvl w:val="0"/>
          <w:numId w:val="6"/>
        </w:numPr>
        <w:spacing w:after="60" w:before="60"/>
      </w:pPr>
      <w:r>
        <w:rPr>
          <w:rFonts w:ascii="Arial" w:cs="Arial" w:eastAsia="Arial" w:hAnsi="Arial"/>
          <w:b/>
          <w:bCs/>
          <w:color w:val="1A1410"/>
          <w:sz w:val="21"/>
          <w:szCs w:val="21"/>
        </w:rPr>
        <w:t xml:space="preserve">A verified payment route. </w:t>
      </w:r>
      <w:r>
        <w:rPr>
          <w:rFonts w:ascii="Arial" w:cs="Arial" w:eastAsia="Arial" w:hAnsi="Arial"/>
          <w:color w:val="1A1410"/>
          <w:sz w:val="21"/>
          <w:szCs w:val="21"/>
        </w:rPr>
        <w:t xml:space="preserve">On the Disbursements tab, click “Add method”, pick the provider and fill in every field — bank, hawala or mobile money. Save it, then click “Verify” on the saved route. A partner with no verified route cannot be paid.</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F0EC" w:sz="1"/>
              <w:left w:val="single" w:color="C2410C" w:sz="18"/>
              <w:bottom w:val="single" w:color="FDF0EC" w:sz="1"/>
              <w:right w:val="single" w:color="FDF0EC" w:sz="1"/>
            </w:tcBorders>
            <w:shd w:fill="FDF0EC" w:val="clear"/>
            <w:tcMar>
              <w:top w:type="dxa" w:w="100"/>
              <w:left w:type="dxa" w:w="160"/>
              <w:bottom w:type="dxa" w:w="100"/>
              <w:right w:type="dxa" w:w="140"/>
            </w:tcMar>
          </w:tcPr>
          <w:p>
            <w:pPr>
              <w:spacing w:after="0" w:before="0"/>
            </w:pPr>
            <w:r>
              <w:rPr>
                <w:rFonts w:ascii="Arial" w:cs="Arial" w:eastAsia="Arial" w:hAnsi="Arial"/>
                <w:b/>
                <w:bCs/>
                <w:color w:val="C2410C"/>
                <w:sz w:val="19"/>
                <w:szCs w:val="19"/>
              </w:rPr>
              <w:t xml:space="preserve">Stop — </w:t>
            </w:r>
            <w:r>
              <w:rPr>
                <w:rFonts w:ascii="Arial" w:cs="Arial" w:eastAsia="Arial" w:hAnsi="Arial"/>
                <w:color w:val="1A1410"/>
                <w:sz w:val="19"/>
                <w:szCs w:val="19"/>
              </w:rPr>
              <w:t xml:space="preserve">If a sanctions screening flag appears on a partner, it shows as a red card on their Overview. Do not clear or pay that partner until the flag has been resolved and the resolution recorded. Escalate it rather than working around it.</w:t>
            </w:r>
          </w:p>
        </w:tc>
      </w:tr>
    </w:tbl>
    <w:p>
      <w:pPr>
        <w:pStyle w:val="Heading2"/>
      </w:pPr>
      <w:r>
        <w:t xml:space="preserve">7. Run the selection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8CCBC" w:sz="1"/>
              <w:left w:val="single" w:color="D8CCBC" w:sz="1"/>
              <w:bottom w:val="single" w:color="D8CCBC" w:sz="1"/>
              <w:right w:val="single" w:color="D8CCBC" w:sz="1"/>
            </w:tcBorders>
            <w:shd w:fill="FBF6F0" w:val="clear"/>
            <w:tcMar>
              <w:top w:type="dxa" w:w="70"/>
              <w:left w:type="dxa" w:w="110"/>
              <w:bottom w:type="dxa" w:w="70"/>
              <w:right w:type="dxa" w:w="110"/>
            </w:tcMar>
          </w:tcPr>
          <w:p>
            <w:pPr>
              <w:spacing w:after="10" w:before="20"/>
            </w:pPr>
            <w:r>
              <w:rPr>
                <w:rFonts w:ascii="Arial" w:cs="Arial" w:eastAsia="Arial" w:hAnsi="Arial"/>
                <w:b/>
                <w:bCs/>
                <w:color w:val="C2410C"/>
                <w:sz w:val="15"/>
                <w:szCs w:val="15"/>
              </w:rPr>
              <w:t xml:space="preserve">WHO DOES THIS</w:t>
            </w:r>
          </w:p>
          <w:p>
            <w:pPr>
              <w:spacing w:after="20" w:before="0"/>
            </w:pPr>
            <w:r>
              <w:rPr>
                <w:rFonts w:ascii="Arial" w:cs="Arial" w:eastAsia="Arial" w:hAnsi="Arial"/>
                <w:color w:val="1A1410"/>
                <w:sz w:val="19"/>
                <w:szCs w:val="19"/>
              </w:rPr>
              <w:t xml:space="preserve">OB sets up · panel votes</w:t>
            </w:r>
          </w:p>
        </w:tc>
        <w:tc>
          <w:tcPr>
            <w:tcW w:type="dxa" w:w="3120"/>
            <w:tcBorders>
              <w:top w:val="single" w:color="D8CCBC" w:sz="1"/>
              <w:left w:val="single" w:color="D8CCBC" w:sz="1"/>
              <w:bottom w:val="single" w:color="D8CCBC" w:sz="1"/>
              <w:right w:val="single" w:color="D8CCBC" w:sz="1"/>
            </w:tcBorders>
            <w:shd w:fill="FBF6F0" w:val="clear"/>
            <w:tcMar>
              <w:top w:type="dxa" w:w="70"/>
              <w:left w:type="dxa" w:w="110"/>
              <w:bottom w:type="dxa" w:w="70"/>
              <w:right w:type="dxa" w:w="110"/>
            </w:tcMar>
          </w:tcPr>
          <w:p>
            <w:pPr>
              <w:spacing w:after="10" w:before="20"/>
            </w:pPr>
            <w:r>
              <w:rPr>
                <w:rFonts w:ascii="Arial" w:cs="Arial" w:eastAsia="Arial" w:hAnsi="Arial"/>
                <w:b/>
                <w:bCs/>
                <w:color w:val="C2410C"/>
                <w:sz w:val="15"/>
                <w:szCs w:val="15"/>
              </w:rPr>
              <w:t xml:space="preserve">WHERE IN THE APP</w:t>
            </w:r>
          </w:p>
          <w:p>
            <w:pPr>
              <w:spacing w:after="20" w:before="0"/>
            </w:pPr>
            <w:r>
              <w:rPr>
                <w:rFonts w:ascii="Arial" w:cs="Arial" w:eastAsia="Arial" w:hAnsi="Arial"/>
                <w:color w:val="1A1410"/>
                <w:sz w:val="19"/>
                <w:szCs w:val="19"/>
              </w:rPr>
              <w:t xml:space="preserve">Round → Partners tab</w:t>
            </w:r>
          </w:p>
        </w:tc>
        <w:tc>
          <w:tcPr>
            <w:tcW w:type="dxa" w:w="3120"/>
            <w:tcBorders>
              <w:top w:val="single" w:color="D8CCBC" w:sz="1"/>
              <w:left w:val="single" w:color="D8CCBC" w:sz="1"/>
              <w:bottom w:val="single" w:color="D8CCBC" w:sz="1"/>
              <w:right w:val="single" w:color="D8CCBC" w:sz="1"/>
            </w:tcBorders>
            <w:shd w:fill="FBF6F0" w:val="clear"/>
            <w:tcMar>
              <w:top w:type="dxa" w:w="70"/>
              <w:left w:type="dxa" w:w="110"/>
              <w:bottom w:type="dxa" w:w="70"/>
              <w:right w:type="dxa" w:w="110"/>
            </w:tcMar>
          </w:tcPr>
          <w:p>
            <w:pPr>
              <w:spacing w:after="10" w:before="20"/>
            </w:pPr>
            <w:r>
              <w:rPr>
                <w:rFonts w:ascii="Arial" w:cs="Arial" w:eastAsia="Arial" w:hAnsi="Arial"/>
                <w:b/>
                <w:bCs/>
                <w:color w:val="C2410C"/>
                <w:sz w:val="15"/>
                <w:szCs w:val="15"/>
              </w:rPr>
              <w:t xml:space="preserve">WHEN</w:t>
            </w:r>
          </w:p>
          <w:p>
            <w:pPr>
              <w:spacing w:after="20" w:before="0"/>
            </w:pPr>
            <w:r>
              <w:rPr>
                <w:rFonts w:ascii="Arial" w:cs="Arial" w:eastAsia="Arial" w:hAnsi="Arial"/>
                <w:color w:val="1A1410"/>
                <w:sz w:val="19"/>
                <w:szCs w:val="19"/>
              </w:rPr>
              <w:t xml:space="preserve">When nominations exceed the envelope</w:t>
            </w:r>
          </w:p>
        </w:tc>
      </w:tr>
    </w:tbl>
    <w:p>
      <w:pPr>
        <w:spacing w:after="90" w:before="90"/>
      </w:pPr>
      <w:r>
        <w:rPr>
          <w:rFonts w:ascii="Arial" w:cs="Arial" w:eastAsia="Arial" w:hAnsi="Arial"/>
          <w:color w:val="1A1410"/>
          <w:sz w:val="21"/>
          <w:szCs w:val="21"/>
        </w:rPr>
        <w:t xml:space="preserve">Where a physical selection meeting is not possible, the panel votes by link. Each panel member gets their own ballot listing the round’s participants.</w:t>
      </w:r>
    </w:p>
    <w:p>
      <w:pPr>
        <w:pStyle w:val="ListParagraph"/>
        <w:numPr>
          <w:ilvl w:val="0"/>
          <w:numId w:val="7"/>
        </w:numPr>
        <w:spacing w:after="60" w:before="60"/>
      </w:pPr>
      <w:r>
        <w:rPr>
          <w:rFonts w:ascii="Arial" w:cs="Arial" w:eastAsia="Arial" w:hAnsi="Arial"/>
          <w:color w:val="1A1410"/>
          <w:sz w:val="21"/>
          <w:szCs w:val="21"/>
        </w:rPr>
        <w:t xml:space="preserve">On the round’s Partners tab, set up the panel and generate a personal link for each member.</w:t>
      </w:r>
    </w:p>
    <w:p>
      <w:pPr>
        <w:pStyle w:val="ListParagraph"/>
        <w:numPr>
          <w:ilvl w:val="0"/>
          <w:numId w:val="7"/>
        </w:numPr>
        <w:spacing w:after="60" w:before="60"/>
      </w:pPr>
      <w:r>
        <w:rPr>
          <w:rFonts w:ascii="Arial" w:cs="Arial" w:eastAsia="Arial" w:hAnsi="Arial"/>
          <w:color w:val="1A1410"/>
          <w:sz w:val="21"/>
          <w:szCs w:val="21"/>
        </w:rPr>
        <w:t xml:space="preserve">Send each link to its member. Every link is individual — do not forward one member’s ballot to another.</w:t>
      </w:r>
    </w:p>
    <w:p>
      <w:pPr>
        <w:pStyle w:val="ListParagraph"/>
        <w:numPr>
          <w:ilvl w:val="0"/>
          <w:numId w:val="7"/>
        </w:numPr>
        <w:spacing w:after="60" w:before="60"/>
      </w:pPr>
      <w:r>
        <w:rPr>
          <w:rFonts w:ascii="Arial" w:cs="Arial" w:eastAsia="Arial" w:hAnsi="Arial"/>
          <w:color w:val="1A1410"/>
          <w:sz w:val="21"/>
          <w:szCs w:val="21"/>
        </w:rPr>
        <w:t xml:space="preserve">The panellist opens it on their phone, taps the partners they support, adds a note if they want, and submits. Anything they do not tap counts as a pass.</w:t>
      </w:r>
    </w:p>
    <w:p>
      <w:pPr>
        <w:pStyle w:val="ListParagraph"/>
        <w:numPr>
          <w:ilvl w:val="0"/>
          <w:numId w:val="7"/>
        </w:numPr>
        <w:spacing w:after="60" w:before="60"/>
      </w:pPr>
      <w:r>
        <w:rPr>
          <w:rFonts w:ascii="Arial" w:cs="Arial" w:eastAsia="Arial" w:hAnsi="Arial"/>
          <w:color w:val="1A1410"/>
          <w:sz w:val="21"/>
          <w:szCs w:val="21"/>
        </w:rPr>
        <w:t xml:space="preserve">Results collect on the round, and the vote is written to the audit chain so the selection can be evidenced later.</w:t>
      </w:r>
    </w:p>
    <w:p>
      <w:pPr>
        <w:pStyle w:val="Heading2"/>
      </w:pPr>
      <w:r>
        <w:t xml:space="preserve">8. Send the money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8CCBC" w:sz="1"/>
              <w:left w:val="single" w:color="D8CCBC" w:sz="1"/>
              <w:bottom w:val="single" w:color="D8CCBC" w:sz="1"/>
              <w:right w:val="single" w:color="D8CCBC" w:sz="1"/>
            </w:tcBorders>
            <w:shd w:fill="FBF6F0" w:val="clear"/>
            <w:tcMar>
              <w:top w:type="dxa" w:w="70"/>
              <w:left w:type="dxa" w:w="110"/>
              <w:bottom w:type="dxa" w:w="70"/>
              <w:right w:type="dxa" w:w="110"/>
            </w:tcMar>
          </w:tcPr>
          <w:p>
            <w:pPr>
              <w:spacing w:after="10" w:before="20"/>
            </w:pPr>
            <w:r>
              <w:rPr>
                <w:rFonts w:ascii="Arial" w:cs="Arial" w:eastAsia="Arial" w:hAnsi="Arial"/>
                <w:b/>
                <w:bCs/>
                <w:color w:val="C2410C"/>
                <w:sz w:val="15"/>
                <w:szCs w:val="15"/>
              </w:rPr>
              <w:t xml:space="preserve">WHO DOES THIS</w:t>
            </w:r>
          </w:p>
          <w:p>
            <w:pPr>
              <w:spacing w:after="20" w:before="0"/>
            </w:pPr>
            <w:r>
              <w:rPr>
                <w:rFonts w:ascii="Arial" w:cs="Arial" w:eastAsia="Arial" w:hAnsi="Arial"/>
                <w:color w:val="1A1410"/>
                <w:sz w:val="19"/>
                <w:szCs w:val="19"/>
              </w:rPr>
              <w:t xml:space="preserve">OB — two members</w:t>
            </w:r>
          </w:p>
        </w:tc>
        <w:tc>
          <w:tcPr>
            <w:tcW w:type="dxa" w:w="3120"/>
            <w:tcBorders>
              <w:top w:val="single" w:color="D8CCBC" w:sz="1"/>
              <w:left w:val="single" w:color="D8CCBC" w:sz="1"/>
              <w:bottom w:val="single" w:color="D8CCBC" w:sz="1"/>
              <w:right w:val="single" w:color="D8CCBC" w:sz="1"/>
            </w:tcBorders>
            <w:shd w:fill="FBF6F0" w:val="clear"/>
            <w:tcMar>
              <w:top w:type="dxa" w:w="70"/>
              <w:left w:type="dxa" w:w="110"/>
              <w:bottom w:type="dxa" w:w="70"/>
              <w:right w:type="dxa" w:w="110"/>
            </w:tcMar>
          </w:tcPr>
          <w:p>
            <w:pPr>
              <w:spacing w:after="10" w:before="20"/>
            </w:pPr>
            <w:r>
              <w:rPr>
                <w:rFonts w:ascii="Arial" w:cs="Arial" w:eastAsia="Arial" w:hAnsi="Arial"/>
                <w:b/>
                <w:bCs/>
                <w:color w:val="C2410C"/>
                <w:sz w:val="15"/>
                <w:szCs w:val="15"/>
              </w:rPr>
              <w:t xml:space="preserve">WHERE IN THE APP</w:t>
            </w:r>
          </w:p>
          <w:p>
            <w:pPr>
              <w:spacing w:after="20" w:before="0"/>
            </w:pPr>
            <w:r>
              <w:rPr>
                <w:rFonts w:ascii="Arial" w:cs="Arial" w:eastAsia="Arial" w:hAnsi="Arial"/>
                <w:color w:val="1A1410"/>
                <w:sz w:val="19"/>
                <w:szCs w:val="19"/>
              </w:rPr>
              <w:t xml:space="preserve">Round → Disbursements, or Operations → All disbursements</w:t>
            </w:r>
          </w:p>
        </w:tc>
        <w:tc>
          <w:tcPr>
            <w:tcW w:type="dxa" w:w="3120"/>
            <w:tcBorders>
              <w:top w:val="single" w:color="D8CCBC" w:sz="1"/>
              <w:left w:val="single" w:color="D8CCBC" w:sz="1"/>
              <w:bottom w:val="single" w:color="D8CCBC" w:sz="1"/>
              <w:right w:val="single" w:color="D8CCBC" w:sz="1"/>
            </w:tcBorders>
            <w:shd w:fill="FBF6F0" w:val="clear"/>
            <w:tcMar>
              <w:top w:type="dxa" w:w="70"/>
              <w:left w:type="dxa" w:w="110"/>
              <w:bottom w:type="dxa" w:w="70"/>
              <w:right w:type="dxa" w:w="110"/>
            </w:tcMar>
          </w:tcPr>
          <w:p>
            <w:pPr>
              <w:spacing w:after="10" w:before="20"/>
            </w:pPr>
            <w:r>
              <w:rPr>
                <w:rFonts w:ascii="Arial" w:cs="Arial" w:eastAsia="Arial" w:hAnsi="Arial"/>
                <w:b/>
                <w:bCs/>
                <w:color w:val="C2410C"/>
                <w:sz w:val="15"/>
                <w:szCs w:val="15"/>
              </w:rPr>
              <w:t xml:space="preserve">WHEN</w:t>
            </w:r>
          </w:p>
          <w:p>
            <w:pPr>
              <w:spacing w:after="20" w:before="0"/>
            </w:pPr>
            <w:r>
              <w:rPr>
                <w:rFonts w:ascii="Arial" w:cs="Arial" w:eastAsia="Arial" w:hAnsi="Arial"/>
                <w:color w:val="1A1410"/>
                <w:sz w:val="19"/>
                <w:szCs w:val="19"/>
              </w:rPr>
              <w:t xml:space="preserve">Once a partner is cleared and selected</w:t>
            </w:r>
          </w:p>
        </w:tc>
      </w:tr>
    </w:tbl>
    <w:p>
      <w:pPr>
        <w:spacing w:after="90" w:before="90"/>
      </w:pPr>
      <w:r>
        <w:rPr>
          <w:rFonts w:ascii="Arial" w:cs="Arial" w:eastAsia="Arial" w:hAnsi="Arial"/>
          <w:color w:val="1A1410"/>
          <w:sz w:val="21"/>
          <w:szCs w:val="21"/>
        </w:rPr>
        <w:t xml:space="preserve">Releasing money creates an obligation on the partner to report back. That is why the report window is part of this form and not an afterthought.</w:t>
      </w:r>
    </w:p>
    <w:p>
      <w:pPr>
        <w:pStyle w:val="ListParagraph"/>
        <w:numPr>
          <w:ilvl w:val="0"/>
          <w:numId w:val="8"/>
        </w:numPr>
        <w:spacing w:after="60" w:before="60"/>
      </w:pPr>
      <w:r>
        <w:rPr>
          <w:rFonts w:ascii="Arial" w:cs="Arial" w:eastAsia="Arial" w:hAnsi="Arial"/>
          <w:color w:val="1A1410"/>
          <w:sz w:val="21"/>
          <w:szCs w:val="21"/>
        </w:rPr>
        <w:t xml:space="preserve">From the round’s Disbursements tab click “Record disbursement” — this ties the payment to the round automatically.</w:t>
      </w:r>
    </w:p>
    <w:p>
      <w:pPr>
        <w:pStyle w:val="ListParagraph"/>
        <w:numPr>
          <w:ilvl w:val="0"/>
          <w:numId w:val="8"/>
        </w:numPr>
        <w:spacing w:after="60" w:before="60"/>
      </w:pPr>
      <w:r>
        <w:rPr>
          <w:rFonts w:ascii="Arial" w:cs="Arial" w:eastAsia="Arial" w:hAnsi="Arial"/>
          <w:color w:val="1A1410"/>
          <w:sz w:val="21"/>
          <w:szCs w:val="21"/>
        </w:rPr>
        <w:t xml:space="preserve">Choose the partner. Only cleared partners appear. If yours is missing, look at the </w:t>
      </w:r>
      <w:r>
        <w:rPr>
          <w:rFonts w:ascii="Arial" w:cs="Arial" w:eastAsia="Arial" w:hAnsi="Arial"/>
          <w:b/>
          <w:bCs/>
          <w:color w:val="1A1410"/>
          <w:sz w:val="21"/>
          <w:szCs w:val="21"/>
        </w:rPr>
        <w:t xml:space="preserve">“Why blocked?”</w:t>
      </w:r>
      <w:r>
        <w:rPr>
          <w:rFonts w:ascii="Arial" w:cs="Arial" w:eastAsia="Arial" w:hAnsi="Arial"/>
          <w:color w:val="1A1410"/>
          <w:sz w:val="21"/>
          <w:szCs w:val="21"/>
        </w:rPr>
        <w:t xml:space="preserve"> panel — it lists exactly what is preventing the payment, with a link to fix each item.</w:t>
      </w:r>
    </w:p>
    <w:p>
      <w:pPr>
        <w:pStyle w:val="ListParagraph"/>
        <w:numPr>
          <w:ilvl w:val="0"/>
          <w:numId w:val="8"/>
        </w:numPr>
        <w:spacing w:after="60" w:before="60"/>
      </w:pPr>
      <w:r>
        <w:rPr>
          <w:rFonts w:ascii="Arial" w:cs="Arial" w:eastAsia="Arial" w:hAnsi="Arial"/>
          <w:color w:val="1A1410"/>
          <w:sz w:val="21"/>
          <w:szCs w:val="21"/>
        </w:rPr>
        <w:t xml:space="preserve">Choose the payment route. Only verified routes are listed; if there is only one, it is chosen for you.</w:t>
      </w:r>
    </w:p>
    <w:p>
      <w:pPr>
        <w:pStyle w:val="ListParagraph"/>
        <w:numPr>
          <w:ilvl w:val="0"/>
          <w:numId w:val="8"/>
        </w:numPr>
        <w:spacing w:after="60" w:before="60"/>
      </w:pPr>
      <w:r>
        <w:rPr>
          <w:rFonts w:ascii="Arial" w:cs="Arial" w:eastAsia="Arial" w:hAnsi="Arial"/>
          <w:color w:val="1A1410"/>
          <w:sz w:val="21"/>
          <w:szCs w:val="21"/>
        </w:rPr>
        <w:t xml:space="preserve">Enter the amount in USD and set the report window in days. The default is 14 — shorten it for urgent relief, lengthen it for multi-week activities.</w:t>
      </w:r>
    </w:p>
    <w:p>
      <w:pPr>
        <w:pStyle w:val="ListParagraph"/>
        <w:numPr>
          <w:ilvl w:val="0"/>
          <w:numId w:val="8"/>
        </w:numPr>
        <w:spacing w:after="60" w:before="60"/>
      </w:pPr>
      <w:r>
        <w:rPr>
          <w:rFonts w:ascii="Arial" w:cs="Arial" w:eastAsia="Arial" w:hAnsi="Arial"/>
          <w:color w:val="1A1410"/>
          <w:sz w:val="21"/>
          <w:szCs w:val="21"/>
        </w:rPr>
        <w:t xml:space="preserve">Write what the money is for. The partner sees this text on their report form, so write it for them, not for the file.</w:t>
      </w:r>
    </w:p>
    <w:p>
      <w:pPr>
        <w:pStyle w:val="ListParagraph"/>
        <w:numPr>
          <w:ilvl w:val="0"/>
          <w:numId w:val="8"/>
        </w:numPr>
        <w:spacing w:after="60" w:before="60"/>
      </w:pPr>
      <w:r>
        <w:rPr>
          <w:rFonts w:ascii="Arial" w:cs="Arial" w:eastAsia="Arial" w:hAnsi="Arial"/>
          <w:color w:val="1A1410"/>
          <w:sz w:val="21"/>
          <w:szCs w:val="21"/>
        </w:rPr>
        <w:t xml:space="preserve">Tick “ISF gate cleared” to attest the partner has passed the Internally Stratified Funding gate, then click “Record disbursement”.</w:t>
      </w:r>
    </w:p>
    <w:p>
      <w:pPr>
        <w:pStyle w:val="ListParagraph"/>
        <w:numPr>
          <w:ilvl w:val="0"/>
          <w:numId w:val="8"/>
        </w:numPr>
        <w:spacing w:after="60" w:before="60"/>
      </w:pPr>
      <w:r>
        <w:rPr>
          <w:rFonts w:ascii="Arial" w:cs="Arial" w:eastAsia="Arial" w:hAnsi="Arial"/>
          <w:b/>
          <w:bCs/>
          <w:color w:val="1A1410"/>
          <w:sz w:val="21"/>
          <w:szCs w:val="21"/>
        </w:rPr>
        <w:t xml:space="preserve">A second OB member opens the disbursement and clicks “Co-sign now”. </w:t>
      </w:r>
      <w:r>
        <w:rPr>
          <w:rFonts w:ascii="Arial" w:cs="Arial" w:eastAsia="Arial" w:hAnsi="Arial"/>
          <w:color w:val="1A1410"/>
          <w:sz w:val="21"/>
          <w:szCs w:val="21"/>
        </w:rPr>
        <w:t xml:space="preserve">Until they do, the status stays “Awaiting co-sign” and no money should move. The person who created it cannot co-sign it.</w:t>
      </w:r>
    </w:p>
    <w:p>
      <w:pPr>
        <w:pStyle w:val="ListParagraph"/>
        <w:numPr>
          <w:ilvl w:val="0"/>
          <w:numId w:val="8"/>
        </w:numPr>
        <w:spacing w:after="60" w:before="60"/>
      </w:pPr>
      <w:r>
        <w:rPr>
          <w:rFonts w:ascii="Arial" w:cs="Arial" w:eastAsia="Arial" w:hAnsi="Arial"/>
          <w:color w:val="1A1410"/>
          <w:sz w:val="21"/>
          <w:szCs w:val="21"/>
        </w:rPr>
        <w:t xml:space="preserve">Copy the partner report link from the confirmation screen and send it — “Share via WhatsApp” is one click.</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F6EC" w:sz="1"/>
              <w:left w:val="single" w:color="92400E" w:sz="18"/>
              <w:bottom w:val="single" w:color="FDF6EC" w:sz="1"/>
              <w:right w:val="single" w:color="FDF6EC" w:sz="1"/>
            </w:tcBorders>
            <w:shd w:fill="FDF6EC" w:val="clear"/>
            <w:tcMar>
              <w:top w:type="dxa" w:w="100"/>
              <w:left w:type="dxa" w:w="160"/>
              <w:bottom w:type="dxa" w:w="100"/>
              <w:right w:type="dxa" w:w="140"/>
            </w:tcMar>
          </w:tcPr>
          <w:p>
            <w:pPr>
              <w:spacing w:after="0" w:before="0"/>
            </w:pPr>
            <w:r>
              <w:rPr>
                <w:rFonts w:ascii="Arial" w:cs="Arial" w:eastAsia="Arial" w:hAnsi="Arial"/>
                <w:b/>
                <w:bCs/>
                <w:color w:val="92400E"/>
                <w:sz w:val="19"/>
                <w:szCs w:val="19"/>
              </w:rPr>
              <w:t xml:space="preserve">Take care — </w:t>
            </w:r>
            <w:r>
              <w:rPr>
                <w:rFonts w:ascii="Arial" w:cs="Arial" w:eastAsia="Arial" w:hAnsi="Arial"/>
                <w:color w:val="1A1410"/>
                <w:sz w:val="19"/>
                <w:szCs w:val="19"/>
              </w:rPr>
              <w:t xml:space="preserve">If a payment route fails in practice — the hawala broker is unreachable, the bank rejects it — flag the disbursement. It moves to “Plan-B route required” and offers the partner’s alternate routes, rather than leaving the payment silently stuck.</w:t>
            </w:r>
          </w:p>
        </w:tc>
      </w:tr>
    </w:tbl>
    <w:p>
      <w:pPr>
        <w:pStyle w:val="Heading2"/>
      </w:pPr>
      <w:r>
        <w:t xml:space="preserve">9. Get the report back and give a verdict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8CCBC" w:sz="1"/>
              <w:left w:val="single" w:color="D8CCBC" w:sz="1"/>
              <w:bottom w:val="single" w:color="D8CCBC" w:sz="1"/>
              <w:right w:val="single" w:color="D8CCBC" w:sz="1"/>
            </w:tcBorders>
            <w:shd w:fill="FBF6F0" w:val="clear"/>
            <w:tcMar>
              <w:top w:type="dxa" w:w="70"/>
              <w:left w:type="dxa" w:w="110"/>
              <w:bottom w:type="dxa" w:w="70"/>
              <w:right w:type="dxa" w:w="110"/>
            </w:tcMar>
          </w:tcPr>
          <w:p>
            <w:pPr>
              <w:spacing w:after="10" w:before="20"/>
            </w:pPr>
            <w:r>
              <w:rPr>
                <w:rFonts w:ascii="Arial" w:cs="Arial" w:eastAsia="Arial" w:hAnsi="Arial"/>
                <w:b/>
                <w:bCs/>
                <w:color w:val="C2410C"/>
                <w:sz w:val="15"/>
                <w:szCs w:val="15"/>
              </w:rPr>
              <w:t xml:space="preserve">WHO DOES THIS</w:t>
            </w:r>
          </w:p>
          <w:p>
            <w:pPr>
              <w:spacing w:after="20" w:before="0"/>
            </w:pPr>
            <w:r>
              <w:rPr>
                <w:rFonts w:ascii="Arial" w:cs="Arial" w:eastAsia="Arial" w:hAnsi="Arial"/>
                <w:color w:val="1A1410"/>
                <w:sz w:val="19"/>
                <w:szCs w:val="19"/>
              </w:rPr>
              <w:t xml:space="preserve">Partner reports · OB verdicts</w:t>
            </w:r>
          </w:p>
        </w:tc>
        <w:tc>
          <w:tcPr>
            <w:tcW w:type="dxa" w:w="3120"/>
            <w:tcBorders>
              <w:top w:val="single" w:color="D8CCBC" w:sz="1"/>
              <w:left w:val="single" w:color="D8CCBC" w:sz="1"/>
              <w:bottom w:val="single" w:color="D8CCBC" w:sz="1"/>
              <w:right w:val="single" w:color="D8CCBC" w:sz="1"/>
            </w:tcBorders>
            <w:shd w:fill="FBF6F0" w:val="clear"/>
            <w:tcMar>
              <w:top w:type="dxa" w:w="70"/>
              <w:left w:type="dxa" w:w="110"/>
              <w:bottom w:type="dxa" w:w="70"/>
              <w:right w:type="dxa" w:w="110"/>
            </w:tcMar>
          </w:tcPr>
          <w:p>
            <w:pPr>
              <w:spacing w:after="10" w:before="20"/>
            </w:pPr>
            <w:r>
              <w:rPr>
                <w:rFonts w:ascii="Arial" w:cs="Arial" w:eastAsia="Arial" w:hAnsi="Arial"/>
                <w:b/>
                <w:bCs/>
                <w:color w:val="C2410C"/>
                <w:sz w:val="15"/>
                <w:szCs w:val="15"/>
              </w:rPr>
              <w:t xml:space="preserve">WHERE IN THE APP</w:t>
            </w:r>
          </w:p>
          <w:p>
            <w:pPr>
              <w:spacing w:after="20" w:before="0"/>
            </w:pPr>
            <w:r>
              <w:rPr>
                <w:rFonts w:ascii="Arial" w:cs="Arial" w:eastAsia="Arial" w:hAnsi="Arial"/>
                <w:color w:val="1A1410"/>
                <w:sz w:val="19"/>
                <w:szCs w:val="19"/>
              </w:rPr>
              <w:t xml:space="preserve">Disbursement record</w:t>
            </w:r>
          </w:p>
        </w:tc>
        <w:tc>
          <w:tcPr>
            <w:tcW w:type="dxa" w:w="3120"/>
            <w:tcBorders>
              <w:top w:val="single" w:color="D8CCBC" w:sz="1"/>
              <w:left w:val="single" w:color="D8CCBC" w:sz="1"/>
              <w:bottom w:val="single" w:color="D8CCBC" w:sz="1"/>
              <w:right w:val="single" w:color="D8CCBC" w:sz="1"/>
            </w:tcBorders>
            <w:shd w:fill="FBF6F0" w:val="clear"/>
            <w:tcMar>
              <w:top w:type="dxa" w:w="70"/>
              <w:left w:type="dxa" w:w="110"/>
              <w:bottom w:type="dxa" w:w="70"/>
              <w:right w:type="dxa" w:w="110"/>
            </w:tcMar>
          </w:tcPr>
          <w:p>
            <w:pPr>
              <w:spacing w:after="10" w:before="20"/>
            </w:pPr>
            <w:r>
              <w:rPr>
                <w:rFonts w:ascii="Arial" w:cs="Arial" w:eastAsia="Arial" w:hAnsi="Arial"/>
                <w:b/>
                <w:bCs/>
                <w:color w:val="C2410C"/>
                <w:sz w:val="15"/>
                <w:szCs w:val="15"/>
              </w:rPr>
              <w:t xml:space="preserve">WHEN</w:t>
            </w:r>
          </w:p>
          <w:p>
            <w:pPr>
              <w:spacing w:after="20" w:before="0"/>
            </w:pPr>
            <w:r>
              <w:rPr>
                <w:rFonts w:ascii="Arial" w:cs="Arial" w:eastAsia="Arial" w:hAnsi="Arial"/>
                <w:color w:val="1A1410"/>
                <w:sz w:val="19"/>
                <w:szCs w:val="19"/>
              </w:rPr>
              <w:t xml:space="preserve">Within the report window</w:t>
            </w:r>
          </w:p>
        </w:tc>
      </w:tr>
    </w:tbl>
    <w:p>
      <w:pPr>
        <w:spacing w:after="90" w:before="90"/>
      </w:pPr>
      <w:r>
        <w:rPr>
          <w:rFonts w:ascii="Arial" w:cs="Arial" w:eastAsia="Arial" w:hAnsi="Arial"/>
          <w:color w:val="1A1410"/>
          <w:sz w:val="21"/>
          <w:szCs w:val="21"/>
        </w:rPr>
        <w:t xml:space="preserve">The partner answers five questions on their phone: whether the activity happened, how many people it helped, what problems came up, how the money was spent, and a photo or voice note as evidence. Then an OB member decides whether to accept it.</w:t>
      </w:r>
    </w:p>
    <w:p>
      <w:pPr>
        <w:pStyle w:val="ListParagraph"/>
        <w:numPr>
          <w:ilvl w:val="0"/>
          <w:numId w:val="9"/>
        </w:numPr>
        <w:spacing w:after="60" w:before="60"/>
      </w:pPr>
      <w:r>
        <w:rPr>
          <w:rFonts w:ascii="Arial" w:cs="Arial" w:eastAsia="Arial" w:hAnsi="Arial"/>
          <w:color w:val="1A1410"/>
          <w:sz w:val="21"/>
          <w:szCs w:val="21"/>
        </w:rPr>
        <w:t xml:space="preserve">Open the disbursement. The partner’s answers, photos and any voice recording with its transcript appear once they submit.</w:t>
      </w:r>
    </w:p>
    <w:p>
      <w:pPr>
        <w:pStyle w:val="ListParagraph"/>
        <w:numPr>
          <w:ilvl w:val="0"/>
          <w:numId w:val="9"/>
        </w:numPr>
        <w:spacing w:after="60" w:before="60"/>
      </w:pPr>
      <w:r>
        <w:rPr>
          <w:rFonts w:ascii="Arial" w:cs="Arial" w:eastAsia="Arial" w:hAnsi="Arial"/>
          <w:color w:val="1A1410"/>
          <w:sz w:val="21"/>
          <w:szCs w:val="21"/>
        </w:rPr>
        <w:t xml:space="preserve">Read it against the purpose you wrote when you released the money.</w:t>
      </w:r>
    </w:p>
    <w:p>
      <w:pPr>
        <w:pStyle w:val="ListParagraph"/>
        <w:numPr>
          <w:ilvl w:val="0"/>
          <w:numId w:val="9"/>
        </w:numPr>
        <w:spacing w:after="60" w:before="60"/>
      </w:pPr>
      <w:r>
        <w:rPr>
          <w:rFonts w:ascii="Arial" w:cs="Arial" w:eastAsia="Arial" w:hAnsi="Arial"/>
          <w:color w:val="1A1410"/>
          <w:sz w:val="21"/>
          <w:szCs w:val="21"/>
        </w:rPr>
        <w:t xml:space="preserve">In “Your verdict”, write a note and click “Verify” if it is satisfactory, or “Flag” if it is not. </w:t>
      </w:r>
      <w:r>
        <w:rPr>
          <w:rFonts w:ascii="Arial" w:cs="Arial" w:eastAsia="Arial" w:hAnsi="Arial"/>
          <w:i/>
          <w:iCs/>
          <w:color w:val="1A1410"/>
          <w:sz w:val="21"/>
          <w:szCs w:val="21"/>
        </w:rPr>
        <w:t xml:space="preserve">Flagging is not an accusation</w:t>
      </w:r>
      <w:r>
        <w:rPr>
          <w:rFonts w:ascii="Arial" w:cs="Arial" w:eastAsia="Arial" w:hAnsi="Arial"/>
          <w:color w:val="1A1410"/>
          <w:sz w:val="21"/>
          <w:szCs w:val="21"/>
        </w:rPr>
        <w:t xml:space="preserve"> — it marks the report as needing follow-up and pauses the steps that depend on it.</w:t>
      </w:r>
    </w:p>
    <w:p>
      <w:pPr>
        <w:pStyle w:val="ListParagraph"/>
        <w:numPr>
          <w:ilvl w:val="0"/>
          <w:numId w:val="9"/>
        </w:numPr>
        <w:spacing w:after="60" w:before="60"/>
      </w:pPr>
      <w:r>
        <w:rPr>
          <w:rFonts w:ascii="Arial" w:cs="Arial" w:eastAsia="Arial" w:hAnsi="Arial"/>
          <w:color w:val="1A1410"/>
          <w:sz w:val="21"/>
          <w:szCs w:val="21"/>
        </w:rPr>
        <w:t xml:space="preserve">For extra assurance, click “Assign independent verifier”. The system picks a conflict-free third party — never the partner’s own endorser, the sender, or a co-signer — and gives you a link to send them. They confirm or dispute what was recorded.</w:t>
      </w:r>
    </w:p>
    <w:p>
      <w:pPr>
        <w:pStyle w:val="ListParagraph"/>
        <w:numPr>
          <w:ilvl w:val="0"/>
          <w:numId w:val="9"/>
        </w:numPr>
        <w:spacing w:after="60" w:before="60"/>
      </w:pPr>
      <w:r>
        <w:rPr>
          <w:rFonts w:ascii="Arial" w:cs="Arial" w:eastAsia="Arial" w:hAnsi="Arial"/>
          <w:color w:val="1A1410"/>
          <w:sz w:val="21"/>
          <w:szCs w:val="21"/>
        </w:rPr>
        <w:t xml:space="preserve">Send the partner an acknowledgement. It is a short message and it closes the loop for an organisation that has just been asked to account for public money.</w:t>
      </w:r>
    </w:p>
    <w:p>
      <w:pPr>
        <w:pStyle w:val="Heading2"/>
      </w:pPr>
      <w:r>
        <w:t xml:space="preserve">10. Build and publish the donor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8CCBC" w:sz="1"/>
              <w:left w:val="single" w:color="D8CCBC" w:sz="1"/>
              <w:bottom w:val="single" w:color="D8CCBC" w:sz="1"/>
              <w:right w:val="single" w:color="D8CCBC" w:sz="1"/>
            </w:tcBorders>
            <w:shd w:fill="FBF6F0" w:val="clear"/>
            <w:tcMar>
              <w:top w:type="dxa" w:w="70"/>
              <w:left w:type="dxa" w:w="110"/>
              <w:bottom w:type="dxa" w:w="70"/>
              <w:right w:type="dxa" w:w="110"/>
            </w:tcMar>
          </w:tcPr>
          <w:p>
            <w:pPr>
              <w:spacing w:after="10" w:before="20"/>
            </w:pPr>
            <w:r>
              <w:rPr>
                <w:rFonts w:ascii="Arial" w:cs="Arial" w:eastAsia="Arial" w:hAnsi="Arial"/>
                <w:b/>
                <w:bCs/>
                <w:color w:val="C2410C"/>
                <w:sz w:val="15"/>
                <w:szCs w:val="15"/>
              </w:rPr>
              <w:t xml:space="preserve">WHO DOES THIS</w:t>
            </w:r>
          </w:p>
          <w:p>
            <w:pPr>
              <w:spacing w:after="20" w:before="0"/>
            </w:pPr>
            <w:r>
              <w:rPr>
                <w:rFonts w:ascii="Arial" w:cs="Arial" w:eastAsia="Arial" w:hAnsi="Arial"/>
                <w:color w:val="1A1410"/>
                <w:sz w:val="19"/>
                <w:szCs w:val="19"/>
              </w:rPr>
              <w:t xml:space="preserve">OB</w:t>
            </w:r>
          </w:p>
        </w:tc>
        <w:tc>
          <w:tcPr>
            <w:tcW w:type="dxa" w:w="3120"/>
            <w:tcBorders>
              <w:top w:val="single" w:color="D8CCBC" w:sz="1"/>
              <w:left w:val="single" w:color="D8CCBC" w:sz="1"/>
              <w:bottom w:val="single" w:color="D8CCBC" w:sz="1"/>
              <w:right w:val="single" w:color="D8CCBC" w:sz="1"/>
            </w:tcBorders>
            <w:shd w:fill="FBF6F0" w:val="clear"/>
            <w:tcMar>
              <w:top w:type="dxa" w:w="70"/>
              <w:left w:type="dxa" w:w="110"/>
              <w:bottom w:type="dxa" w:w="70"/>
              <w:right w:type="dxa" w:w="110"/>
            </w:tcMar>
          </w:tcPr>
          <w:p>
            <w:pPr>
              <w:spacing w:after="10" w:before="20"/>
            </w:pPr>
            <w:r>
              <w:rPr>
                <w:rFonts w:ascii="Arial" w:cs="Arial" w:eastAsia="Arial" w:hAnsi="Arial"/>
                <w:b/>
                <w:bCs/>
                <w:color w:val="C2410C"/>
                <w:sz w:val="15"/>
                <w:szCs w:val="15"/>
              </w:rPr>
              <w:t xml:space="preserve">WHERE IN THE APP</w:t>
            </w:r>
          </w:p>
          <w:p>
            <w:pPr>
              <w:spacing w:after="20" w:before="0"/>
            </w:pPr>
            <w:r>
              <w:rPr>
                <w:rFonts w:ascii="Arial" w:cs="Arial" w:eastAsia="Arial" w:hAnsi="Arial"/>
                <w:color w:val="1A1410"/>
                <w:sz w:val="19"/>
                <w:szCs w:val="19"/>
              </w:rPr>
              <w:t xml:space="preserve">Round → Reports &amp; closing pack</w:t>
            </w:r>
          </w:p>
        </w:tc>
        <w:tc>
          <w:tcPr>
            <w:tcW w:type="dxa" w:w="3120"/>
            <w:tcBorders>
              <w:top w:val="single" w:color="D8CCBC" w:sz="1"/>
              <w:left w:val="single" w:color="D8CCBC" w:sz="1"/>
              <w:bottom w:val="single" w:color="D8CCBC" w:sz="1"/>
              <w:right w:val="single" w:color="D8CCBC" w:sz="1"/>
            </w:tcBorders>
            <w:shd w:fill="FBF6F0" w:val="clear"/>
            <w:tcMar>
              <w:top w:type="dxa" w:w="70"/>
              <w:left w:type="dxa" w:w="110"/>
              <w:bottom w:type="dxa" w:w="70"/>
              <w:right w:type="dxa" w:w="110"/>
            </w:tcMar>
          </w:tcPr>
          <w:p>
            <w:pPr>
              <w:spacing w:after="10" w:before="20"/>
            </w:pPr>
            <w:r>
              <w:rPr>
                <w:rFonts w:ascii="Arial" w:cs="Arial" w:eastAsia="Arial" w:hAnsi="Arial"/>
                <w:b/>
                <w:bCs/>
                <w:color w:val="C2410C"/>
                <w:sz w:val="15"/>
                <w:szCs w:val="15"/>
              </w:rPr>
              <w:t xml:space="preserve">WHEN</w:t>
            </w:r>
          </w:p>
          <w:p>
            <w:pPr>
              <w:spacing w:after="20" w:before="0"/>
            </w:pPr>
            <w:r>
              <w:rPr>
                <w:rFonts w:ascii="Arial" w:cs="Arial" w:eastAsia="Arial" w:hAnsi="Arial"/>
                <w:color w:val="1A1410"/>
                <w:sz w:val="19"/>
                <w:szCs w:val="19"/>
              </w:rPr>
              <w:t xml:space="preserve">When partner reports are in</w:t>
            </w:r>
          </w:p>
        </w:tc>
      </w:tr>
    </w:tbl>
    <w:p>
      <w:pPr>
        <w:spacing w:after="90" w:before="90"/>
      </w:pPr>
      <w:r>
        <w:rPr>
          <w:rFonts w:ascii="Arial" w:cs="Arial" w:eastAsia="Arial" w:hAnsi="Arial"/>
          <w:color w:val="1A1410"/>
          <w:sz w:val="21"/>
          <w:szCs w:val="21"/>
        </w:rPr>
        <w:t xml:space="preserve">This is where partner reporting becomes donor reporting. The system drafts the narrative; you edit it, decide what the donor may see, and publish.</w:t>
      </w:r>
    </w:p>
    <w:p>
      <w:pPr>
        <w:pStyle w:val="ListParagraph"/>
        <w:numPr>
          <w:ilvl w:val="0"/>
          <w:numId w:val="10"/>
        </w:numPr>
        <w:spacing w:after="60" w:before="60"/>
      </w:pPr>
      <w:r>
        <w:rPr>
          <w:rFonts w:ascii="Arial" w:cs="Arial" w:eastAsia="Arial" w:hAnsi="Arial"/>
          <w:color w:val="1A1410"/>
          <w:sz w:val="21"/>
          <w:szCs w:val="21"/>
        </w:rPr>
        <w:t xml:space="preserve">Open the report package for a partner from the round’s Reports tab.</w:t>
      </w:r>
    </w:p>
    <w:p>
      <w:pPr>
        <w:pStyle w:val="ListParagraph"/>
        <w:numPr>
          <w:ilvl w:val="0"/>
          <w:numId w:val="10"/>
        </w:numPr>
        <w:spacing w:after="60" w:before="60"/>
      </w:pPr>
      <w:r>
        <w:rPr>
          <w:rFonts w:ascii="Arial" w:cs="Arial" w:eastAsia="Arial" w:hAnsi="Arial"/>
          <w:color w:val="1A1410"/>
          <w:sz w:val="21"/>
          <w:szCs w:val="21"/>
        </w:rPr>
        <w:t xml:space="preserve">Click “Compile with AI” to draft the narrative in English and Arabic from the partner’s answers and evidence. Click “Recompile” to redo it after new material arrives.</w:t>
      </w:r>
    </w:p>
    <w:p>
      <w:pPr>
        <w:pStyle w:val="ListParagraph"/>
        <w:numPr>
          <w:ilvl w:val="0"/>
          <w:numId w:val="10"/>
        </w:numPr>
        <w:spacing w:after="60" w:before="60"/>
      </w:pPr>
      <w:r>
        <w:rPr>
          <w:rFonts w:ascii="Arial" w:cs="Arial" w:eastAsia="Arial" w:hAnsi="Arial"/>
          <w:color w:val="1A1410"/>
          <w:sz w:val="21"/>
          <w:szCs w:val="21"/>
        </w:rPr>
        <w:t xml:space="preserve">Edit the narrative. It is a draft, and it carries an “AI draft” badge until you make it yours. Then click “Save narrative”.</w:t>
      </w:r>
    </w:p>
    <w:p>
      <w:pPr>
        <w:pStyle w:val="ListParagraph"/>
        <w:numPr>
          <w:ilvl w:val="0"/>
          <w:numId w:val="10"/>
        </w:numPr>
        <w:spacing w:after="60" w:before="60"/>
      </w:pPr>
      <w:r>
        <w:rPr>
          <w:rFonts w:ascii="Arial" w:cs="Arial" w:eastAsia="Arial" w:hAnsi="Arial"/>
          <w:color w:val="1A1410"/>
          <w:sz w:val="21"/>
          <w:szCs w:val="21"/>
        </w:rPr>
        <w:t xml:space="preserve">Check the financials against the approved activities. Set an exchange rate if spending was recorded in local currency.</w:t>
      </w:r>
    </w:p>
    <w:p>
      <w:pPr>
        <w:pStyle w:val="ListParagraph"/>
        <w:numPr>
          <w:ilvl w:val="0"/>
          <w:numId w:val="10"/>
        </w:numPr>
        <w:spacing w:after="60" w:before="60"/>
      </w:pPr>
      <w:r>
        <w:rPr>
          <w:rFonts w:ascii="Arial" w:cs="Arial" w:eastAsia="Arial" w:hAnsi="Arial"/>
          <w:b/>
          <w:bCs/>
          <w:color w:val="1A1410"/>
          <w:sz w:val="21"/>
          <w:szCs w:val="21"/>
        </w:rPr>
        <w:t xml:space="preserve">Go through the evidence one item at a time. </w:t>
      </w:r>
      <w:r>
        <w:rPr>
          <w:rFonts w:ascii="Arial" w:cs="Arial" w:eastAsia="Arial" w:hAnsi="Arial"/>
          <w:color w:val="1A1410"/>
          <w:sz w:val="21"/>
          <w:szCs w:val="21"/>
        </w:rPr>
        <w:t xml:space="preserve">Everything starts internal. Click the toggle to mark an item “Donor” or “Donor-visible” only if it is safe to share — no identifiable faces of vulnerable people, nothing that puts anyone at risk. This is the safeguarding gate and it is the most important thing on the page.</w:t>
      </w:r>
    </w:p>
    <w:p>
      <w:pPr>
        <w:pStyle w:val="ListParagraph"/>
        <w:numPr>
          <w:ilvl w:val="0"/>
          <w:numId w:val="10"/>
        </w:numPr>
        <w:spacing w:after="60" w:before="60"/>
      </w:pPr>
      <w:r>
        <w:rPr>
          <w:rFonts w:ascii="Arial" w:cs="Arial" w:eastAsia="Arial" w:hAnsi="Arial"/>
          <w:color w:val="1A1410"/>
          <w:sz w:val="21"/>
          <w:szCs w:val="21"/>
        </w:rPr>
        <w:t xml:space="preserve">If a piece of evidence needs fixing, click “Flag” on it and type what the partner should change.</w:t>
      </w:r>
    </w:p>
    <w:p>
      <w:pPr>
        <w:pStyle w:val="ListParagraph"/>
        <w:numPr>
          <w:ilvl w:val="0"/>
          <w:numId w:val="10"/>
        </w:numPr>
        <w:spacing w:after="60" w:before="60"/>
      </w:pPr>
      <w:r>
        <w:rPr>
          <w:rFonts w:ascii="Arial" w:cs="Arial" w:eastAsia="Arial" w:hAnsi="Arial"/>
          <w:color w:val="1A1410"/>
          <w:sz w:val="21"/>
          <w:szCs w:val="21"/>
        </w:rPr>
        <w:t xml:space="preserve">Under Decision, either write notes and click “Request changes” to send it back, or click “Publish to donor” when it is ready. The donor then sees the narrative, the financials, and only the items you marked visible.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F0EC" w:sz="1"/>
              <w:left w:val="single" w:color="C2410C" w:sz="18"/>
              <w:bottom w:val="single" w:color="FDF0EC" w:sz="1"/>
              <w:right w:val="single" w:color="FDF0EC" w:sz="1"/>
            </w:tcBorders>
            <w:shd w:fill="FDF0EC" w:val="clear"/>
            <w:tcMar>
              <w:top w:type="dxa" w:w="100"/>
              <w:left w:type="dxa" w:w="160"/>
              <w:bottom w:type="dxa" w:w="100"/>
              <w:right w:type="dxa" w:w="140"/>
            </w:tcMar>
          </w:tcPr>
          <w:p>
            <w:pPr>
              <w:spacing w:after="0" w:before="0"/>
            </w:pPr>
            <w:r>
              <w:rPr>
                <w:rFonts w:ascii="Arial" w:cs="Arial" w:eastAsia="Arial" w:hAnsi="Arial"/>
                <w:b/>
                <w:bCs/>
                <w:color w:val="C2410C"/>
                <w:sz w:val="19"/>
                <w:szCs w:val="19"/>
              </w:rPr>
              <w:t xml:space="preserve">Stop — </w:t>
            </w:r>
            <w:r>
              <w:rPr>
                <w:rFonts w:ascii="Arial" w:cs="Arial" w:eastAsia="Arial" w:hAnsi="Arial"/>
                <w:color w:val="1A1410"/>
                <w:sz w:val="19"/>
                <w:szCs w:val="19"/>
              </w:rPr>
              <w:t xml:space="preserve">There is no confirmation step on “Publish to donor”. Do your evidence pass before you press it.</w:t>
            </w:r>
          </w:p>
        </w:tc>
      </w:tr>
    </w:tbl>
    <w:p>
      <w:pPr>
        <w:pStyle w:val="Heading2"/>
      </w:pPr>
      <w:r>
        <w:t xml:space="preserve">11. The 90-day outcome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8CCBC" w:sz="1"/>
              <w:left w:val="single" w:color="D8CCBC" w:sz="1"/>
              <w:bottom w:val="single" w:color="D8CCBC" w:sz="1"/>
              <w:right w:val="single" w:color="D8CCBC" w:sz="1"/>
            </w:tcBorders>
            <w:shd w:fill="FBF6F0" w:val="clear"/>
            <w:tcMar>
              <w:top w:type="dxa" w:w="70"/>
              <w:left w:type="dxa" w:w="110"/>
              <w:bottom w:type="dxa" w:w="70"/>
              <w:right w:type="dxa" w:w="110"/>
            </w:tcMar>
          </w:tcPr>
          <w:p>
            <w:pPr>
              <w:spacing w:after="10" w:before="20"/>
            </w:pPr>
            <w:r>
              <w:rPr>
                <w:rFonts w:ascii="Arial" w:cs="Arial" w:eastAsia="Arial" w:hAnsi="Arial"/>
                <w:b/>
                <w:bCs/>
                <w:color w:val="C2410C"/>
                <w:sz w:val="15"/>
                <w:szCs w:val="15"/>
              </w:rPr>
              <w:t xml:space="preserve">WHO DOES THIS</w:t>
            </w:r>
          </w:p>
          <w:p>
            <w:pPr>
              <w:spacing w:after="20" w:before="0"/>
            </w:pPr>
            <w:r>
              <w:rPr>
                <w:rFonts w:ascii="Arial" w:cs="Arial" w:eastAsia="Arial" w:hAnsi="Arial"/>
                <w:color w:val="1A1410"/>
                <w:sz w:val="19"/>
                <w:szCs w:val="19"/>
              </w:rPr>
              <w:t xml:space="preserve">Partner attests · OB verifies</w:t>
            </w:r>
          </w:p>
        </w:tc>
        <w:tc>
          <w:tcPr>
            <w:tcW w:type="dxa" w:w="3120"/>
            <w:tcBorders>
              <w:top w:val="single" w:color="D8CCBC" w:sz="1"/>
              <w:left w:val="single" w:color="D8CCBC" w:sz="1"/>
              <w:bottom w:val="single" w:color="D8CCBC" w:sz="1"/>
              <w:right w:val="single" w:color="D8CCBC" w:sz="1"/>
            </w:tcBorders>
            <w:shd w:fill="FBF6F0" w:val="clear"/>
            <w:tcMar>
              <w:top w:type="dxa" w:w="70"/>
              <w:left w:type="dxa" w:w="110"/>
              <w:bottom w:type="dxa" w:w="70"/>
              <w:right w:type="dxa" w:w="110"/>
            </w:tcMar>
          </w:tcPr>
          <w:p>
            <w:pPr>
              <w:spacing w:after="10" w:before="20"/>
            </w:pPr>
            <w:r>
              <w:rPr>
                <w:rFonts w:ascii="Arial" w:cs="Arial" w:eastAsia="Arial" w:hAnsi="Arial"/>
                <w:b/>
                <w:bCs/>
                <w:color w:val="C2410C"/>
                <w:sz w:val="15"/>
                <w:szCs w:val="15"/>
              </w:rPr>
              <w:t xml:space="preserve">WHERE IN THE APP</w:t>
            </w:r>
          </w:p>
          <w:p>
            <w:pPr>
              <w:spacing w:after="20" w:before="0"/>
            </w:pPr>
            <w:r>
              <w:rPr>
                <w:rFonts w:ascii="Arial" w:cs="Arial" w:eastAsia="Arial" w:hAnsi="Arial"/>
                <w:color w:val="1A1410"/>
                <w:sz w:val="19"/>
                <w:szCs w:val="19"/>
              </w:rPr>
              <w:t xml:space="preserve">Disbursement record</w:t>
            </w:r>
          </w:p>
        </w:tc>
        <w:tc>
          <w:tcPr>
            <w:tcW w:type="dxa" w:w="3120"/>
            <w:tcBorders>
              <w:top w:val="single" w:color="D8CCBC" w:sz="1"/>
              <w:left w:val="single" w:color="D8CCBC" w:sz="1"/>
              <w:bottom w:val="single" w:color="D8CCBC" w:sz="1"/>
              <w:right w:val="single" w:color="D8CCBC" w:sz="1"/>
            </w:tcBorders>
            <w:shd w:fill="FBF6F0" w:val="clear"/>
            <w:tcMar>
              <w:top w:type="dxa" w:w="70"/>
              <w:left w:type="dxa" w:w="110"/>
              <w:bottom w:type="dxa" w:w="70"/>
              <w:right w:type="dxa" w:w="110"/>
            </w:tcMar>
          </w:tcPr>
          <w:p>
            <w:pPr>
              <w:spacing w:after="10" w:before="20"/>
            </w:pPr>
            <w:r>
              <w:rPr>
                <w:rFonts w:ascii="Arial" w:cs="Arial" w:eastAsia="Arial" w:hAnsi="Arial"/>
                <w:b/>
                <w:bCs/>
                <w:color w:val="C2410C"/>
                <w:sz w:val="15"/>
                <w:szCs w:val="15"/>
              </w:rPr>
              <w:t xml:space="preserve">WHEN</w:t>
            </w:r>
          </w:p>
          <w:p>
            <w:pPr>
              <w:spacing w:after="20" w:before="0"/>
            </w:pPr>
            <w:r>
              <w:rPr>
                <w:rFonts w:ascii="Arial" w:cs="Arial" w:eastAsia="Arial" w:hAnsi="Arial"/>
                <w:color w:val="1A1410"/>
                <w:sz w:val="19"/>
                <w:szCs w:val="19"/>
              </w:rPr>
              <w:t xml:space="preserve">About 90 days after the report</w:t>
            </w:r>
          </w:p>
        </w:tc>
      </w:tr>
    </w:tbl>
    <w:p>
      <w:pPr>
        <w:spacing w:after="90" w:before="90"/>
      </w:pPr>
      <w:r>
        <w:rPr>
          <w:rFonts w:ascii="Arial" w:cs="Arial" w:eastAsia="Arial" w:hAnsi="Arial"/>
          <w:color w:val="1A1410"/>
          <w:sz w:val="21"/>
          <w:szCs w:val="21"/>
        </w:rPr>
        <w:t xml:space="preserve">An activity that helped a hundred people in week one may have helped nobody by month three. This step asks the partner what actually lasted, and it is what lets the fund talk about outcomes rather than outputs.</w:t>
      </w:r>
    </w:p>
    <w:p>
      <w:pPr>
        <w:pStyle w:val="ListParagraph"/>
        <w:numPr>
          <w:ilvl w:val="0"/>
          <w:numId w:val="11"/>
        </w:numPr>
        <w:spacing w:after="60" w:before="60"/>
      </w:pPr>
      <w:r>
        <w:rPr>
          <w:rFonts w:ascii="Arial" w:cs="Arial" w:eastAsia="Arial" w:hAnsi="Arial"/>
          <w:color w:val="1A1410"/>
          <w:sz w:val="21"/>
          <w:szCs w:val="21"/>
        </w:rPr>
        <w:t xml:space="preserve">Open the disbursement and find the outcome attestation card. Copy the outcome link and send it to the partner — WhatsApp works from here too.</w:t>
      </w:r>
    </w:p>
    <w:p>
      <w:pPr>
        <w:pStyle w:val="ListParagraph"/>
        <w:numPr>
          <w:ilvl w:val="0"/>
          <w:numId w:val="11"/>
        </w:numPr>
        <w:spacing w:after="60" w:before="60"/>
      </w:pPr>
      <w:r>
        <w:rPr>
          <w:rFonts w:ascii="Arial" w:cs="Arial" w:eastAsia="Arial" w:hAnsi="Arial"/>
          <w:color w:val="1A1410"/>
          <w:sz w:val="21"/>
          <w:szCs w:val="21"/>
        </w:rPr>
        <w:t xml:space="preserve">The partner answers how many of the people they helped are still in the same state today, what lasted, what did not, and what would have happened without the money.</w:t>
      </w:r>
    </w:p>
    <w:p>
      <w:pPr>
        <w:pStyle w:val="ListParagraph"/>
        <w:numPr>
          <w:ilvl w:val="0"/>
          <w:numId w:val="11"/>
        </w:numPr>
        <w:spacing w:after="60" w:before="60"/>
      </w:pPr>
      <w:r>
        <w:rPr>
          <w:rFonts w:ascii="Arial" w:cs="Arial" w:eastAsia="Arial" w:hAnsi="Arial"/>
          <w:color w:val="1A1410"/>
          <w:sz w:val="21"/>
          <w:szCs w:val="21"/>
        </w:rPr>
        <w:t xml:space="preserve">Review their answer and click “Verify” if it stands up, or “Dispute” if it does not match what you know.</w:t>
      </w:r>
    </w:p>
    <w:p>
      <w:pPr>
        <w:pStyle w:val="ListParagraph"/>
        <w:numPr>
          <w:ilvl w:val="0"/>
          <w:numId w:val="11"/>
        </w:numPr>
        <w:spacing w:after="60" w:before="60"/>
      </w:pPr>
      <w:r>
        <w:rPr>
          <w:rFonts w:ascii="Arial" w:cs="Arial" w:eastAsia="Arial" w:hAnsi="Arial"/>
          <w:color w:val="1A1410"/>
          <w:sz w:val="21"/>
          <w:szCs w:val="21"/>
        </w:rPr>
        <w:t xml:space="preserve">Send a message back to the partner. Their honesty here is worth protecting — a partner who reports a failure and hears nothing will report differently next time.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F6EC" w:sz="1"/>
              <w:left w:val="single" w:color="92400E" w:sz="18"/>
              <w:bottom w:val="single" w:color="FDF6EC" w:sz="1"/>
              <w:right w:val="single" w:color="FDF6EC" w:sz="1"/>
            </w:tcBorders>
            <w:shd w:fill="FDF6EC" w:val="clear"/>
            <w:tcMar>
              <w:top w:type="dxa" w:w="100"/>
              <w:left w:type="dxa" w:w="160"/>
              <w:bottom w:type="dxa" w:w="100"/>
              <w:right w:type="dxa" w:w="140"/>
            </w:tcMar>
          </w:tcPr>
          <w:p>
            <w:pPr>
              <w:spacing w:after="0" w:before="0"/>
            </w:pPr>
            <w:r>
              <w:rPr>
                <w:rFonts w:ascii="Arial" w:cs="Arial" w:eastAsia="Arial" w:hAnsi="Arial"/>
                <w:b/>
                <w:bCs/>
                <w:color w:val="92400E"/>
                <w:sz w:val="19"/>
                <w:szCs w:val="19"/>
              </w:rPr>
              <w:t xml:space="preserve">Take care — </w:t>
            </w:r>
            <w:r>
              <w:rPr>
                <w:rFonts w:ascii="Arial" w:cs="Arial" w:eastAsia="Arial" w:hAnsi="Arial"/>
                <w:color w:val="1A1410"/>
                <w:sz w:val="19"/>
                <w:szCs w:val="19"/>
              </w:rPr>
              <w:t xml:space="preserve">If the underlying report is flagged, the outcome flow is paused on purpose. Resolve the flag first and the outcome step resumes.</w:t>
            </w:r>
          </w:p>
        </w:tc>
      </w:tr>
    </w:tbl>
    <w:p>
      <w:pPr>
        <w:pStyle w:val="Heading2"/>
      </w:pPr>
      <w:r>
        <w:t xml:space="preserve">12. Close the 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8CCBC" w:sz="1"/>
              <w:left w:val="single" w:color="D8CCBC" w:sz="1"/>
              <w:bottom w:val="single" w:color="D8CCBC" w:sz="1"/>
              <w:right w:val="single" w:color="D8CCBC" w:sz="1"/>
            </w:tcBorders>
            <w:shd w:fill="FBF6F0" w:val="clear"/>
            <w:tcMar>
              <w:top w:type="dxa" w:w="70"/>
              <w:left w:type="dxa" w:w="110"/>
              <w:bottom w:type="dxa" w:w="70"/>
              <w:right w:type="dxa" w:w="110"/>
            </w:tcMar>
          </w:tcPr>
          <w:p>
            <w:pPr>
              <w:spacing w:after="10" w:before="20"/>
            </w:pPr>
            <w:r>
              <w:rPr>
                <w:rFonts w:ascii="Arial" w:cs="Arial" w:eastAsia="Arial" w:hAnsi="Arial"/>
                <w:b/>
                <w:bCs/>
                <w:color w:val="C2410C"/>
                <w:sz w:val="15"/>
                <w:szCs w:val="15"/>
              </w:rPr>
              <w:t xml:space="preserve">WHO DOES THIS</w:t>
            </w:r>
          </w:p>
          <w:p>
            <w:pPr>
              <w:spacing w:after="20" w:before="0"/>
            </w:pPr>
            <w:r>
              <w:rPr>
                <w:rFonts w:ascii="Arial" w:cs="Arial" w:eastAsia="Arial" w:hAnsi="Arial"/>
                <w:color w:val="1A1410"/>
                <w:sz w:val="19"/>
                <w:szCs w:val="19"/>
              </w:rPr>
              <w:t xml:space="preserve">OB</w:t>
            </w:r>
          </w:p>
        </w:tc>
        <w:tc>
          <w:tcPr>
            <w:tcW w:type="dxa" w:w="3120"/>
            <w:tcBorders>
              <w:top w:val="single" w:color="D8CCBC" w:sz="1"/>
              <w:left w:val="single" w:color="D8CCBC" w:sz="1"/>
              <w:bottom w:val="single" w:color="D8CCBC" w:sz="1"/>
              <w:right w:val="single" w:color="D8CCBC" w:sz="1"/>
            </w:tcBorders>
            <w:shd w:fill="FBF6F0" w:val="clear"/>
            <w:tcMar>
              <w:top w:type="dxa" w:w="70"/>
              <w:left w:type="dxa" w:w="110"/>
              <w:bottom w:type="dxa" w:w="70"/>
              <w:right w:type="dxa" w:w="110"/>
            </w:tcMar>
          </w:tcPr>
          <w:p>
            <w:pPr>
              <w:spacing w:after="10" w:before="20"/>
            </w:pPr>
            <w:r>
              <w:rPr>
                <w:rFonts w:ascii="Arial" w:cs="Arial" w:eastAsia="Arial" w:hAnsi="Arial"/>
                <w:b/>
                <w:bCs/>
                <w:color w:val="C2410C"/>
                <w:sz w:val="15"/>
                <w:szCs w:val="15"/>
              </w:rPr>
              <w:t xml:space="preserve">WHERE IN THE APP</w:t>
            </w:r>
          </w:p>
          <w:p>
            <w:pPr>
              <w:spacing w:after="20" w:before="0"/>
            </w:pPr>
            <w:r>
              <w:rPr>
                <w:rFonts w:ascii="Arial" w:cs="Arial" w:eastAsia="Arial" w:hAnsi="Arial"/>
                <w:color w:val="1A1410"/>
                <w:sz w:val="19"/>
                <w:szCs w:val="19"/>
              </w:rPr>
              <w:t xml:space="preserve">Round → Overview, then Reports &amp; closing pack</w:t>
            </w:r>
          </w:p>
        </w:tc>
        <w:tc>
          <w:tcPr>
            <w:tcW w:type="dxa" w:w="3120"/>
            <w:tcBorders>
              <w:top w:val="single" w:color="D8CCBC" w:sz="1"/>
              <w:left w:val="single" w:color="D8CCBC" w:sz="1"/>
              <w:bottom w:val="single" w:color="D8CCBC" w:sz="1"/>
              <w:right w:val="single" w:color="D8CCBC" w:sz="1"/>
            </w:tcBorders>
            <w:shd w:fill="FBF6F0" w:val="clear"/>
            <w:tcMar>
              <w:top w:type="dxa" w:w="70"/>
              <w:left w:type="dxa" w:w="110"/>
              <w:bottom w:type="dxa" w:w="70"/>
              <w:right w:type="dxa" w:w="110"/>
            </w:tcMar>
          </w:tcPr>
          <w:p>
            <w:pPr>
              <w:spacing w:after="10" w:before="20"/>
            </w:pPr>
            <w:r>
              <w:rPr>
                <w:rFonts w:ascii="Arial" w:cs="Arial" w:eastAsia="Arial" w:hAnsi="Arial"/>
                <w:b/>
                <w:bCs/>
                <w:color w:val="C2410C"/>
                <w:sz w:val="15"/>
                <w:szCs w:val="15"/>
              </w:rPr>
              <w:t xml:space="preserve">WHEN</w:t>
            </w:r>
          </w:p>
          <w:p>
            <w:pPr>
              <w:spacing w:after="20" w:before="0"/>
            </w:pPr>
            <w:r>
              <w:rPr>
                <w:rFonts w:ascii="Arial" w:cs="Arial" w:eastAsia="Arial" w:hAnsi="Arial"/>
                <w:color w:val="1A1410"/>
                <w:sz w:val="19"/>
                <w:szCs w:val="19"/>
              </w:rPr>
              <w:t xml:space="preserve">When the cycle is finished</w:t>
            </w:r>
          </w:p>
        </w:tc>
      </w:tr>
    </w:tbl>
    <w:p>
      <w:pPr>
        <w:pStyle w:val="ListParagraph"/>
        <w:numPr>
          <w:ilvl w:val="0"/>
          <w:numId w:val="12"/>
        </w:numPr>
        <w:spacing w:after="60" w:before="60"/>
      </w:pPr>
      <w:r>
        <w:rPr>
          <w:rFonts w:ascii="Arial" w:cs="Arial" w:eastAsia="Arial" w:hAnsi="Arial"/>
          <w:color w:val="1A1410"/>
          <w:sz w:val="21"/>
          <w:szCs w:val="21"/>
        </w:rPr>
        <w:t xml:space="preserve">Open the round and click “Close round”.</w:t>
      </w:r>
    </w:p>
    <w:p>
      <w:pPr>
        <w:pStyle w:val="ListParagraph"/>
        <w:numPr>
          <w:ilvl w:val="0"/>
          <w:numId w:val="12"/>
        </w:numPr>
        <w:spacing w:after="60" w:before="60"/>
      </w:pPr>
      <w:r>
        <w:rPr>
          <w:rFonts w:ascii="Arial" w:cs="Arial" w:eastAsia="Arial" w:hAnsi="Arial"/>
          <w:color w:val="1A1410"/>
          <w:sz w:val="21"/>
          <w:szCs w:val="21"/>
        </w:rPr>
        <w:t xml:space="preserve">Write the closing summary — what was disbursed, and the key outcomes. This is what a reader will find first when they open the round in a year, so write it for them.</w:t>
      </w:r>
    </w:p>
    <w:p>
      <w:pPr>
        <w:pStyle w:val="ListParagraph"/>
        <w:numPr>
          <w:ilvl w:val="0"/>
          <w:numId w:val="12"/>
        </w:numPr>
        <w:spacing w:after="60" w:before="60"/>
      </w:pPr>
      <w:r>
        <w:rPr>
          <w:rFonts w:ascii="Arial" w:cs="Arial" w:eastAsia="Arial" w:hAnsi="Arial"/>
          <w:color w:val="1A1410"/>
          <w:sz w:val="21"/>
          <w:szCs w:val="21"/>
        </w:rPr>
        <w:t xml:space="preserve">Click “Confirm close”.</w:t>
      </w:r>
    </w:p>
    <w:p>
      <w:pPr>
        <w:pStyle w:val="ListParagraph"/>
        <w:numPr>
          <w:ilvl w:val="0"/>
          <w:numId w:val="12"/>
        </w:numPr>
        <w:spacing w:after="60" w:before="60"/>
      </w:pPr>
      <w:r>
        <w:rPr>
          <w:rFonts w:ascii="Arial" w:cs="Arial" w:eastAsia="Arial" w:hAnsi="Arial"/>
          <w:color w:val="1A1410"/>
          <w:sz w:val="21"/>
          <w:szCs w:val="21"/>
        </w:rPr>
        <w:t xml:space="preserve">On the Reports &amp; closing pack tab, download what you need: the round report PDF, the audit-chain bundle, and later the donor retrospective.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F6EC" w:sz="1"/>
              <w:left w:val="single" w:color="92400E" w:sz="18"/>
              <w:bottom w:val="single" w:color="FDF6EC" w:sz="1"/>
              <w:right w:val="single" w:color="FDF6EC" w:sz="1"/>
            </w:tcBorders>
            <w:shd w:fill="FDF6EC" w:val="clear"/>
            <w:tcMar>
              <w:top w:type="dxa" w:w="100"/>
              <w:left w:type="dxa" w:w="160"/>
              <w:bottom w:type="dxa" w:w="100"/>
              <w:right w:type="dxa" w:w="140"/>
            </w:tcMar>
          </w:tcPr>
          <w:p>
            <w:pPr>
              <w:spacing w:after="0" w:before="0"/>
            </w:pPr>
            <w:r>
              <w:rPr>
                <w:rFonts w:ascii="Arial" w:cs="Arial" w:eastAsia="Arial" w:hAnsi="Arial"/>
                <w:b/>
                <w:bCs/>
                <w:color w:val="92400E"/>
                <w:sz w:val="19"/>
                <w:szCs w:val="19"/>
              </w:rPr>
              <w:t xml:space="preserve">Take care — </w:t>
            </w:r>
            <w:r>
              <w:rPr>
                <w:rFonts w:ascii="Arial" w:cs="Arial" w:eastAsia="Arial" w:hAnsi="Arial"/>
                <w:color w:val="1A1410"/>
                <w:sz w:val="19"/>
                <w:szCs w:val="19"/>
              </w:rPr>
              <w:t xml:space="preserve">The retrospective PDF button is labelled “90-day” but the report actually unlocks 180 days after closing. The label is wrong, not the report — this is a known issue and is being corrected.</w:t>
            </w:r>
          </w:p>
        </w:tc>
      </w:tr>
    </w:tbl>
    <w:p>
      <w:r>
        <w:br w:type="page"/>
      </w:r>
    </w:p>
    <w:p>
      <w:pPr>
        <w:pStyle w:val="Heading1"/>
      </w:pPr>
      <w:r>
        <w:t xml:space="preserve">Keeping the fund safe</w:t>
      </w:r>
    </w:p>
    <w:p>
      <w:pPr>
        <w:pStyle w:val="Heading2"/>
      </w:pPr>
      <w:r>
        <w:t xml:space="preserve">13. Approve endorsers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8CCBC" w:sz="1"/>
              <w:left w:val="single" w:color="D8CCBC" w:sz="1"/>
              <w:bottom w:val="single" w:color="D8CCBC" w:sz="1"/>
              <w:right w:val="single" w:color="D8CCBC" w:sz="1"/>
            </w:tcBorders>
            <w:shd w:fill="FBF6F0" w:val="clear"/>
            <w:tcMar>
              <w:top w:type="dxa" w:w="70"/>
              <w:left w:type="dxa" w:w="110"/>
              <w:bottom w:type="dxa" w:w="70"/>
              <w:right w:type="dxa" w:w="110"/>
            </w:tcMar>
          </w:tcPr>
          <w:p>
            <w:pPr>
              <w:spacing w:after="10" w:before="20"/>
            </w:pPr>
            <w:r>
              <w:rPr>
                <w:rFonts w:ascii="Arial" w:cs="Arial" w:eastAsia="Arial" w:hAnsi="Arial"/>
                <w:b/>
                <w:bCs/>
                <w:color w:val="C2410C"/>
                <w:sz w:val="15"/>
                <w:szCs w:val="15"/>
              </w:rPr>
              <w:t xml:space="preserve">WHO DOES THIS</w:t>
            </w:r>
          </w:p>
          <w:p>
            <w:pPr>
              <w:spacing w:after="20" w:before="0"/>
            </w:pPr>
            <w:r>
              <w:rPr>
                <w:rFonts w:ascii="Arial" w:cs="Arial" w:eastAsia="Arial" w:hAnsi="Arial"/>
                <w:color w:val="1A1410"/>
                <w:sz w:val="19"/>
                <w:szCs w:val="19"/>
              </w:rPr>
              <w:t xml:space="preserve">OB</w:t>
            </w:r>
          </w:p>
        </w:tc>
        <w:tc>
          <w:tcPr>
            <w:tcW w:type="dxa" w:w="3120"/>
            <w:tcBorders>
              <w:top w:val="single" w:color="D8CCBC" w:sz="1"/>
              <w:left w:val="single" w:color="D8CCBC" w:sz="1"/>
              <w:bottom w:val="single" w:color="D8CCBC" w:sz="1"/>
              <w:right w:val="single" w:color="D8CCBC" w:sz="1"/>
            </w:tcBorders>
            <w:shd w:fill="FBF6F0" w:val="clear"/>
            <w:tcMar>
              <w:top w:type="dxa" w:w="70"/>
              <w:left w:type="dxa" w:w="110"/>
              <w:bottom w:type="dxa" w:w="70"/>
              <w:right w:type="dxa" w:w="110"/>
            </w:tcMar>
          </w:tcPr>
          <w:p>
            <w:pPr>
              <w:spacing w:after="10" w:before="20"/>
            </w:pPr>
            <w:r>
              <w:rPr>
                <w:rFonts w:ascii="Arial" w:cs="Arial" w:eastAsia="Arial" w:hAnsi="Arial"/>
                <w:b/>
                <w:bCs/>
                <w:color w:val="C2410C"/>
                <w:sz w:val="15"/>
                <w:szCs w:val="15"/>
              </w:rPr>
              <w:t xml:space="preserve">WHERE IN THE APP</w:t>
            </w:r>
          </w:p>
          <w:p>
            <w:pPr>
              <w:spacing w:after="20" w:before="0"/>
            </w:pPr>
            <w:r>
              <w:rPr>
                <w:rFonts w:ascii="Arial" w:cs="Arial" w:eastAsia="Arial" w:hAnsi="Arial"/>
                <w:color w:val="1A1410"/>
                <w:sz w:val="19"/>
                <w:szCs w:val="19"/>
              </w:rPr>
              <w:t xml:space="preserve">Operations → Endorsers</w:t>
            </w:r>
          </w:p>
        </w:tc>
        <w:tc>
          <w:tcPr>
            <w:tcW w:type="dxa" w:w="3120"/>
            <w:tcBorders>
              <w:top w:val="single" w:color="D8CCBC" w:sz="1"/>
              <w:left w:val="single" w:color="D8CCBC" w:sz="1"/>
              <w:bottom w:val="single" w:color="D8CCBC" w:sz="1"/>
              <w:right w:val="single" w:color="D8CCBC" w:sz="1"/>
            </w:tcBorders>
            <w:shd w:fill="FBF6F0" w:val="clear"/>
            <w:tcMar>
              <w:top w:type="dxa" w:w="70"/>
              <w:left w:type="dxa" w:w="110"/>
              <w:bottom w:type="dxa" w:w="70"/>
              <w:right w:type="dxa" w:w="110"/>
            </w:tcMar>
          </w:tcPr>
          <w:p>
            <w:pPr>
              <w:spacing w:after="10" w:before="20"/>
            </w:pPr>
            <w:r>
              <w:rPr>
                <w:rFonts w:ascii="Arial" w:cs="Arial" w:eastAsia="Arial" w:hAnsi="Arial"/>
                <w:b/>
                <w:bCs/>
                <w:color w:val="C2410C"/>
                <w:sz w:val="15"/>
                <w:szCs w:val="15"/>
              </w:rPr>
              <w:t xml:space="preserve">WHEN</w:t>
            </w:r>
          </w:p>
          <w:p>
            <w:pPr>
              <w:spacing w:after="20" w:before="0"/>
            </w:pPr>
            <w:r>
              <w:rPr>
                <w:rFonts w:ascii="Arial" w:cs="Arial" w:eastAsia="Arial" w:hAnsi="Arial"/>
                <w:color w:val="1A1410"/>
                <w:sz w:val="19"/>
                <w:szCs w:val="19"/>
              </w:rPr>
              <w:t xml:space="preserve">Whenever the queue is not empty</w:t>
            </w:r>
          </w:p>
        </w:tc>
      </w:tr>
    </w:tbl>
    <w:p>
      <w:pPr>
        <w:spacing w:after="90" w:before="90"/>
      </w:pPr>
      <w:r>
        <w:rPr>
          <w:rFonts w:ascii="Arial" w:cs="Arial" w:eastAsia="Arial" w:hAnsi="Arial"/>
          <w:color w:val="1A1410"/>
          <w:sz w:val="21"/>
          <w:szCs w:val="21"/>
        </w:rPr>
        <w:t xml:space="preserve">A new endorser has to be approved before their voice counts. The screen shows what they disclosed about their own connections — village, family, employer — so you can judge whether a real conflict exists.</w:t>
      </w:r>
    </w:p>
    <w:p>
      <w:pPr>
        <w:pStyle w:val="ListParagraph"/>
        <w:numPr>
          <w:ilvl w:val="0"/>
          <w:numId w:val="13"/>
        </w:numPr>
        <w:spacing w:after="60" w:before="60"/>
      </w:pPr>
      <w:r>
        <w:rPr>
          <w:rFonts w:ascii="Arial" w:cs="Arial" w:eastAsia="Arial" w:hAnsi="Arial"/>
          <w:color w:val="1A1410"/>
          <w:sz w:val="21"/>
          <w:szCs w:val="21"/>
        </w:rPr>
        <w:t xml:space="preserve">Read the disclosures on each pending row.</w:t>
      </w:r>
    </w:p>
    <w:p>
      <w:pPr>
        <w:pStyle w:val="ListParagraph"/>
        <w:numPr>
          <w:ilvl w:val="0"/>
          <w:numId w:val="13"/>
        </w:numPr>
        <w:spacing w:after="60" w:before="60"/>
      </w:pPr>
      <w:r>
        <w:rPr>
          <w:rFonts w:ascii="Arial" w:cs="Arial" w:eastAsia="Arial" w:hAnsi="Arial"/>
          <w:color w:val="1A1410"/>
          <w:sz w:val="21"/>
          <w:szCs w:val="21"/>
        </w:rPr>
        <w:t xml:space="preserve">Click “Approve”, then “Confirm approval”. They can now endorse partners and their reputation begins to count.</w:t>
      </w:r>
    </w:p>
    <w:p>
      <w:pPr>
        <w:pStyle w:val="ListParagraph"/>
        <w:numPr>
          <w:ilvl w:val="0"/>
          <w:numId w:val="13"/>
        </w:numPr>
        <w:spacing w:after="60" w:before="60"/>
      </w:pPr>
      <w:r>
        <w:rPr>
          <w:rFonts w:ascii="Arial" w:cs="Arial" w:eastAsia="Arial" w:hAnsi="Arial"/>
          <w:color w:val="1A1410"/>
          <w:sz w:val="21"/>
          <w:szCs w:val="21"/>
        </w:rPr>
        <w:t xml:space="preserve">Or click “Reject” and give a reason. The reason is required and is kept in the audit chain, so write something a colleague could understand later.</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F7F0" w:sz="1"/>
              <w:left w:val="single" w:color="15803D" w:sz="18"/>
              <w:bottom w:val="single" w:color="F0F7F0" w:sz="1"/>
              <w:right w:val="single" w:color="F0F7F0" w:sz="1"/>
            </w:tcBorders>
            <w:shd w:fill="F0F7F0" w:val="clear"/>
            <w:tcMar>
              <w:top w:type="dxa" w:w="100"/>
              <w:left w:type="dxa" w:w="160"/>
              <w:bottom w:type="dxa" w:w="100"/>
              <w:right w:type="dxa" w:w="140"/>
            </w:tcMar>
          </w:tcPr>
          <w:p>
            <w:pPr>
              <w:spacing w:after="0" w:before="0"/>
            </w:pPr>
            <w:r>
              <w:rPr>
                <w:rFonts w:ascii="Arial" w:cs="Arial" w:eastAsia="Arial" w:hAnsi="Arial"/>
                <w:b/>
                <w:bCs/>
                <w:color w:val="15803D"/>
                <w:sz w:val="19"/>
                <w:szCs w:val="19"/>
              </w:rPr>
              <w:t xml:space="preserve">Good to know — </w:t>
            </w:r>
            <w:r>
              <w:rPr>
                <w:rFonts w:ascii="Arial" w:cs="Arial" w:eastAsia="Arial" w:hAnsi="Arial"/>
                <w:color w:val="1A1410"/>
                <w:sz w:val="19"/>
                <w:szCs w:val="19"/>
              </w:rPr>
              <w:t xml:space="preserve">This queue is the bottleneck people forget. Endorsements sitting unapproved look, from the outside, like a partner nobody vouched for. The Dashboard shows an “Endorsers pending” count — keep it near zero.</w:t>
            </w:r>
          </w:p>
        </w:tc>
      </w:tr>
    </w:tbl>
    <w:p>
      <w:pPr>
        <w:pStyle w:val="Heading2"/>
      </w:pPr>
      <w:r>
        <w:t xml:space="preserve">14. Handle grievances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8CCBC" w:sz="1"/>
              <w:left w:val="single" w:color="D8CCBC" w:sz="1"/>
              <w:bottom w:val="single" w:color="D8CCBC" w:sz="1"/>
              <w:right w:val="single" w:color="D8CCBC" w:sz="1"/>
            </w:tcBorders>
            <w:shd w:fill="FBF6F0" w:val="clear"/>
            <w:tcMar>
              <w:top w:type="dxa" w:w="70"/>
              <w:left w:type="dxa" w:w="110"/>
              <w:bottom w:type="dxa" w:w="70"/>
              <w:right w:type="dxa" w:w="110"/>
            </w:tcMar>
          </w:tcPr>
          <w:p>
            <w:pPr>
              <w:spacing w:after="10" w:before="20"/>
            </w:pPr>
            <w:r>
              <w:rPr>
                <w:rFonts w:ascii="Arial" w:cs="Arial" w:eastAsia="Arial" w:hAnsi="Arial"/>
                <w:b/>
                <w:bCs/>
                <w:color w:val="C2410C"/>
                <w:sz w:val="15"/>
                <w:szCs w:val="15"/>
              </w:rPr>
              <w:t xml:space="preserve">WHO DOES THIS</w:t>
            </w:r>
          </w:p>
          <w:p>
            <w:pPr>
              <w:spacing w:after="20" w:before="0"/>
            </w:pPr>
            <w:r>
              <w:rPr>
                <w:rFonts w:ascii="Arial" w:cs="Arial" w:eastAsia="Arial" w:hAnsi="Arial"/>
                <w:color w:val="1A1410"/>
                <w:sz w:val="19"/>
                <w:szCs w:val="19"/>
              </w:rPr>
              <w:t xml:space="preserve">OB</w:t>
            </w:r>
          </w:p>
        </w:tc>
        <w:tc>
          <w:tcPr>
            <w:tcW w:type="dxa" w:w="3120"/>
            <w:tcBorders>
              <w:top w:val="single" w:color="D8CCBC" w:sz="1"/>
              <w:left w:val="single" w:color="D8CCBC" w:sz="1"/>
              <w:bottom w:val="single" w:color="D8CCBC" w:sz="1"/>
              <w:right w:val="single" w:color="D8CCBC" w:sz="1"/>
            </w:tcBorders>
            <w:shd w:fill="FBF6F0" w:val="clear"/>
            <w:tcMar>
              <w:top w:type="dxa" w:w="70"/>
              <w:left w:type="dxa" w:w="110"/>
              <w:bottom w:type="dxa" w:w="70"/>
              <w:right w:type="dxa" w:w="110"/>
            </w:tcMar>
          </w:tcPr>
          <w:p>
            <w:pPr>
              <w:spacing w:after="10" w:before="20"/>
            </w:pPr>
            <w:r>
              <w:rPr>
                <w:rFonts w:ascii="Arial" w:cs="Arial" w:eastAsia="Arial" w:hAnsi="Arial"/>
                <w:b/>
                <w:bCs/>
                <w:color w:val="C2410C"/>
                <w:sz w:val="15"/>
                <w:szCs w:val="15"/>
              </w:rPr>
              <w:t xml:space="preserve">WHERE IN THE APP</w:t>
            </w:r>
          </w:p>
          <w:p>
            <w:pPr>
              <w:spacing w:after="20" w:before="0"/>
            </w:pPr>
            <w:r>
              <w:rPr>
                <w:rFonts w:ascii="Arial" w:cs="Arial" w:eastAsia="Arial" w:hAnsi="Arial"/>
                <w:color w:val="1A1410"/>
                <w:sz w:val="19"/>
                <w:szCs w:val="19"/>
              </w:rPr>
              <w:t xml:space="preserve">Dashboard → Grievances</w:t>
            </w:r>
          </w:p>
        </w:tc>
        <w:tc>
          <w:tcPr>
            <w:tcW w:type="dxa" w:w="3120"/>
            <w:tcBorders>
              <w:top w:val="single" w:color="D8CCBC" w:sz="1"/>
              <w:left w:val="single" w:color="D8CCBC" w:sz="1"/>
              <w:bottom w:val="single" w:color="D8CCBC" w:sz="1"/>
              <w:right w:val="single" w:color="D8CCBC" w:sz="1"/>
            </w:tcBorders>
            <w:shd w:fill="FBF6F0" w:val="clear"/>
            <w:tcMar>
              <w:top w:type="dxa" w:w="70"/>
              <w:left w:type="dxa" w:w="110"/>
              <w:bottom w:type="dxa" w:w="70"/>
              <w:right w:type="dxa" w:w="110"/>
            </w:tcMar>
          </w:tcPr>
          <w:p>
            <w:pPr>
              <w:spacing w:after="10" w:before="20"/>
            </w:pPr>
            <w:r>
              <w:rPr>
                <w:rFonts w:ascii="Arial" w:cs="Arial" w:eastAsia="Arial" w:hAnsi="Arial"/>
                <w:b/>
                <w:bCs/>
                <w:color w:val="C2410C"/>
                <w:sz w:val="15"/>
                <w:szCs w:val="15"/>
              </w:rPr>
              <w:t xml:space="preserve">WHEN</w:t>
            </w:r>
          </w:p>
          <w:p>
            <w:pPr>
              <w:spacing w:after="20" w:before="0"/>
            </w:pPr>
            <w:r>
              <w:rPr>
                <w:rFonts w:ascii="Arial" w:cs="Arial" w:eastAsia="Arial" w:hAnsi="Arial"/>
                <w:color w:val="1A1410"/>
                <w:sz w:val="19"/>
                <w:szCs w:val="19"/>
              </w:rPr>
              <w:t xml:space="preserve">Within 72 hours — SOP 14</w:t>
            </w:r>
          </w:p>
        </w:tc>
      </w:tr>
    </w:tbl>
    <w:p>
      <w:pPr>
        <w:spacing w:after="90" w:before="90"/>
      </w:pPr>
      <w:r>
        <w:rPr>
          <w:rFonts w:ascii="Arial" w:cs="Arial" w:eastAsia="Arial" w:hAnsi="Arial"/>
          <w:color w:val="1A1410"/>
          <w:sz w:val="21"/>
          <w:szCs w:val="21"/>
        </w:rPr>
        <w:t xml:space="preserve">Anyone can report a concern about a partner or about the fund itself, anonymously by default. The clock starts when it arrives.</w:t>
      </w:r>
    </w:p>
    <w:p>
      <w:pPr>
        <w:pStyle w:val="ListParagraph"/>
        <w:numPr>
          <w:ilvl w:val="0"/>
          <w:numId w:val="14"/>
        </w:numPr>
        <w:spacing w:after="60" w:before="60"/>
      </w:pPr>
      <w:r>
        <w:rPr>
          <w:rFonts w:ascii="Arial" w:cs="Arial" w:eastAsia="Arial" w:hAnsi="Arial"/>
          <w:color w:val="1A1410"/>
          <w:sz w:val="21"/>
          <w:szCs w:val="21"/>
        </w:rPr>
        <w:t xml:space="preserve">Open Grievances. Anything past its window is marked in red, and the header shows how many are new.</w:t>
      </w:r>
    </w:p>
    <w:p>
      <w:pPr>
        <w:pStyle w:val="ListParagraph"/>
        <w:numPr>
          <w:ilvl w:val="0"/>
          <w:numId w:val="14"/>
        </w:numPr>
        <w:spacing w:after="60" w:before="60"/>
      </w:pPr>
      <w:r>
        <w:rPr>
          <w:rFonts w:ascii="Arial" w:cs="Arial" w:eastAsia="Arial" w:hAnsi="Arial"/>
          <w:color w:val="1A1410"/>
          <w:sz w:val="21"/>
          <w:szCs w:val="21"/>
        </w:rPr>
        <w:t xml:space="preserve">Read the report. Fraud and safety categories may have automatically opened a freeze on the partner — that is shown on the card.</w:t>
      </w:r>
    </w:p>
    <w:p>
      <w:pPr>
        <w:pStyle w:val="ListParagraph"/>
        <w:numPr>
          <w:ilvl w:val="0"/>
          <w:numId w:val="14"/>
        </w:numPr>
        <w:spacing w:after="60" w:before="60"/>
      </w:pPr>
      <w:r>
        <w:rPr>
          <w:rFonts w:ascii="Arial" w:cs="Arial" w:eastAsia="Arial" w:hAnsi="Arial"/>
          <w:color w:val="1A1410"/>
          <w:sz w:val="21"/>
          <w:szCs w:val="21"/>
        </w:rPr>
        <w:t xml:space="preserve">Click “Mark triaged” once you have assessed it. This stops the SLA clock and records that a human has looked.</w:t>
      </w:r>
    </w:p>
    <w:p>
      <w:pPr>
        <w:pStyle w:val="ListParagraph"/>
        <w:numPr>
          <w:ilvl w:val="0"/>
          <w:numId w:val="14"/>
        </w:numPr>
        <w:spacing w:after="60" w:before="60"/>
      </w:pPr>
      <w:r>
        <w:rPr>
          <w:rFonts w:ascii="Arial" w:cs="Arial" w:eastAsia="Arial" w:hAnsi="Arial"/>
          <w:color w:val="1A1410"/>
          <w:sz w:val="21"/>
          <w:szCs w:val="21"/>
        </w:rPr>
        <w:t xml:space="preserve">When it is dealt with, click “Resolve…”, write the resolution notes — required — and click “Resolve” or “Dismiss”.</w:t>
      </w:r>
    </w:p>
    <w:p>
      <w:pPr>
        <w:pStyle w:val="Heading2"/>
      </w:pPr>
      <w:r>
        <w:t xml:space="preserve">15. Open an intervention or suspend a partner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8CCBC" w:sz="1"/>
              <w:left w:val="single" w:color="D8CCBC" w:sz="1"/>
              <w:bottom w:val="single" w:color="D8CCBC" w:sz="1"/>
              <w:right w:val="single" w:color="D8CCBC" w:sz="1"/>
            </w:tcBorders>
            <w:shd w:fill="FBF6F0" w:val="clear"/>
            <w:tcMar>
              <w:top w:type="dxa" w:w="70"/>
              <w:left w:type="dxa" w:w="110"/>
              <w:bottom w:type="dxa" w:w="70"/>
              <w:right w:type="dxa" w:w="110"/>
            </w:tcMar>
          </w:tcPr>
          <w:p>
            <w:pPr>
              <w:spacing w:after="10" w:before="20"/>
            </w:pPr>
            <w:r>
              <w:rPr>
                <w:rFonts w:ascii="Arial" w:cs="Arial" w:eastAsia="Arial" w:hAnsi="Arial"/>
                <w:b/>
                <w:bCs/>
                <w:color w:val="C2410C"/>
                <w:sz w:val="15"/>
                <w:szCs w:val="15"/>
              </w:rPr>
              <w:t xml:space="preserve">WHO DOES THIS</w:t>
            </w:r>
          </w:p>
          <w:p>
            <w:pPr>
              <w:spacing w:after="20" w:before="0"/>
            </w:pPr>
            <w:r>
              <w:rPr>
                <w:rFonts w:ascii="Arial" w:cs="Arial" w:eastAsia="Arial" w:hAnsi="Arial"/>
                <w:color w:val="1A1410"/>
                <w:sz w:val="19"/>
                <w:szCs w:val="19"/>
              </w:rPr>
              <w:t xml:space="preserve">OB</w:t>
            </w:r>
          </w:p>
        </w:tc>
        <w:tc>
          <w:tcPr>
            <w:tcW w:type="dxa" w:w="3120"/>
            <w:tcBorders>
              <w:top w:val="single" w:color="D8CCBC" w:sz="1"/>
              <w:left w:val="single" w:color="D8CCBC" w:sz="1"/>
              <w:bottom w:val="single" w:color="D8CCBC" w:sz="1"/>
              <w:right w:val="single" w:color="D8CCBC" w:sz="1"/>
            </w:tcBorders>
            <w:shd w:fill="FBF6F0" w:val="clear"/>
            <w:tcMar>
              <w:top w:type="dxa" w:w="70"/>
              <w:left w:type="dxa" w:w="110"/>
              <w:bottom w:type="dxa" w:w="70"/>
              <w:right w:type="dxa" w:w="110"/>
            </w:tcMar>
          </w:tcPr>
          <w:p>
            <w:pPr>
              <w:spacing w:after="10" w:before="20"/>
            </w:pPr>
            <w:r>
              <w:rPr>
                <w:rFonts w:ascii="Arial" w:cs="Arial" w:eastAsia="Arial" w:hAnsi="Arial"/>
                <w:b/>
                <w:bCs/>
                <w:color w:val="C2410C"/>
                <w:sz w:val="15"/>
                <w:szCs w:val="15"/>
              </w:rPr>
              <w:t xml:space="preserve">WHERE IN THE APP</w:t>
            </w:r>
          </w:p>
          <w:p>
            <w:pPr>
              <w:spacing w:after="20" w:before="0"/>
            </w:pPr>
            <w:r>
              <w:rPr>
                <w:rFonts w:ascii="Arial" w:cs="Arial" w:eastAsia="Arial" w:hAnsi="Arial"/>
                <w:color w:val="1A1410"/>
                <w:sz w:val="19"/>
                <w:szCs w:val="19"/>
              </w:rPr>
              <w:t xml:space="preserve">Partner record → Overview</w:t>
            </w:r>
          </w:p>
        </w:tc>
        <w:tc>
          <w:tcPr>
            <w:tcW w:type="dxa" w:w="3120"/>
            <w:tcBorders>
              <w:top w:val="single" w:color="D8CCBC" w:sz="1"/>
              <w:left w:val="single" w:color="D8CCBC" w:sz="1"/>
              <w:bottom w:val="single" w:color="D8CCBC" w:sz="1"/>
              <w:right w:val="single" w:color="D8CCBC" w:sz="1"/>
            </w:tcBorders>
            <w:shd w:fill="FBF6F0" w:val="clear"/>
            <w:tcMar>
              <w:top w:type="dxa" w:w="70"/>
              <w:left w:type="dxa" w:w="110"/>
              <w:bottom w:type="dxa" w:w="70"/>
              <w:right w:type="dxa" w:w="110"/>
            </w:tcMar>
          </w:tcPr>
          <w:p>
            <w:pPr>
              <w:spacing w:after="10" w:before="20"/>
            </w:pPr>
            <w:r>
              <w:rPr>
                <w:rFonts w:ascii="Arial" w:cs="Arial" w:eastAsia="Arial" w:hAnsi="Arial"/>
                <w:b/>
                <w:bCs/>
                <w:color w:val="C2410C"/>
                <w:sz w:val="15"/>
                <w:szCs w:val="15"/>
              </w:rPr>
              <w:t xml:space="preserve">WHEN</w:t>
            </w:r>
          </w:p>
          <w:p>
            <w:pPr>
              <w:spacing w:after="20" w:before="0"/>
            </w:pPr>
            <w:r>
              <w:rPr>
                <w:rFonts w:ascii="Arial" w:cs="Arial" w:eastAsia="Arial" w:hAnsi="Arial"/>
                <w:color w:val="1A1410"/>
                <w:sz w:val="19"/>
                <w:szCs w:val="19"/>
              </w:rPr>
              <w:t xml:space="preserve">When a concern is credible</w:t>
            </w:r>
          </w:p>
        </w:tc>
      </w:tr>
    </w:tbl>
    <w:p>
      <w:pPr>
        <w:spacing w:after="90" w:before="90"/>
      </w:pPr>
      <w:r>
        <w:rPr>
          <w:rFonts w:ascii="Arial" w:cs="Arial" w:eastAsia="Arial" w:hAnsi="Arial"/>
          <w:color w:val="1A1410"/>
          <w:sz w:val="21"/>
          <w:szCs w:val="21"/>
        </w:rPr>
        <w:t xml:space="preserve">An intervention is a formal, time-bound response to a concern under SOP 13 §4. Each kind carries its own response window, and the system counts it down for you.</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D8CCBC" w:sz="1"/>
              <w:left w:val="single" w:color="D8CCBC" w:sz="1"/>
              <w:bottom w:val="single" w:color="D8CCBC" w:sz="1"/>
              <w:right w:val="single" w:color="D8CCBC" w:sz="1"/>
            </w:tcBorders>
            <w:shd w:fill="F4E8DC" w:val="clear"/>
            <w:tcMar>
              <w:top w:type="dxa" w:w="70"/>
              <w:left w:type="dxa" w:w="110"/>
              <w:bottom w:type="dxa" w:w="70"/>
              <w:right w:type="dxa" w:w="110"/>
            </w:tcMar>
          </w:tcPr>
          <w:p>
            <w:pPr>
              <w:spacing w:after="20" w:before="20"/>
            </w:pPr>
            <w:r>
              <w:rPr>
                <w:rFonts w:ascii="Arial" w:cs="Arial" w:eastAsia="Arial" w:hAnsi="Arial"/>
                <w:b/>
                <w:bCs/>
                <w:color w:val="1A1410"/>
                <w:sz w:val="19"/>
                <w:szCs w:val="19"/>
              </w:rPr>
              <w:t xml:space="preserve">Kind</w:t>
            </w:r>
          </w:p>
        </w:tc>
        <w:tc>
          <w:tcPr>
            <w:tcW w:type="dxa" w:w="2200"/>
            <w:tcBorders>
              <w:top w:val="single" w:color="D8CCBC" w:sz="1"/>
              <w:left w:val="single" w:color="D8CCBC" w:sz="1"/>
              <w:bottom w:val="single" w:color="D8CCBC" w:sz="1"/>
              <w:right w:val="single" w:color="D8CCBC" w:sz="1"/>
            </w:tcBorders>
            <w:shd w:fill="F4E8DC" w:val="clear"/>
            <w:tcMar>
              <w:top w:type="dxa" w:w="70"/>
              <w:left w:type="dxa" w:w="110"/>
              <w:bottom w:type="dxa" w:w="70"/>
              <w:right w:type="dxa" w:w="110"/>
            </w:tcMar>
          </w:tcPr>
          <w:p>
            <w:pPr>
              <w:spacing w:after="20" w:before="20"/>
            </w:pPr>
            <w:r>
              <w:rPr>
                <w:rFonts w:ascii="Arial" w:cs="Arial" w:eastAsia="Arial" w:hAnsi="Arial"/>
                <w:b/>
                <w:bCs/>
                <w:color w:val="1A1410"/>
                <w:sz w:val="19"/>
                <w:szCs w:val="19"/>
              </w:rPr>
              <w:t xml:space="preserve">Response window</w:t>
            </w:r>
          </w:p>
        </w:tc>
        <w:tc>
          <w:tcPr>
            <w:tcW w:type="dxa" w:w="5360"/>
            <w:tcBorders>
              <w:top w:val="single" w:color="D8CCBC" w:sz="1"/>
              <w:left w:val="single" w:color="D8CCBC" w:sz="1"/>
              <w:bottom w:val="single" w:color="D8CCBC" w:sz="1"/>
              <w:right w:val="single" w:color="D8CCBC" w:sz="1"/>
            </w:tcBorders>
            <w:shd w:fill="F4E8DC" w:val="clear"/>
            <w:tcMar>
              <w:top w:type="dxa" w:w="70"/>
              <w:left w:type="dxa" w:w="110"/>
              <w:bottom w:type="dxa" w:w="70"/>
              <w:right w:type="dxa" w:w="110"/>
            </w:tcMar>
          </w:tcPr>
          <w:p>
            <w:pPr>
              <w:spacing w:after="20" w:before="20"/>
            </w:pPr>
            <w:r>
              <w:rPr>
                <w:rFonts w:ascii="Arial" w:cs="Arial" w:eastAsia="Arial" w:hAnsi="Arial"/>
                <w:b/>
                <w:bCs/>
                <w:color w:val="1A1410"/>
                <w:sz w:val="19"/>
                <w:szCs w:val="19"/>
              </w:rPr>
              <w:t xml:space="preserve">Use when</w:t>
            </w:r>
          </w:p>
        </w:tc>
      </w:tr>
      <w:tr>
        <w:tc>
          <w:tcPr>
            <w:tcW w:type="dxa" w:w="18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Warning</w:t>
            </w:r>
          </w:p>
        </w:tc>
        <w:tc>
          <w:tcPr>
            <w:tcW w:type="dxa" w:w="22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24 hours</w:t>
            </w:r>
          </w:p>
        </w:tc>
        <w:tc>
          <w:tcPr>
            <w:tcW w:type="dxa" w:w="53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A concern has been raised that the partner should answer quickly.</w:t>
            </w:r>
          </w:p>
        </w:tc>
      </w:tr>
      <w:tr>
        <w:tc>
          <w:tcPr>
            <w:tcW w:type="dxa" w:w="18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Freeze</w:t>
            </w:r>
          </w:p>
        </w:tc>
        <w:tc>
          <w:tcPr>
            <w:tcW w:type="dxa" w:w="22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72 hours</w:t>
            </w:r>
          </w:p>
        </w:tc>
        <w:tc>
          <w:tcPr>
            <w:tcW w:type="dxa" w:w="53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Funding should pause while something is checked.</w:t>
            </w:r>
          </w:p>
        </w:tc>
      </w:tr>
      <w:tr>
        <w:tc>
          <w:tcPr>
            <w:tcW w:type="dxa" w:w="18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Suspend</w:t>
            </w:r>
          </w:p>
        </w:tc>
        <w:tc>
          <w:tcPr>
            <w:tcW w:type="dxa" w:w="22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5 days</w:t>
            </w:r>
          </w:p>
        </w:tc>
        <w:tc>
          <w:tcPr>
            <w:tcW w:type="dxa" w:w="53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A serious concern requires the partner to stop until it is resolved.</w:t>
            </w:r>
          </w:p>
        </w:tc>
      </w:tr>
    </w:tbl>
    <w:p>
      <w:pPr>
        <w:spacing w:after="60" w:before="0"/>
      </w:pPr>
    </w:p>
    <w:p>
      <w:pPr>
        <w:pStyle w:val="ListParagraph"/>
        <w:numPr>
          <w:ilvl w:val="0"/>
          <w:numId w:val="15"/>
        </w:numPr>
        <w:spacing w:after="60" w:before="60"/>
      </w:pPr>
      <w:r>
        <w:rPr>
          <w:rFonts w:ascii="Arial" w:cs="Arial" w:eastAsia="Arial" w:hAnsi="Arial"/>
          <w:color w:val="1A1410"/>
          <w:sz w:val="21"/>
          <w:szCs w:val="21"/>
        </w:rPr>
        <w:t xml:space="preserve">On the partner’s Overview, in the Intervention register, click “Open intervention”.</w:t>
      </w:r>
    </w:p>
    <w:p>
      <w:pPr>
        <w:pStyle w:val="ListParagraph"/>
        <w:numPr>
          <w:ilvl w:val="0"/>
          <w:numId w:val="15"/>
        </w:numPr>
        <w:spacing w:after="60" w:before="60"/>
      </w:pPr>
      <w:r>
        <w:rPr>
          <w:rFonts w:ascii="Arial" w:cs="Arial" w:eastAsia="Arial" w:hAnsi="Arial"/>
          <w:color w:val="1A1410"/>
          <w:sz w:val="21"/>
          <w:szCs w:val="21"/>
        </w:rPr>
        <w:t xml:space="preserve">Choose the kind and write the reason, citing the SOP clause where you can.</w:t>
      </w:r>
    </w:p>
    <w:p>
      <w:pPr>
        <w:pStyle w:val="ListParagraph"/>
        <w:numPr>
          <w:ilvl w:val="0"/>
          <w:numId w:val="15"/>
        </w:numPr>
        <w:spacing w:after="60" w:before="60"/>
      </w:pPr>
      <w:r>
        <w:rPr>
          <w:rFonts w:ascii="Arial" w:cs="Arial" w:eastAsia="Arial" w:hAnsi="Arial"/>
          <w:color w:val="1A1410"/>
          <w:sz w:val="21"/>
          <w:szCs w:val="21"/>
        </w:rPr>
        <w:t xml:space="preserve">Click “Open intervention”. The countdown starts, and an expired window is marked “Escalated”.</w:t>
      </w:r>
    </w:p>
    <w:p>
      <w:pPr>
        <w:pStyle w:val="ListParagraph"/>
        <w:numPr>
          <w:ilvl w:val="0"/>
          <w:numId w:val="15"/>
        </w:numPr>
        <w:spacing w:after="60" w:before="60"/>
      </w:pPr>
      <w:r>
        <w:rPr>
          <w:rFonts w:ascii="Arial" w:cs="Arial" w:eastAsia="Arial" w:hAnsi="Arial"/>
          <w:color w:val="1A1410"/>
          <w:sz w:val="21"/>
          <w:szCs w:val="21"/>
        </w:rPr>
        <w:t xml:space="preserve">Click “Withdraw” on the intervention once it is resolved.</w:t>
      </w:r>
    </w:p>
    <w:p>
      <w:pPr>
        <w:pStyle w:val="ListParagraph"/>
        <w:numPr>
          <w:ilvl w:val="0"/>
          <w:numId w:val="15"/>
        </w:numPr>
        <w:spacing w:after="60" w:before="60"/>
      </w:pPr>
      <w:r>
        <w:rPr>
          <w:rFonts w:ascii="Arial" w:cs="Arial" w:eastAsia="Arial" w:hAnsi="Arial"/>
          <w:color w:val="1A1410"/>
          <w:sz w:val="21"/>
          <w:szCs w:val="21"/>
        </w:rPr>
        <w:t xml:space="preserve">To suspend a partner outright, use “Suspend partner” in Secretariat actions and give a reason. Note that suspending also penalises the reputation of the endorsers who vouched for them — the system will tell you how many.</w:t>
      </w:r>
    </w:p>
    <w:p>
      <w:pPr>
        <w:pStyle w:val="Heading2"/>
      </w:pPr>
      <w:r>
        <w:t xml:space="preserve">16. Look something up in the audit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8CCBC" w:sz="1"/>
              <w:left w:val="single" w:color="D8CCBC" w:sz="1"/>
              <w:bottom w:val="single" w:color="D8CCBC" w:sz="1"/>
              <w:right w:val="single" w:color="D8CCBC" w:sz="1"/>
            </w:tcBorders>
            <w:shd w:fill="FBF6F0" w:val="clear"/>
            <w:tcMar>
              <w:top w:type="dxa" w:w="70"/>
              <w:left w:type="dxa" w:w="110"/>
              <w:bottom w:type="dxa" w:w="70"/>
              <w:right w:type="dxa" w:w="110"/>
            </w:tcMar>
          </w:tcPr>
          <w:p>
            <w:pPr>
              <w:spacing w:after="10" w:before="20"/>
            </w:pPr>
            <w:r>
              <w:rPr>
                <w:rFonts w:ascii="Arial" w:cs="Arial" w:eastAsia="Arial" w:hAnsi="Arial"/>
                <w:b/>
                <w:bCs/>
                <w:color w:val="C2410C"/>
                <w:sz w:val="15"/>
                <w:szCs w:val="15"/>
              </w:rPr>
              <w:t xml:space="preserve">WHO DOES THIS</w:t>
            </w:r>
          </w:p>
          <w:p>
            <w:pPr>
              <w:spacing w:after="20" w:before="0"/>
            </w:pPr>
            <w:r>
              <w:rPr>
                <w:rFonts w:ascii="Arial" w:cs="Arial" w:eastAsia="Arial" w:hAnsi="Arial"/>
                <w:color w:val="1A1410"/>
                <w:sz w:val="19"/>
                <w:szCs w:val="19"/>
              </w:rPr>
              <w:t xml:space="preserve">OB</w:t>
            </w:r>
          </w:p>
        </w:tc>
        <w:tc>
          <w:tcPr>
            <w:tcW w:type="dxa" w:w="3120"/>
            <w:tcBorders>
              <w:top w:val="single" w:color="D8CCBC" w:sz="1"/>
              <w:left w:val="single" w:color="D8CCBC" w:sz="1"/>
              <w:bottom w:val="single" w:color="D8CCBC" w:sz="1"/>
              <w:right w:val="single" w:color="D8CCBC" w:sz="1"/>
            </w:tcBorders>
            <w:shd w:fill="FBF6F0" w:val="clear"/>
            <w:tcMar>
              <w:top w:type="dxa" w:w="70"/>
              <w:left w:type="dxa" w:w="110"/>
              <w:bottom w:type="dxa" w:w="70"/>
              <w:right w:type="dxa" w:w="110"/>
            </w:tcMar>
          </w:tcPr>
          <w:p>
            <w:pPr>
              <w:spacing w:after="10" w:before="20"/>
            </w:pPr>
            <w:r>
              <w:rPr>
                <w:rFonts w:ascii="Arial" w:cs="Arial" w:eastAsia="Arial" w:hAnsi="Arial"/>
                <w:b/>
                <w:bCs/>
                <w:color w:val="C2410C"/>
                <w:sz w:val="15"/>
                <w:szCs w:val="15"/>
              </w:rPr>
              <w:t xml:space="preserve">WHERE IN THE APP</w:t>
            </w:r>
          </w:p>
          <w:p>
            <w:pPr>
              <w:spacing w:after="20" w:before="0"/>
            </w:pPr>
            <w:r>
              <w:rPr>
                <w:rFonts w:ascii="Arial" w:cs="Arial" w:eastAsia="Arial" w:hAnsi="Arial"/>
                <w:color w:val="1A1410"/>
                <w:sz w:val="19"/>
                <w:szCs w:val="19"/>
              </w:rPr>
              <w:t xml:space="preserve">Governance → Audit chain</w:t>
            </w:r>
          </w:p>
        </w:tc>
        <w:tc>
          <w:tcPr>
            <w:tcW w:type="dxa" w:w="3120"/>
            <w:tcBorders>
              <w:top w:val="single" w:color="D8CCBC" w:sz="1"/>
              <w:left w:val="single" w:color="D8CCBC" w:sz="1"/>
              <w:bottom w:val="single" w:color="D8CCBC" w:sz="1"/>
              <w:right w:val="single" w:color="D8CCBC" w:sz="1"/>
            </w:tcBorders>
            <w:shd w:fill="FBF6F0" w:val="clear"/>
            <w:tcMar>
              <w:top w:type="dxa" w:w="70"/>
              <w:left w:type="dxa" w:w="110"/>
              <w:bottom w:type="dxa" w:w="70"/>
              <w:right w:type="dxa" w:w="110"/>
            </w:tcMar>
          </w:tcPr>
          <w:p>
            <w:pPr>
              <w:spacing w:after="10" w:before="20"/>
            </w:pPr>
            <w:r>
              <w:rPr>
                <w:rFonts w:ascii="Arial" w:cs="Arial" w:eastAsia="Arial" w:hAnsi="Arial"/>
                <w:b/>
                <w:bCs/>
                <w:color w:val="C2410C"/>
                <w:sz w:val="15"/>
                <w:szCs w:val="15"/>
              </w:rPr>
              <w:t xml:space="preserve">WHEN</w:t>
            </w:r>
          </w:p>
          <w:p>
            <w:pPr>
              <w:spacing w:after="20" w:before="0"/>
            </w:pPr>
            <w:r>
              <w:rPr>
                <w:rFonts w:ascii="Arial" w:cs="Arial" w:eastAsia="Arial" w:hAnsi="Arial"/>
                <w:color w:val="1A1410"/>
                <w:sz w:val="19"/>
                <w:szCs w:val="19"/>
              </w:rPr>
              <w:t xml:space="preserve">When you need to prove what happened</w:t>
            </w:r>
          </w:p>
        </w:tc>
      </w:tr>
    </w:tbl>
    <w:p>
      <w:pPr>
        <w:spacing w:after="90" w:before="90"/>
      </w:pPr>
      <w:r>
        <w:rPr>
          <w:rFonts w:ascii="Arial" w:cs="Arial" w:eastAsia="Arial" w:hAnsi="Arial"/>
          <w:color w:val="1A1410"/>
          <w:sz w:val="21"/>
          <w:szCs w:val="21"/>
        </w:rPr>
        <w:t xml:space="preserve">Every action in the fund is written to a tamper-evident log: who did it, to what, and when. Records are chained together cryptographically, so an altered or deleted entry is detectable rather than invisible.</w:t>
      </w:r>
    </w:p>
    <w:p>
      <w:pPr>
        <w:spacing w:after="90" w:before="90"/>
      </w:pPr>
      <w:r>
        <w:rPr>
          <w:rFonts w:ascii="Arial" w:cs="Arial" w:eastAsia="Arial" w:hAnsi="Arial"/>
          <w:color w:val="1A1410"/>
          <w:sz w:val="21"/>
          <w:szCs w:val="21"/>
        </w:rPr>
        <w:t xml:space="preserve">Use it when a donor asks how a decision was reached, when an auditor wants evidence of the control, or when you need to reconstruct a sequence of events. You can filter to one partner, round or disbursement, and export the whole chain as a file to attach to a report. The audit chain is read-only for everyone — nobody, including platform administrators, can edit it.</w:t>
      </w:r>
    </w:p>
    <w:p>
      <w:r>
        <w:br w:type="page"/>
      </w:r>
    </w:p>
    <w:p>
      <w:pPr>
        <w:pStyle w:val="Heading1"/>
      </w:pPr>
      <w:r>
        <w:t xml:space="preserve">Reference</w:t>
      </w:r>
    </w:p>
    <w:p>
      <w:pPr>
        <w:pStyle w:val="Heading2"/>
      </w:pPr>
      <w:r>
        <w:t xml:space="preserve">The links you send to people</w:t>
      </w:r>
    </w:p>
    <w:p>
      <w:pPr>
        <w:spacing w:after="90" w:before="90"/>
      </w:pPr>
      <w:r>
        <w:rPr>
          <w:rFonts w:ascii="Arial" w:cs="Arial" w:eastAsia="Arial" w:hAnsi="Arial"/>
          <w:color w:val="1A1410"/>
          <w:sz w:val="21"/>
          <w:szCs w:val="21"/>
        </w:rPr>
        <w:t xml:space="preserve">Nobody outside Adeso needs an account. Each of these is a link carrying its own access — which means the link itself is the credential. Send them to the right person, and do not post them anywhere public except where noted.</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D8CCBC" w:sz="1"/>
              <w:left w:val="single" w:color="D8CCBC" w:sz="1"/>
              <w:bottom w:val="single" w:color="D8CCBC" w:sz="1"/>
              <w:right w:val="single" w:color="D8CCBC" w:sz="1"/>
            </w:tcBorders>
            <w:shd w:fill="F4E8DC" w:val="clear"/>
            <w:tcMar>
              <w:top w:type="dxa" w:w="70"/>
              <w:left w:type="dxa" w:w="110"/>
              <w:bottom w:type="dxa" w:w="70"/>
              <w:right w:type="dxa" w:w="110"/>
            </w:tcMar>
          </w:tcPr>
          <w:p>
            <w:pPr>
              <w:spacing w:after="20" w:before="20"/>
            </w:pPr>
            <w:r>
              <w:rPr>
                <w:rFonts w:ascii="Arial" w:cs="Arial" w:eastAsia="Arial" w:hAnsi="Arial"/>
                <w:b/>
                <w:bCs/>
                <w:color w:val="1A1410"/>
                <w:sz w:val="19"/>
                <w:szCs w:val="19"/>
              </w:rPr>
              <w:t xml:space="preserve">The link</w:t>
            </w:r>
          </w:p>
        </w:tc>
        <w:tc>
          <w:tcPr>
            <w:tcW w:type="dxa" w:w="2500"/>
            <w:tcBorders>
              <w:top w:val="single" w:color="D8CCBC" w:sz="1"/>
              <w:left w:val="single" w:color="D8CCBC" w:sz="1"/>
              <w:bottom w:val="single" w:color="D8CCBC" w:sz="1"/>
              <w:right w:val="single" w:color="D8CCBC" w:sz="1"/>
            </w:tcBorders>
            <w:shd w:fill="F4E8DC" w:val="clear"/>
            <w:tcMar>
              <w:top w:type="dxa" w:w="70"/>
              <w:left w:type="dxa" w:w="110"/>
              <w:bottom w:type="dxa" w:w="70"/>
              <w:right w:type="dxa" w:w="110"/>
            </w:tcMar>
          </w:tcPr>
          <w:p>
            <w:pPr>
              <w:spacing w:after="20" w:before="20"/>
            </w:pPr>
            <w:r>
              <w:rPr>
                <w:rFonts w:ascii="Arial" w:cs="Arial" w:eastAsia="Arial" w:hAnsi="Arial"/>
                <w:b/>
                <w:bCs/>
                <w:color w:val="1A1410"/>
                <w:sz w:val="19"/>
                <w:szCs w:val="19"/>
              </w:rPr>
              <w:t xml:space="preserve">Who gets it</w:t>
            </w:r>
          </w:p>
        </w:tc>
        <w:tc>
          <w:tcPr>
            <w:tcW w:type="dxa" w:w="4360"/>
            <w:tcBorders>
              <w:top w:val="single" w:color="D8CCBC" w:sz="1"/>
              <w:left w:val="single" w:color="D8CCBC" w:sz="1"/>
              <w:bottom w:val="single" w:color="D8CCBC" w:sz="1"/>
              <w:right w:val="single" w:color="D8CCBC" w:sz="1"/>
            </w:tcBorders>
            <w:shd w:fill="F4E8DC" w:val="clear"/>
            <w:tcMar>
              <w:top w:type="dxa" w:w="70"/>
              <w:left w:type="dxa" w:w="110"/>
              <w:bottom w:type="dxa" w:w="70"/>
              <w:right w:type="dxa" w:w="110"/>
            </w:tcMar>
          </w:tcPr>
          <w:p>
            <w:pPr>
              <w:spacing w:after="20" w:before="20"/>
            </w:pPr>
            <w:r>
              <w:rPr>
                <w:rFonts w:ascii="Arial" w:cs="Arial" w:eastAsia="Arial" w:hAnsi="Arial"/>
                <w:b/>
                <w:bCs/>
                <w:color w:val="1A1410"/>
                <w:sz w:val="19"/>
                <w:szCs w:val="19"/>
              </w:rPr>
              <w:t xml:space="preserve">What they do with it</w:t>
            </w:r>
          </w:p>
        </w:tc>
      </w:tr>
      <w:tr>
        <w:tc>
          <w:tcPr>
            <w:tcW w:type="dxa" w:w="25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Nomination form</w:t>
            </w:r>
          </w:p>
        </w:tc>
        <w:tc>
          <w:tcPr>
            <w:tcW w:type="dxa" w:w="25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Anyone — safe to publish</w:t>
            </w:r>
          </w:p>
        </w:tc>
        <w:tc>
          <w:tcPr>
            <w:tcW w:type="dxa" w:w="43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Nominates a community organisation for funding. Put it on posters, QR codes, WhatsApp.</w:t>
            </w:r>
          </w:p>
        </w:tc>
      </w:tr>
      <w:tr>
        <w:tc>
          <w:tcPr>
            <w:tcW w:type="dxa" w:w="25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Grievance form</w:t>
            </w:r>
          </w:p>
        </w:tc>
        <w:tc>
          <w:tcPr>
            <w:tcW w:type="dxa" w:w="25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Anyone — safe to publish</w:t>
            </w:r>
          </w:p>
        </w:tc>
        <w:tc>
          <w:tcPr>
            <w:tcW w:type="dxa" w:w="43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Raises a concern, anonymously by default.</w:t>
            </w:r>
          </w:p>
        </w:tc>
      </w:tr>
      <w:tr>
        <w:tc>
          <w:tcPr>
            <w:tcW w:type="dxa" w:w="25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Endorser invite</w:t>
            </w:r>
          </w:p>
        </w:tc>
        <w:tc>
          <w:tcPr>
            <w:tcW w:type="dxa" w:w="25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One named elder, one partner</w:t>
            </w:r>
          </w:p>
        </w:tc>
        <w:tc>
          <w:tcPr>
            <w:tcW w:type="dxa" w:w="43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Answers the three endorsement questions. One-time.</w:t>
            </w:r>
          </w:p>
        </w:tc>
      </w:tr>
      <w:tr>
        <w:tc>
          <w:tcPr>
            <w:tcW w:type="dxa" w:w="25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Endorser portal</w:t>
            </w:r>
          </w:p>
        </w:tc>
        <w:tc>
          <w:tcPr>
            <w:tcW w:type="dxa" w:w="25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A registered endorser</w:t>
            </w:r>
          </w:p>
        </w:tc>
        <w:tc>
          <w:tcPr>
            <w:tcW w:type="dxa" w:w="43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Shows all their pending endorsement requests in one place.</w:t>
            </w:r>
          </w:p>
        </w:tc>
      </w:tr>
      <w:tr>
        <w:tc>
          <w:tcPr>
            <w:tcW w:type="dxa" w:w="25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Panel ballot</w:t>
            </w:r>
          </w:p>
        </w:tc>
        <w:tc>
          <w:tcPr>
            <w:tcW w:type="dxa" w:w="25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One panel member</w:t>
            </w:r>
          </w:p>
        </w:tc>
        <w:tc>
          <w:tcPr>
            <w:tcW w:type="dxa" w:w="43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Votes on which partners the round funds. Personal — never forward it.</w:t>
            </w:r>
          </w:p>
        </w:tc>
      </w:tr>
      <w:tr>
        <w:tc>
          <w:tcPr>
            <w:tcW w:type="dxa" w:w="25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Report link</w:t>
            </w:r>
          </w:p>
        </w:tc>
        <w:tc>
          <w:tcPr>
            <w:tcW w:type="dxa" w:w="25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The funded partner</w:t>
            </w:r>
          </w:p>
        </w:tc>
        <w:tc>
          <w:tcPr>
            <w:tcW w:type="dxa" w:w="43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Submits the five-question report after a disbursement.</w:t>
            </w:r>
          </w:p>
        </w:tc>
      </w:tr>
      <w:tr>
        <w:tc>
          <w:tcPr>
            <w:tcW w:type="dxa" w:w="25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Report package</w:t>
            </w:r>
          </w:p>
        </w:tc>
        <w:tc>
          <w:tcPr>
            <w:tcW w:type="dxa" w:w="25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The funded partner</w:t>
            </w:r>
          </w:p>
        </w:tc>
        <w:tc>
          <w:tcPr>
            <w:tcW w:type="dxa" w:w="43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The fuller report — activities, photos, receipts, voice notes. Can be returned to over several days.</w:t>
            </w:r>
          </w:p>
        </w:tc>
      </w:tr>
      <w:tr>
        <w:tc>
          <w:tcPr>
            <w:tcW w:type="dxa" w:w="25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Outcome link</w:t>
            </w:r>
          </w:p>
        </w:tc>
        <w:tc>
          <w:tcPr>
            <w:tcW w:type="dxa" w:w="25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The funded partner</w:t>
            </w:r>
          </w:p>
        </w:tc>
        <w:tc>
          <w:tcPr>
            <w:tcW w:type="dxa" w:w="43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The 90-day attestation on what lasted.</w:t>
            </w:r>
          </w:p>
        </w:tc>
      </w:tr>
      <w:tr>
        <w:tc>
          <w:tcPr>
            <w:tcW w:type="dxa" w:w="25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Partner portal</w:t>
            </w:r>
          </w:p>
        </w:tc>
        <w:tc>
          <w:tcPr>
            <w:tcW w:type="dxa" w:w="25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The funded partner</w:t>
            </w:r>
          </w:p>
        </w:tc>
        <w:tc>
          <w:tcPr>
            <w:tcW w:type="dxa" w:w="43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A standing view of their own history, obligations and messages from you.</w:t>
            </w:r>
          </w:p>
        </w:tc>
      </w:tr>
      <w:tr>
        <w:tc>
          <w:tcPr>
            <w:tcW w:type="dxa" w:w="25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Verifier link</w:t>
            </w:r>
          </w:p>
        </w:tc>
        <w:tc>
          <w:tcPr>
            <w:tcW w:type="dxa" w:w="25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An independent third party</w:t>
            </w:r>
          </w:p>
        </w:tc>
        <w:tc>
          <w:tcPr>
            <w:tcW w:type="dxa" w:w="43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Confirms or disputes one disbursement. One-shot.</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F6EC" w:sz="1"/>
              <w:left w:val="single" w:color="92400E" w:sz="18"/>
              <w:bottom w:val="single" w:color="FDF6EC" w:sz="1"/>
              <w:right w:val="single" w:color="FDF6EC" w:sz="1"/>
            </w:tcBorders>
            <w:shd w:fill="FDF6EC" w:val="clear"/>
            <w:tcMar>
              <w:top w:type="dxa" w:w="100"/>
              <w:left w:type="dxa" w:w="160"/>
              <w:bottom w:type="dxa" w:w="100"/>
              <w:right w:type="dxa" w:w="140"/>
            </w:tcMar>
          </w:tcPr>
          <w:p>
            <w:pPr>
              <w:spacing w:after="0" w:before="0"/>
            </w:pPr>
            <w:r>
              <w:rPr>
                <w:rFonts w:ascii="Arial" w:cs="Arial" w:eastAsia="Arial" w:hAnsi="Arial"/>
                <w:b/>
                <w:bCs/>
                <w:color w:val="92400E"/>
                <w:sz w:val="19"/>
                <w:szCs w:val="19"/>
              </w:rPr>
              <w:t xml:space="preserve">Take care — </w:t>
            </w:r>
            <w:r>
              <w:rPr>
                <w:rFonts w:ascii="Arial" w:cs="Arial" w:eastAsia="Arial" w:hAnsi="Arial"/>
                <w:color w:val="1A1410"/>
                <w:sz w:val="19"/>
                <w:szCs w:val="19"/>
              </w:rPr>
              <w:t xml:space="preserve">Treat these links like keys. A report link forwarded to the wrong WhatsApp group lets a stranger submit a report in a partner’s name. If a link goes astray, tell the OB so a new one can be issued.</w:t>
            </w:r>
          </w:p>
        </w:tc>
      </w:tr>
    </w:tbl>
    <w:p>
      <w:pPr>
        <w:pStyle w:val="Heading2"/>
      </w:pPr>
      <w:r>
        <w:t xml:space="preserve">What the statuses mean</w:t>
      </w:r>
    </w:p>
    <w:p>
      <w:pPr>
        <w:spacing w:after="60" w:before="0"/>
      </w:pPr>
    </w:p>
    <w:p>
      <w:pPr>
        <w:pStyle w:val="Heading3"/>
      </w:pPr>
      <w:r>
        <w:t xml:space="preserve">A partner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8CCBC" w:sz="1"/>
              <w:left w:val="single" w:color="D8CCBC" w:sz="1"/>
              <w:bottom w:val="single" w:color="D8CCBC" w:sz="1"/>
              <w:right w:val="single" w:color="D8CCBC" w:sz="1"/>
            </w:tcBorders>
            <w:shd w:fill="F4E8DC" w:val="clear"/>
            <w:tcMar>
              <w:top w:type="dxa" w:w="70"/>
              <w:left w:type="dxa" w:w="110"/>
              <w:bottom w:type="dxa" w:w="70"/>
              <w:right w:type="dxa" w:w="110"/>
            </w:tcMar>
          </w:tcPr>
          <w:p>
            <w:pPr>
              <w:spacing w:after="20" w:before="20"/>
            </w:pPr>
            <w:r>
              <w:rPr>
                <w:rFonts w:ascii="Arial" w:cs="Arial" w:eastAsia="Arial" w:hAnsi="Arial"/>
                <w:b/>
                <w:bCs/>
                <w:color w:val="1A1410"/>
                <w:sz w:val="19"/>
                <w:szCs w:val="19"/>
              </w:rPr>
              <w:t xml:space="preserve">Status</w:t>
            </w:r>
          </w:p>
        </w:tc>
        <w:tc>
          <w:tcPr>
            <w:tcW w:type="dxa" w:w="6760"/>
            <w:tcBorders>
              <w:top w:val="single" w:color="D8CCBC" w:sz="1"/>
              <w:left w:val="single" w:color="D8CCBC" w:sz="1"/>
              <w:bottom w:val="single" w:color="D8CCBC" w:sz="1"/>
              <w:right w:val="single" w:color="D8CCBC" w:sz="1"/>
            </w:tcBorders>
            <w:shd w:fill="F4E8DC" w:val="clear"/>
            <w:tcMar>
              <w:top w:type="dxa" w:w="70"/>
              <w:left w:type="dxa" w:w="110"/>
              <w:bottom w:type="dxa" w:w="70"/>
              <w:right w:type="dxa" w:w="110"/>
            </w:tcMar>
          </w:tcPr>
          <w:p>
            <w:pPr>
              <w:spacing w:after="20" w:before="20"/>
            </w:pPr>
            <w:r>
              <w:rPr>
                <w:rFonts w:ascii="Arial" w:cs="Arial" w:eastAsia="Arial" w:hAnsi="Arial"/>
                <w:b/>
                <w:bCs/>
                <w:color w:val="1A1410"/>
                <w:sz w:val="19"/>
                <w:szCs w:val="19"/>
              </w:rPr>
              <w:t xml:space="preserve">Meaning</w:t>
            </w:r>
          </w:p>
        </w:tc>
      </w:tr>
      <w:tr>
        <w:tc>
          <w:tcPr>
            <w:tcW w:type="dxa" w:w="26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Nominated</w:t>
            </w:r>
          </w:p>
        </w:tc>
        <w:tc>
          <w:tcPr>
            <w:tcW w:type="dxa" w:w="67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In the register. Nothing has been checked yet.</w:t>
            </w:r>
          </w:p>
        </w:tc>
      </w:tr>
      <w:tr>
        <w:tc>
          <w:tcPr>
            <w:tcW w:type="dxa" w:w="26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Endorsements open</w:t>
            </w:r>
          </w:p>
        </w:tc>
        <w:tc>
          <w:tcPr>
            <w:tcW w:type="dxa" w:w="67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Endorsers have been invited; answers are coming in.</w:t>
            </w:r>
          </w:p>
        </w:tc>
      </w:tr>
      <w:tr>
        <w:tc>
          <w:tcPr>
            <w:tcW w:type="dxa" w:w="26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Due diligence pending</w:t>
            </w:r>
          </w:p>
        </w:tc>
        <w:tc>
          <w:tcPr>
            <w:tcW w:type="dxa" w:w="67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Endorsed, but screening or the payment route is incomplete.</w:t>
            </w:r>
          </w:p>
        </w:tc>
      </w:tr>
      <w:tr>
        <w:tc>
          <w:tcPr>
            <w:tcW w:type="dxa" w:w="26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Cleared</w:t>
            </w:r>
          </w:p>
        </w:tc>
        <w:tc>
          <w:tcPr>
            <w:tcW w:type="dxa" w:w="67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Everything is on file. The partner can receive money.</w:t>
            </w:r>
          </w:p>
        </w:tc>
      </w:tr>
      <w:tr>
        <w:tc>
          <w:tcPr>
            <w:tcW w:type="dxa" w:w="26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Suspended</w:t>
            </w:r>
          </w:p>
        </w:tc>
        <w:tc>
          <w:tcPr>
            <w:tcW w:type="dxa" w:w="67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Funding is stopped pending resolution of an intervention.</w:t>
            </w:r>
          </w:p>
        </w:tc>
      </w:tr>
    </w:tbl>
    <w:p>
      <w:pPr>
        <w:spacing w:after="120" w:before="0"/>
      </w:pPr>
    </w:p>
    <w:p>
      <w:pPr>
        <w:pStyle w:val="Heading3"/>
      </w:pPr>
      <w:r>
        <w:t xml:space="preserve">A 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8CCBC" w:sz="1"/>
              <w:left w:val="single" w:color="D8CCBC" w:sz="1"/>
              <w:bottom w:val="single" w:color="D8CCBC" w:sz="1"/>
              <w:right w:val="single" w:color="D8CCBC" w:sz="1"/>
            </w:tcBorders>
            <w:shd w:fill="F4E8DC" w:val="clear"/>
            <w:tcMar>
              <w:top w:type="dxa" w:w="70"/>
              <w:left w:type="dxa" w:w="110"/>
              <w:bottom w:type="dxa" w:w="70"/>
              <w:right w:type="dxa" w:w="110"/>
            </w:tcMar>
          </w:tcPr>
          <w:p>
            <w:pPr>
              <w:spacing w:after="20" w:before="20"/>
            </w:pPr>
            <w:r>
              <w:rPr>
                <w:rFonts w:ascii="Arial" w:cs="Arial" w:eastAsia="Arial" w:hAnsi="Arial"/>
                <w:b/>
                <w:bCs/>
                <w:color w:val="1A1410"/>
                <w:sz w:val="19"/>
                <w:szCs w:val="19"/>
              </w:rPr>
              <w:t xml:space="preserve">Status</w:t>
            </w:r>
          </w:p>
        </w:tc>
        <w:tc>
          <w:tcPr>
            <w:tcW w:type="dxa" w:w="6760"/>
            <w:tcBorders>
              <w:top w:val="single" w:color="D8CCBC" w:sz="1"/>
              <w:left w:val="single" w:color="D8CCBC" w:sz="1"/>
              <w:bottom w:val="single" w:color="D8CCBC" w:sz="1"/>
              <w:right w:val="single" w:color="D8CCBC" w:sz="1"/>
            </w:tcBorders>
            <w:shd w:fill="F4E8DC" w:val="clear"/>
            <w:tcMar>
              <w:top w:type="dxa" w:w="70"/>
              <w:left w:type="dxa" w:w="110"/>
              <w:bottom w:type="dxa" w:w="70"/>
              <w:right w:type="dxa" w:w="110"/>
            </w:tcMar>
          </w:tcPr>
          <w:p>
            <w:pPr>
              <w:spacing w:after="20" w:before="20"/>
            </w:pPr>
            <w:r>
              <w:rPr>
                <w:rFonts w:ascii="Arial" w:cs="Arial" w:eastAsia="Arial" w:hAnsi="Arial"/>
                <w:b/>
                <w:bCs/>
                <w:color w:val="1A1410"/>
                <w:sz w:val="19"/>
                <w:szCs w:val="19"/>
              </w:rPr>
              <w:t xml:space="preserve">Meaning</w:t>
            </w:r>
          </w:p>
        </w:tc>
      </w:tr>
      <w:tr>
        <w:tc>
          <w:tcPr>
            <w:tcW w:type="dxa" w:w="26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Draft</w:t>
            </w:r>
          </w:p>
        </w:tc>
        <w:tc>
          <w:tcPr>
            <w:tcW w:type="dxa" w:w="67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Being written. Nothing binding.</w:t>
            </w:r>
          </w:p>
        </w:tc>
      </w:tr>
      <w:tr>
        <w:tc>
          <w:tcPr>
            <w:tcW w:type="dxa" w:w="26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Awaiting signatures</w:t>
            </w:r>
          </w:p>
        </w:tc>
        <w:tc>
          <w:tcPr>
            <w:tcW w:type="dxa" w:w="67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Submitted; needs two OB signatures.</w:t>
            </w:r>
          </w:p>
        </w:tc>
      </w:tr>
      <w:tr>
        <w:tc>
          <w:tcPr>
            <w:tcW w:type="dxa" w:w="26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Active</w:t>
            </w:r>
          </w:p>
        </w:tc>
        <w:tc>
          <w:tcPr>
            <w:tcW w:type="dxa" w:w="67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Signed. Partners can be added and money released.</w:t>
            </w:r>
          </w:p>
        </w:tc>
      </w:tr>
      <w:tr>
        <w:tc>
          <w:tcPr>
            <w:tcW w:type="dxa" w:w="26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Closed</w:t>
            </w:r>
          </w:p>
        </w:tc>
        <w:tc>
          <w:tcPr>
            <w:tcW w:type="dxa" w:w="67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Finished, with a closing summary. The pack is downloadable.</w:t>
            </w:r>
          </w:p>
        </w:tc>
      </w:tr>
      <w:tr>
        <w:tc>
          <w:tcPr>
            <w:tcW w:type="dxa" w:w="26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Cancelled</w:t>
            </w:r>
          </w:p>
        </w:tc>
        <w:tc>
          <w:tcPr>
            <w:tcW w:type="dxa" w:w="67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Abandoned before activation.</w:t>
            </w:r>
          </w:p>
        </w:tc>
      </w:tr>
    </w:tbl>
    <w:p>
      <w:pPr>
        <w:spacing w:after="120" w:before="0"/>
      </w:pPr>
    </w:p>
    <w:p>
      <w:pPr>
        <w:pStyle w:val="Heading3"/>
      </w:pPr>
      <w:r>
        <w:t xml:space="preserve">A disbursement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8CCBC" w:sz="1"/>
              <w:left w:val="single" w:color="D8CCBC" w:sz="1"/>
              <w:bottom w:val="single" w:color="D8CCBC" w:sz="1"/>
              <w:right w:val="single" w:color="D8CCBC" w:sz="1"/>
            </w:tcBorders>
            <w:shd w:fill="F4E8DC" w:val="clear"/>
            <w:tcMar>
              <w:top w:type="dxa" w:w="70"/>
              <w:left w:type="dxa" w:w="110"/>
              <w:bottom w:type="dxa" w:w="70"/>
              <w:right w:type="dxa" w:w="110"/>
            </w:tcMar>
          </w:tcPr>
          <w:p>
            <w:pPr>
              <w:spacing w:after="20" w:before="20"/>
            </w:pPr>
            <w:r>
              <w:rPr>
                <w:rFonts w:ascii="Arial" w:cs="Arial" w:eastAsia="Arial" w:hAnsi="Arial"/>
                <w:b/>
                <w:bCs/>
                <w:color w:val="1A1410"/>
                <w:sz w:val="19"/>
                <w:szCs w:val="19"/>
              </w:rPr>
              <w:t xml:space="preserve">Status</w:t>
            </w:r>
          </w:p>
        </w:tc>
        <w:tc>
          <w:tcPr>
            <w:tcW w:type="dxa" w:w="6760"/>
            <w:tcBorders>
              <w:top w:val="single" w:color="D8CCBC" w:sz="1"/>
              <w:left w:val="single" w:color="D8CCBC" w:sz="1"/>
              <w:bottom w:val="single" w:color="D8CCBC" w:sz="1"/>
              <w:right w:val="single" w:color="D8CCBC" w:sz="1"/>
            </w:tcBorders>
            <w:shd w:fill="F4E8DC" w:val="clear"/>
            <w:tcMar>
              <w:top w:type="dxa" w:w="70"/>
              <w:left w:type="dxa" w:w="110"/>
              <w:bottom w:type="dxa" w:w="70"/>
              <w:right w:type="dxa" w:w="110"/>
            </w:tcMar>
          </w:tcPr>
          <w:p>
            <w:pPr>
              <w:spacing w:after="20" w:before="20"/>
            </w:pPr>
            <w:r>
              <w:rPr>
                <w:rFonts w:ascii="Arial" w:cs="Arial" w:eastAsia="Arial" w:hAnsi="Arial"/>
                <w:b/>
                <w:bCs/>
                <w:color w:val="1A1410"/>
                <w:sz w:val="19"/>
                <w:szCs w:val="19"/>
              </w:rPr>
              <w:t xml:space="preserve">Meaning</w:t>
            </w:r>
          </w:p>
        </w:tc>
      </w:tr>
      <w:tr>
        <w:tc>
          <w:tcPr>
            <w:tcW w:type="dxa" w:w="26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Draft</w:t>
            </w:r>
          </w:p>
        </w:tc>
        <w:tc>
          <w:tcPr>
            <w:tcW w:type="dxa" w:w="67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Started but not submitted.</w:t>
            </w:r>
          </w:p>
        </w:tc>
      </w:tr>
      <w:tr>
        <w:tc>
          <w:tcPr>
            <w:tcW w:type="dxa" w:w="26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Awaiting co-sign</w:t>
            </w:r>
          </w:p>
        </w:tc>
        <w:tc>
          <w:tcPr>
            <w:tcW w:type="dxa" w:w="67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Needs a second OB member. No money should move yet.</w:t>
            </w:r>
          </w:p>
        </w:tc>
      </w:tr>
      <w:tr>
        <w:tc>
          <w:tcPr>
            <w:tcW w:type="dxa" w:w="26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Disbursed</w:t>
            </w:r>
          </w:p>
        </w:tc>
        <w:tc>
          <w:tcPr>
            <w:tcW w:type="dxa" w:w="67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Released to the partner.</w:t>
            </w:r>
          </w:p>
        </w:tc>
      </w:tr>
      <w:tr>
        <w:tc>
          <w:tcPr>
            <w:tcW w:type="dxa" w:w="26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Awaiting report</w:t>
            </w:r>
          </w:p>
        </w:tc>
        <w:tc>
          <w:tcPr>
            <w:tcW w:type="dxa" w:w="67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Sent; the partner’s report window is running.</w:t>
            </w:r>
          </w:p>
        </w:tc>
      </w:tr>
      <w:tr>
        <w:tc>
          <w:tcPr>
            <w:tcW w:type="dxa" w:w="26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Report received</w:t>
            </w:r>
          </w:p>
        </w:tc>
        <w:tc>
          <w:tcPr>
            <w:tcW w:type="dxa" w:w="67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The partner has answered. Waiting on your verdict.</w:t>
            </w:r>
          </w:p>
        </w:tc>
      </w:tr>
      <w:tr>
        <w:tc>
          <w:tcPr>
            <w:tcW w:type="dxa" w:w="26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Verified</w:t>
            </w:r>
          </w:p>
        </w:tc>
        <w:tc>
          <w:tcPr>
            <w:tcW w:type="dxa" w:w="67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You accepted the report.</w:t>
            </w:r>
          </w:p>
        </w:tc>
      </w:tr>
      <w:tr>
        <w:tc>
          <w:tcPr>
            <w:tcW w:type="dxa" w:w="26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Flagged</w:t>
            </w:r>
          </w:p>
        </w:tc>
        <w:tc>
          <w:tcPr>
            <w:tcW w:type="dxa" w:w="67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Needs follow-up, or the payment route failed. Dependent steps are paused.</w:t>
            </w:r>
          </w:p>
        </w:tc>
      </w:tr>
    </w:tbl>
    <w:p>
      <w:pPr>
        <w:pStyle w:val="Heading2"/>
      </w:pPr>
      <w:r>
        <w:t xml:space="preserve">When something does not work</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D8CCBC" w:sz="1"/>
              <w:left w:val="single" w:color="D8CCBC" w:sz="1"/>
              <w:bottom w:val="single" w:color="D8CCBC" w:sz="1"/>
              <w:right w:val="single" w:color="D8CCBC" w:sz="1"/>
            </w:tcBorders>
            <w:shd w:fill="F4E8DC" w:val="clear"/>
            <w:tcMar>
              <w:top w:type="dxa" w:w="70"/>
              <w:left w:type="dxa" w:w="110"/>
              <w:bottom w:type="dxa" w:w="70"/>
              <w:right w:type="dxa" w:w="110"/>
            </w:tcMar>
          </w:tcPr>
          <w:p>
            <w:pPr>
              <w:spacing w:after="20" w:before="20"/>
            </w:pPr>
            <w:r>
              <w:rPr>
                <w:rFonts w:ascii="Arial" w:cs="Arial" w:eastAsia="Arial" w:hAnsi="Arial"/>
                <w:b/>
                <w:bCs/>
                <w:color w:val="1A1410"/>
                <w:sz w:val="19"/>
                <w:szCs w:val="19"/>
              </w:rPr>
              <w:t xml:space="preserve">What you see</w:t>
            </w:r>
          </w:p>
        </w:tc>
        <w:tc>
          <w:tcPr>
            <w:tcW w:type="dxa" w:w="5960"/>
            <w:tcBorders>
              <w:top w:val="single" w:color="D8CCBC" w:sz="1"/>
              <w:left w:val="single" w:color="D8CCBC" w:sz="1"/>
              <w:bottom w:val="single" w:color="D8CCBC" w:sz="1"/>
              <w:right w:val="single" w:color="D8CCBC" w:sz="1"/>
            </w:tcBorders>
            <w:shd w:fill="F4E8DC" w:val="clear"/>
            <w:tcMar>
              <w:top w:type="dxa" w:w="70"/>
              <w:left w:type="dxa" w:w="110"/>
              <w:bottom w:type="dxa" w:w="70"/>
              <w:right w:type="dxa" w:w="110"/>
            </w:tcMar>
          </w:tcPr>
          <w:p>
            <w:pPr>
              <w:spacing w:after="20" w:before="20"/>
            </w:pPr>
            <w:r>
              <w:rPr>
                <w:rFonts w:ascii="Arial" w:cs="Arial" w:eastAsia="Arial" w:hAnsi="Arial"/>
                <w:b/>
                <w:bCs/>
                <w:color w:val="1A1410"/>
                <w:sz w:val="19"/>
                <w:szCs w:val="19"/>
              </w:rPr>
              <w:t xml:space="preserve">What it means and what to do</w:t>
            </w:r>
          </w:p>
        </w:tc>
      </w:tr>
      <w:tr>
        <w:tc>
          <w:tcPr>
            <w:tcW w:type="dxa" w:w="34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A partner is missing from the disbursement dropdown</w:t>
            </w:r>
          </w:p>
        </w:tc>
        <w:tc>
          <w:tcPr>
            <w:tcW w:type="dxa" w:w="59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They are not cleared. Open the “Why blocked?” panel — it names each blocker with a link to fix it.</w:t>
            </w:r>
          </w:p>
        </w:tc>
      </w:tr>
      <w:tr>
        <w:tc>
          <w:tcPr>
            <w:tcW w:type="dxa" w:w="34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The payment route dropdown is empty</w:t>
            </w:r>
          </w:p>
        </w:tc>
        <w:tc>
          <w:tcPr>
            <w:tcW w:type="dxa" w:w="59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No verified route on file. Add one on the partner’s Disbursements tab, then click “Verify”.</w:t>
            </w:r>
          </w:p>
        </w:tc>
      </w:tr>
      <w:tr>
        <w:tc>
          <w:tcPr>
            <w:tcW w:type="dxa" w:w="34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“Mark bank account verified” is greyed out</w:t>
            </w:r>
          </w:p>
        </w:tc>
        <w:tc>
          <w:tcPr>
            <w:tcW w:type="dxa" w:w="59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The partner has no payment method yet. Add one first.</w:t>
            </w:r>
          </w:p>
        </w:tc>
      </w:tr>
      <w:tr>
        <w:tc>
          <w:tcPr>
            <w:tcW w:type="dxa" w:w="34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You cannot co-sign a disbursement</w:t>
            </w:r>
          </w:p>
        </w:tc>
        <w:tc>
          <w:tcPr>
            <w:tcW w:type="dxa" w:w="59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You either created it, already signed it, or are not on the OB roster. A different OB member must sign.</w:t>
            </w:r>
          </w:p>
        </w:tc>
      </w:tr>
      <w:tr>
        <w:tc>
          <w:tcPr>
            <w:tcW w:type="dxa" w:w="34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A button you expect is not there</w:t>
            </w:r>
          </w:p>
        </w:tc>
        <w:tc>
          <w:tcPr>
            <w:tcW w:type="dxa" w:w="59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Almost always a permission or a sequence gate rather than a fault. Check the stage strip on the record — it shows what has to happen first.</w:t>
            </w:r>
          </w:p>
        </w:tc>
      </w:tr>
      <w:tr>
        <w:tc>
          <w:tcPr>
            <w:tcW w:type="dxa" w:w="34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The page looks stale or a count looks wrong</w:t>
            </w:r>
          </w:p>
        </w:tc>
        <w:tc>
          <w:tcPr>
            <w:tcW w:type="dxa" w:w="59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Refresh the page fully (Ctrl+Shift+R). If it persists, note the time and tell the platform team.</w:t>
            </w:r>
          </w:p>
        </w:tc>
      </w:tr>
      <w:tr>
        <w:tc>
          <w:tcPr>
            <w:tcW w:type="dxa" w:w="34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The AI web check or compile fails</w:t>
            </w:r>
          </w:p>
        </w:tc>
        <w:tc>
          <w:tcPr>
            <w:tcW w:type="dxa" w:w="59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Retry once. If it fails again, do the step manually — every AI step in this system has a manual path and none of them is required to proceed.</w:t>
            </w:r>
          </w:p>
        </w:tc>
      </w:tr>
    </w:tbl>
    <w:p>
      <w:pPr>
        <w:pStyle w:val="Heading2"/>
      </w:pPr>
      <w:r>
        <w:t xml:space="preserve">Words used in this guide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8CCBC" w:sz="1"/>
              <w:left w:val="single" w:color="D8CCBC" w:sz="1"/>
              <w:bottom w:val="single" w:color="D8CCBC" w:sz="1"/>
              <w:right w:val="single" w:color="D8CCBC" w:sz="1"/>
            </w:tcBorders>
            <w:shd w:fill="F4E8DC" w:val="clear"/>
            <w:tcMar>
              <w:top w:type="dxa" w:w="70"/>
              <w:left w:type="dxa" w:w="110"/>
              <w:bottom w:type="dxa" w:w="70"/>
              <w:right w:type="dxa" w:w="110"/>
            </w:tcMar>
          </w:tcPr>
          <w:p>
            <w:pPr>
              <w:spacing w:after="20" w:before="20"/>
            </w:pPr>
            <w:r>
              <w:rPr>
                <w:rFonts w:ascii="Arial" w:cs="Arial" w:eastAsia="Arial" w:hAnsi="Arial"/>
                <w:b/>
                <w:bCs/>
                <w:color w:val="1A1410"/>
                <w:sz w:val="19"/>
                <w:szCs w:val="19"/>
              </w:rPr>
              <w:t xml:space="preserve">Term</w:t>
            </w:r>
          </w:p>
        </w:tc>
        <w:tc>
          <w:tcPr>
            <w:tcW w:type="dxa" w:w="6760"/>
            <w:tcBorders>
              <w:top w:val="single" w:color="D8CCBC" w:sz="1"/>
              <w:left w:val="single" w:color="D8CCBC" w:sz="1"/>
              <w:bottom w:val="single" w:color="D8CCBC" w:sz="1"/>
              <w:right w:val="single" w:color="D8CCBC" w:sz="1"/>
            </w:tcBorders>
            <w:shd w:fill="F4E8DC" w:val="clear"/>
            <w:tcMar>
              <w:top w:type="dxa" w:w="70"/>
              <w:left w:type="dxa" w:w="110"/>
              <w:bottom w:type="dxa" w:w="70"/>
              <w:right w:type="dxa" w:w="110"/>
            </w:tcMar>
          </w:tcPr>
          <w:p>
            <w:pPr>
              <w:spacing w:after="20" w:before="20"/>
            </w:pPr>
            <w:r>
              <w:rPr>
                <w:rFonts w:ascii="Arial" w:cs="Arial" w:eastAsia="Arial" w:hAnsi="Arial"/>
                <w:b/>
                <w:bCs/>
                <w:color w:val="1A1410"/>
                <w:sz w:val="19"/>
                <w:szCs w:val="19"/>
              </w:rPr>
              <w:t xml:space="preserve">Meaning</w:t>
            </w:r>
          </w:p>
        </w:tc>
      </w:tr>
      <w:tr>
        <w:tc>
          <w:tcPr>
            <w:tcW w:type="dxa" w:w="26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OB</w:t>
            </w:r>
          </w:p>
        </w:tc>
        <w:tc>
          <w:tcPr>
            <w:tcW w:type="dxa" w:w="67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Oversight Body. The Adeso members who govern the fund and sign its decisions.</w:t>
            </w:r>
          </w:p>
        </w:tc>
      </w:tr>
      <w:tr>
        <w:tc>
          <w:tcPr>
            <w:tcW w:type="dxa" w:w="26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Round</w:t>
            </w:r>
          </w:p>
        </w:tc>
        <w:tc>
          <w:tcPr>
            <w:tcW w:type="dxa" w:w="67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One funding cycle: an envelope, a set of partners, a start and an end.</w:t>
            </w:r>
          </w:p>
        </w:tc>
      </w:tr>
      <w:tr>
        <w:tc>
          <w:tcPr>
            <w:tcW w:type="dxa" w:w="26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Envelope</w:t>
            </w:r>
          </w:p>
        </w:tc>
        <w:tc>
          <w:tcPr>
            <w:tcW w:type="dxa" w:w="67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The money committed to a round.</w:t>
            </w:r>
          </w:p>
        </w:tc>
      </w:tr>
      <w:tr>
        <w:tc>
          <w:tcPr>
            <w:tcW w:type="dxa" w:w="26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Partner</w:t>
            </w:r>
          </w:p>
        </w:tc>
        <w:tc>
          <w:tcPr>
            <w:tcW w:type="dxa" w:w="67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A community organisation receiving funds.</w:t>
            </w:r>
          </w:p>
        </w:tc>
      </w:tr>
      <w:tr>
        <w:tc>
          <w:tcPr>
            <w:tcW w:type="dxa" w:w="26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Endorser</w:t>
            </w:r>
          </w:p>
        </w:tc>
        <w:tc>
          <w:tcPr>
            <w:tcW w:type="dxa" w:w="67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A community member who vouches for a partner by answering three questions.</w:t>
            </w:r>
          </w:p>
        </w:tc>
      </w:tr>
      <w:tr>
        <w:tc>
          <w:tcPr>
            <w:tcW w:type="dxa" w:w="26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PIF</w:t>
            </w:r>
          </w:p>
        </w:tc>
        <w:tc>
          <w:tcPr>
            <w:tcW w:type="dxa" w:w="67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Partner Information Form — the intake form covering identity, programme, finances and risk.</w:t>
            </w:r>
          </w:p>
        </w:tc>
      </w:tr>
      <w:tr>
        <w:tc>
          <w:tcPr>
            <w:tcW w:type="dxa" w:w="26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Due diligence</w:t>
            </w:r>
          </w:p>
        </w:tc>
        <w:tc>
          <w:tcPr>
            <w:tcW w:type="dxa" w:w="67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The checks a partner passes before receiving money: screening, media check, verified payment route.</w:t>
            </w:r>
          </w:p>
        </w:tc>
      </w:tr>
      <w:tr>
        <w:tc>
          <w:tcPr>
            <w:tcW w:type="dxa" w:w="26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FSP</w:t>
            </w:r>
          </w:p>
        </w:tc>
        <w:tc>
          <w:tcPr>
            <w:tcW w:type="dxa" w:w="67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Financial service provider — a bank, hawala broker or mobile-money operator.</w:t>
            </w:r>
          </w:p>
        </w:tc>
      </w:tr>
      <w:tr>
        <w:tc>
          <w:tcPr>
            <w:tcW w:type="dxa" w:w="26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Co-sign</w:t>
            </w:r>
          </w:p>
        </w:tc>
        <w:tc>
          <w:tcPr>
            <w:tcW w:type="dxa" w:w="67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The second OB signature required to release money.</w:t>
            </w:r>
          </w:p>
        </w:tc>
      </w:tr>
      <w:tr>
        <w:tc>
          <w:tcPr>
            <w:tcW w:type="dxa" w:w="26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ISF gate</w:t>
            </w:r>
          </w:p>
        </w:tc>
        <w:tc>
          <w:tcPr>
            <w:tcW w:type="dxa" w:w="67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Internally Stratified Funding gate, per SOP §3.</w:t>
            </w:r>
          </w:p>
        </w:tc>
      </w:tr>
      <w:tr>
        <w:tc>
          <w:tcPr>
            <w:tcW w:type="dxa" w:w="26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Intervention</w:t>
            </w:r>
          </w:p>
        </w:tc>
        <w:tc>
          <w:tcPr>
            <w:tcW w:type="dxa" w:w="67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A formal, time-bound response to a concern under SOP 13 §4.</w:t>
            </w:r>
          </w:p>
        </w:tc>
      </w:tr>
      <w:tr>
        <w:tc>
          <w:tcPr>
            <w:tcW w:type="dxa" w:w="26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Safeguarding gate</w:t>
            </w:r>
          </w:p>
        </w:tc>
        <w:tc>
          <w:tcPr>
            <w:tcW w:type="dxa" w:w="67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The per-item decision on whether a piece of evidence may be shown to a donor.</w:t>
            </w:r>
          </w:p>
        </w:tc>
      </w:tr>
      <w:tr>
        <w:tc>
          <w:tcPr>
            <w:tcW w:type="dxa" w:w="26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Attestation</w:t>
            </w:r>
          </w:p>
        </w:tc>
        <w:tc>
          <w:tcPr>
            <w:tcW w:type="dxa" w:w="67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A statement someone formally stands behind — used for the 90-day outcome.</w:t>
            </w:r>
          </w:p>
        </w:tc>
      </w:tr>
      <w:tr>
        <w:tc>
          <w:tcPr>
            <w:tcW w:type="dxa" w:w="26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Audit chain</w:t>
            </w:r>
          </w:p>
        </w:tc>
        <w:tc>
          <w:tcPr>
            <w:tcW w:type="dxa" w:w="67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9"/>
                <w:szCs w:val="19"/>
              </w:rPr>
              <w:t xml:space="preserve">The tamper-evident log of every action taken in the fund.</w:t>
            </w:r>
          </w:p>
        </w:tc>
      </w:tr>
    </w:tbl>
    <w:p>
      <w:pPr>
        <w:pBdr>
          <w:bottom w:val="single" w:color="E7DCCE" w:sz="6" w:space="1"/>
        </w:pBdr>
        <w:spacing w:after="160" w:before="160"/>
      </w:pPr>
    </w:p>
    <w:p>
      <w:pPr>
        <w:spacing w:after="90" w:before="90"/>
      </w:pPr>
      <w:r>
        <w:rPr>
          <w:rFonts w:ascii="Arial" w:cs="Arial" w:eastAsia="Arial" w:hAnsi="Arial"/>
          <w:color w:val="6B655F"/>
          <w:sz w:val="21"/>
          <w:szCs w:val="21"/>
        </w:rPr>
        <w:t xml:space="preserve">Questions about how the fund should work: the Oversight Body. Questions about how the system behaves, or anything that looks like a fault: the platform team, with the date, time and page you were on.</w:t>
      </w:r>
    </w:p>
    <w:sectPr>
      <w:footerReference w:type="default" r:id="rId7"/>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200"/>
      <w:jc w:val="center"/>
    </w:pPr>
    <w:r>
      <w:rPr>
        <w:rFonts w:ascii="Arial" w:cs="Arial" w:eastAsia="Arial" w:hAnsi="Arial"/>
        <w:color w:val="6B655F"/>
        <w:sz w:val="16"/>
        <w:szCs w:val="16"/>
      </w:rPr>
      <w:t xml:space="preserve">Proximate Fund — User Guide · July 2026 · page </w:t>
    </w:r>
    <w:r>
      <w:rPr>
        <w:rFonts w:ascii="Arial" w:cs="Arial" w:eastAsia="Arial" w:hAnsi="Arial"/>
        <w:color w:val="6B655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300"/>
      </w:pPr>
    </w:lvl>
  </w:abstractNum>
  <w:abstractNum w:abstractNumId="4" w15:restartNumberingAfterBreak="0">
    <w:multiLevelType w:val="hybridMultilevel"/>
    <w:lvl w:ilvl="0" w15:tentative="1">
      <w:start w:val="1"/>
      <w:numFmt w:val="decimal"/>
      <w:lvlText w:val="%1."/>
      <w:lvlJc w:val="left"/>
      <w:pPr>
        <w:ind w:left="460" w:hanging="300"/>
      </w:pPr>
    </w:lvl>
  </w:abstractNum>
  <w:abstractNum w:abstractNumId="5" w15:restartNumberingAfterBreak="0">
    <w:multiLevelType w:val="hybridMultilevel"/>
    <w:lvl w:ilvl="0" w15:tentative="1">
      <w:start w:val="1"/>
      <w:numFmt w:val="decimal"/>
      <w:lvlText w:val="%1."/>
      <w:lvlJc w:val="left"/>
      <w:pPr>
        <w:ind w:left="460" w:hanging="300"/>
      </w:pPr>
    </w:lvl>
  </w:abstractNum>
  <w:abstractNum w:abstractNumId="6" w15:restartNumberingAfterBreak="0">
    <w:multiLevelType w:val="hybridMultilevel"/>
    <w:lvl w:ilvl="0" w15:tentative="1">
      <w:start w:val="1"/>
      <w:numFmt w:val="decimal"/>
      <w:lvlText w:val="%1."/>
      <w:lvlJc w:val="left"/>
      <w:pPr>
        <w:ind w:left="460" w:hanging="300"/>
      </w:pPr>
    </w:lvl>
  </w:abstractNum>
  <w:abstractNum w:abstractNumId="7" w15:restartNumberingAfterBreak="0">
    <w:multiLevelType w:val="hybridMultilevel"/>
    <w:lvl w:ilvl="0" w15:tentative="1">
      <w:start w:val="1"/>
      <w:numFmt w:val="decimal"/>
      <w:lvlText w:val="%1."/>
      <w:lvlJc w:val="left"/>
      <w:pPr>
        <w:ind w:left="460" w:hanging="300"/>
      </w:pPr>
    </w:lvl>
  </w:abstractNum>
  <w:abstractNum w:abstractNumId="8" w15:restartNumberingAfterBreak="0">
    <w:multiLevelType w:val="hybridMultilevel"/>
    <w:lvl w:ilvl="0" w15:tentative="1">
      <w:start w:val="1"/>
      <w:numFmt w:val="decimal"/>
      <w:lvlText w:val="%1."/>
      <w:lvlJc w:val="left"/>
      <w:pPr>
        <w:ind w:left="460" w:hanging="300"/>
      </w:pPr>
    </w:lvl>
  </w:abstractNum>
  <w:abstractNum w:abstractNumId="9" w15:restartNumberingAfterBreak="0">
    <w:multiLevelType w:val="hybridMultilevel"/>
    <w:lvl w:ilvl="0" w15:tentative="1">
      <w:start w:val="1"/>
      <w:numFmt w:val="decimal"/>
      <w:lvlText w:val="%1."/>
      <w:lvlJc w:val="left"/>
      <w:pPr>
        <w:ind w:left="460" w:hanging="300"/>
      </w:pPr>
    </w:lvl>
  </w:abstractNum>
  <w:abstractNum w:abstractNumId="10" w15:restartNumberingAfterBreak="0">
    <w:multiLevelType w:val="hybridMultilevel"/>
    <w:lvl w:ilvl="0" w15:tentative="1">
      <w:start w:val="1"/>
      <w:numFmt w:val="decimal"/>
      <w:lvlText w:val="%1."/>
      <w:lvlJc w:val="left"/>
      <w:pPr>
        <w:ind w:left="460" w:hanging="300"/>
      </w:pPr>
    </w:lvl>
  </w:abstractNum>
  <w:abstractNum w:abstractNumId="11" w15:restartNumberingAfterBreak="0">
    <w:multiLevelType w:val="hybridMultilevel"/>
    <w:lvl w:ilvl="0" w15:tentative="1">
      <w:start w:val="1"/>
      <w:numFmt w:val="decimal"/>
      <w:lvlText w:val="%1."/>
      <w:lvlJc w:val="left"/>
      <w:pPr>
        <w:ind w:left="460" w:hanging="300"/>
      </w:pPr>
    </w:lvl>
  </w:abstractNum>
  <w:abstractNum w:abstractNumId="12" w15:restartNumberingAfterBreak="0">
    <w:multiLevelType w:val="hybridMultilevel"/>
    <w:lvl w:ilvl="0" w15:tentative="1">
      <w:start w:val="1"/>
      <w:numFmt w:val="decimal"/>
      <w:lvlText w:val="%1."/>
      <w:lvlJc w:val="left"/>
      <w:pPr>
        <w:ind w:left="460" w:hanging="300"/>
      </w:pPr>
    </w:lvl>
  </w:abstractNum>
  <w:abstractNum w:abstractNumId="13" w15:restartNumberingAfterBreak="0">
    <w:multiLevelType w:val="hybridMultilevel"/>
    <w:lvl w:ilvl="0" w15:tentative="1">
      <w:start w:val="1"/>
      <w:numFmt w:val="decimal"/>
      <w:lvlText w:val="%1."/>
      <w:lvlJc w:val="left"/>
      <w:pPr>
        <w:ind w:left="460" w:hanging="300"/>
      </w:pPr>
    </w:lvl>
  </w:abstractNum>
  <w:abstractNum w:abstractNumId="14" w15:restartNumberingAfterBreak="0">
    <w:multiLevelType w:val="hybridMultilevel"/>
    <w:lvl w:ilvl="0" w15:tentative="1">
      <w:start w:val="1"/>
      <w:numFmt w:val="decimal"/>
      <w:lvlText w:val="%1."/>
      <w:lvlJc w:val="left"/>
      <w:pPr>
        <w:ind w:left="460" w:hanging="300"/>
      </w:pPr>
    </w:lvl>
  </w:abstractNum>
  <w:abstractNum w:abstractNumId="15" w15:restartNumberingAfterBreak="0">
    <w:multiLevelType w:val="hybridMultilevel"/>
    <w:lvl w:ilvl="0" w15:tentative="1">
      <w:start w:val="1"/>
      <w:numFmt w:val="decimal"/>
      <w:lvlText w:val="%1."/>
      <w:lvlJc w:val="left"/>
      <w:pPr>
        <w:ind w:left="460" w:hanging="300"/>
      </w:pPr>
    </w:lvl>
  </w:abstractNum>
  <w:abstractNum w:abstractNumId="16" w15:restartNumberingAfterBreak="0">
    <w:multiLevelType w:val="hybridMultilevel"/>
    <w:lvl w:ilvl="0" w15:tentative="1">
      <w:start w:val="1"/>
      <w:numFmt w:val="decimal"/>
      <w:lvlText w:val="%1."/>
      <w:lvlJc w:val="left"/>
      <w:pPr>
        <w:ind w:left="460" w:hanging="300"/>
      </w:pPr>
    </w:lvl>
  </w:abstractNum>
  <w:abstractNum w:abstractNumId="17"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7"/>
    <w:lvlOverride w:ilvl="0">
      <w:startOverride w:val="1"/>
    </w:lvlOverride>
  </w:num>
  <w:num w:numId="6">
    <w:abstractNumId w:val="8"/>
    <w:lvlOverride w:ilvl="0">
      <w:startOverride w:val="1"/>
    </w:lvlOverride>
  </w:num>
  <w:num w:numId="7">
    <w:abstractNumId w:val="9"/>
    <w:lvlOverride w:ilvl="0">
      <w:startOverride w:val="1"/>
    </w:lvlOverride>
  </w:num>
  <w:num w:numId="8">
    <w:abstractNumId w:val="10"/>
    <w:lvlOverride w:ilvl="0">
      <w:startOverride w:val="1"/>
    </w:lvlOverride>
  </w:num>
  <w:num w:numId="9">
    <w:abstractNumId w:val="11"/>
    <w:lvlOverride w:ilvl="0">
      <w:startOverride w:val="1"/>
    </w:lvlOverride>
  </w:num>
  <w:num w:numId="10">
    <w:abstractNumId w:val="12"/>
    <w:lvlOverride w:ilvl="0">
      <w:startOverride w:val="1"/>
    </w:lvlOverride>
  </w:num>
  <w:num w:numId="11">
    <w:abstractNumId w:val="13"/>
    <w:lvlOverride w:ilvl="0">
      <w:startOverride w:val="1"/>
    </w:lvlOverride>
  </w:num>
  <w:num w:numId="12">
    <w:abstractNumId w:val="14"/>
    <w:lvlOverride w:ilvl="0">
      <w:startOverride w:val="1"/>
    </w:lvlOverride>
  </w:num>
  <w:num w:numId="13">
    <w:abstractNumId w:val="15"/>
    <w:lvlOverride w:ilvl="0">
      <w:startOverride w:val="1"/>
    </w:lvlOverride>
  </w:num>
  <w:num w:numId="14">
    <w:abstractNumId w:val="16"/>
    <w:lvlOverride w:ilvl="0">
      <w:startOverride w:val="1"/>
    </w:lvlOverride>
  </w:num>
  <w:num w:numId="15">
    <w:abstractNumId w:val="1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41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7C2D12"/>
      <w:sz w:val="38"/>
      <w:szCs w:val="38"/>
    </w:rPr>
  </w:style>
  <w:style w:type="paragraph" w:styleId="Heading2">
    <w:name w:val="Heading 2"/>
    <w:basedOn w:val="Normal"/>
    <w:next w:val="Normal"/>
    <w:qFormat/>
    <w:pPr>
      <w:spacing w:after="140" w:before="380"/>
      <w:outlineLvl w:val="1"/>
    </w:pPr>
    <w:rPr>
      <w:rFonts w:ascii="Arial" w:cs="Arial" w:eastAsia="Arial" w:hAnsi="Arial"/>
      <w:b/>
      <w:bCs/>
      <w:color w:val="C2410C"/>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1A141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2026-07-22T01:54:25.723Z</dcterms:created>
  <dcterms:modified xsi:type="dcterms:W3CDTF">2026-07-22T01:54:25.736Z</dcterms:modified>
</cp:coreProperties>
</file>

<file path=docProps/custom.xml><?xml version="1.0" encoding="utf-8"?>
<Properties xmlns="http://schemas.openxmlformats.org/officeDocument/2006/custom-properties" xmlns:vt="http://schemas.openxmlformats.org/officeDocument/2006/docPropsVTypes"/>
</file>