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80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ADESO · PROXIMATE FUND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410"/>
          <w:sz w:val="58"/>
          <w:szCs w:val="58"/>
        </w:rPr>
        <w:t xml:space="preserve">Operations Runbook</w:t>
      </w:r>
    </w:p>
    <w:p>
      <w:pPr>
        <w:spacing w:after="340"/>
      </w:pPr>
      <w:r>
        <w:rPr>
          <w:rFonts w:ascii="Arial" w:cs="Arial" w:eastAsia="Arial" w:hAnsi="Arial"/>
          <w:color w:val="6B655F"/>
          <w:sz w:val="26"/>
          <w:szCs w:val="26"/>
        </w:rPr>
        <w:t xml:space="preserve">How the system runs, what is configured, and what is still outstanding.</w:t>
      </w:r>
    </w:p>
    <w:p>
      <w:pPr>
        <w:spacing w:after="90" w:before="90"/>
      </w:pPr>
      <w:r>
        <w:rPr>
          <w:rFonts w:ascii="Arial" w:cs="Arial" w:eastAsia="Arial" w:hAnsi="Arial"/>
          <w:color w:val="6B655F"/>
          <w:sz w:val="20"/>
          <w:szCs w:val="20"/>
        </w:rPr>
        <w:t xml:space="preserve">State verified against production on 21 July 2026.</w:t>
      </w:r>
    </w:p>
    <w:p>
      <w:pPr>
        <w:spacing w:after="90" w:before="90"/>
      </w:pPr>
      <w:r>
        <w:rPr>
          <w:rFonts w:ascii="Arial" w:cs="Arial" w:eastAsia="Arial" w:hAnsi="Arial"/>
          <w:color w:val="6B655F"/>
          <w:sz w:val="20"/>
          <w:szCs w:val="20"/>
        </w:rPr>
        <w:t xml:space="preserve">For Adeso platform/IT and the Proximate Oversight Body. Not needed to use the system — see the User Guide for that.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6EC" w:sz="1"/>
              <w:left w:val="single" w:color="92400E" w:sz="18"/>
              <w:bottom w:val="single" w:color="FDF6EC" w:sz="1"/>
              <w:right w:val="single" w:color="FDF6EC" w:sz="1"/>
            </w:tcBorders>
            <w:shd w:fill="FDF6EC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Attention — </w:t>
            </w: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This document names environment variables but contains no secret values, and must stay that way. </w:t>
            </w: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Every claim below was checked against the running system; anything unverified is explicitly marked “verify”.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Outstanding — read this first</w:t>
      </w:r>
    </w:p>
    <w:p>
      <w:pPr>
        <w:spacing w:after="90" w:before="90"/>
      </w:pPr>
      <w:r>
        <w:rPr>
          <w:rFonts w:ascii="Arial" w:cs="Arial" w:eastAsia="Arial" w:hAnsi="Arial"/>
          <w:color w:val="1A1410"/>
          <w:sz w:val="21"/>
          <w:szCs w:val="21"/>
        </w:rPr>
        <w:t xml:space="preserve">Everything else in this runbook is description. This section is the only part with actions in it.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60"/>
        <w:gridCol w:w="2200"/>
        <w:gridCol w:w="1600"/>
      </w:tblGrid>
      <w:tr>
        <w:trPr>
          <w:tblHeader/>
        </w:trPr>
        <w:tc>
          <w:tcPr>
            <w:tcW w:type="dxa" w:w="5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#</w:t>
            </w:r>
          </w:p>
        </w:tc>
        <w:tc>
          <w:tcPr>
            <w:tcW w:type="dxa" w:w="50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1</w:t>
            </w:r>
          </w:p>
        </w:tc>
        <w:tc>
          <w:tcPr>
            <w:tcW w:type="dxa" w:w="50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Outbound email is not configured. No SENDGRID_API_KEY and no SMTP_HOST on the web service, so EmailService falls through to a log-only branch. It returns success, so nothing surfaces as an error — but no notification email has ever actually been delivered.</w:t>
            </w:r>
          </w:p>
        </w:tc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OPEN — highest priority</w:t>
            </w:r>
          </w:p>
        </w:tc>
        <w:tc>
          <w:tcPr>
            <w:tcW w:type="dxa" w:w="16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IT / Idiris</w:t>
            </w:r>
          </w:p>
        </w:tc>
      </w:tr>
      <w:tr>
        <w:tc>
          <w:tcPr>
            <w:tcW w:type="dxa" w:w="5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2</w:t>
            </w:r>
          </w:p>
        </w:tc>
        <w:tc>
          <w:tcPr>
            <w:tcW w:type="dxa" w:w="50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Saxansaxo DNS: four records (2 CNAME + 2 TXT) for saxansaxo.kuja.org and sclr.kuja.org.</w:t>
            </w:r>
          </w:p>
        </w:tc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OPEN — with IT</w:t>
            </w:r>
          </w:p>
        </w:tc>
        <w:tc>
          <w:tcPr>
            <w:tcW w:type="dxa" w:w="16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5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3</w:t>
            </w:r>
          </w:p>
        </w:tc>
        <w:tc>
          <w:tcPr>
            <w:tcW w:type="dxa" w:w="50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Arabic partner guide not yet checked by a native speaker. The file carries a review banner and should not be distributed until it is cleared.</w:t>
            </w:r>
          </w:p>
        </w:tc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OPEN</w:t>
            </w:r>
          </w:p>
        </w:tc>
        <w:tc>
          <w:tcPr>
            <w:tcW w:type="dxa" w:w="16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Proximate team</w:t>
            </w:r>
          </w:p>
        </w:tc>
      </w:tr>
      <w:tr>
        <w:tc>
          <w:tcPr>
            <w:tcW w:type="dxa" w:w="5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4</w:t>
            </w:r>
          </w:p>
        </w:tc>
        <w:tc>
          <w:tcPr>
            <w:tcW w:type="dxa" w:w="50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ops@saxansaxo.org still on its bootstrap seed password.</w:t>
            </w:r>
          </w:p>
        </w:tc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OPEN — before Saxansaxo pilot</w:t>
            </w:r>
          </w:p>
        </w:tc>
        <w:tc>
          <w:tcPr>
            <w:tcW w:type="dxa" w:w="16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IT / Idiris</w:t>
            </w:r>
          </w:p>
        </w:tc>
      </w:tr>
      <w:tr>
        <w:tc>
          <w:tcPr>
            <w:tcW w:type="dxa" w:w="5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5</w:t>
            </w:r>
          </w:p>
        </w:tc>
        <w:tc>
          <w:tcPr>
            <w:tcW w:type="dxa" w:w="50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Three cron-tick endpoints have no scheduled caller (see §4). Confirm whether that is intentional.</w:t>
            </w:r>
          </w:p>
        </w:tc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VERIFY</w:t>
            </w:r>
          </w:p>
        </w:tc>
        <w:tc>
          <w:tcPr>
            <w:tcW w:type="dxa" w:w="16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5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6</w:t>
            </w:r>
          </w:p>
        </w:tc>
        <w:tc>
          <w:tcPr>
            <w:tcW w:type="dxa" w:w="50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SEED_PROXIMATE_ON_BOOT was left true long after its intended one-shot use; demo fixtures were being recreated on every cold start.</w:t>
            </w:r>
          </w:p>
        </w:tc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RESOLVED 21 Jul 2026 — set to false</w:t>
            </w:r>
          </w:p>
        </w:tc>
        <w:tc>
          <w:tcPr>
            <w:tcW w:type="dxa" w:w="16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CEC" w:sz="1"/>
              <w:left w:val="single" w:color="B91C1C" w:sz="18"/>
              <w:bottom w:val="single" w:color="FDECEC" w:sz="1"/>
              <w:right w:val="single" w:color="FDECEC" w:sz="1"/>
            </w:tcBorders>
            <w:shd w:fill="FDECEC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Action needed — </w:t>
            </w: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On item 1: the failure is silent by design of the fallback. </w:t>
            </w: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Until a transport is configured, treat every “we emailed them” assumption as false</w:t>
            </w: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 — decision emails, digests and partner acknowledgements are being written to the Railway log and discarded. Setting SENDGRID_API_KEY on the web service is the whole fix; the code already prefers SendGrid, then SMTP, then log.</w:t>
            </w:r>
          </w:p>
        </w:tc>
      </w:tr>
    </w:tbl>
    <w:p>
      <w:pPr>
        <w:pStyle w:val="Heading1"/>
      </w:pPr>
      <w:r>
        <w:t xml:space="preserve">2. Where it runs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Thing</w:t>
            </w:r>
          </w:p>
        </w:tc>
        <w:tc>
          <w:tcPr>
            <w:tcW w:type="dxa" w:w="66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7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Live URL</w:t>
            </w:r>
          </w:p>
        </w:tc>
        <w:tc>
          <w:tcPr>
            <w:tcW w:type="dxa" w:w="66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https://proximate.kuja.org</w:t>
            </w:r>
          </w:p>
        </w:tc>
      </w:tr>
      <w:tr>
        <w:tc>
          <w:tcPr>
            <w:tcW w:type="dxa" w:w="27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Fallback URL</w:t>
            </w:r>
          </w:p>
        </w:tc>
        <w:tc>
          <w:tcPr>
            <w:tcW w:type="dxa" w:w="66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https://web-production-6f8a.up.railway.app</w:t>
            </w:r>
          </w:p>
        </w:tc>
      </w:tr>
      <w:tr>
        <w:tc>
          <w:tcPr>
            <w:tcW w:type="dxa" w:w="27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Host</w:t>
            </w:r>
          </w:p>
        </w:tc>
        <w:tc>
          <w:tcPr>
            <w:tcW w:type="dxa" w:w="66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Railway — project "clever-cooperation", service "web"</w:t>
            </w:r>
          </w:p>
        </w:tc>
      </w:tr>
      <w:tr>
        <w:tc>
          <w:tcPr>
            <w:tcW w:type="dxa" w:w="27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Database</w:t>
            </w:r>
          </w:p>
        </w:tc>
        <w:tc>
          <w:tcPr>
            <w:tcW w:type="dxa" w:w="66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Railway Postgres, attached as DATABASE_URL</w:t>
            </w:r>
          </w:p>
        </w:tc>
      </w:tr>
      <w:tr>
        <w:tc>
          <w:tcPr>
            <w:tcW w:type="dxa" w:w="27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Tenancy</w:t>
            </w:r>
          </w:p>
        </w:tc>
        <w:tc>
          <w:tcPr>
            <w:tcW w:type="dxa" w:w="66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One codebase, four tenants. The Host header selects the tenant; proximate.kuja.org resolves to slug "proximate", default language Arabic.</w:t>
            </w:r>
          </w:p>
        </w:tc>
      </w:tr>
      <w:tr>
        <w:tc>
          <w:tcPr>
            <w:tcW w:type="dxa" w:w="27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Frontend</w:t>
            </w:r>
          </w:p>
        </w:tc>
        <w:tc>
          <w:tcPr>
            <w:tcW w:type="dxa" w:w="66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Next.js static export, served by Flask from the committed static/nextjs directory</w:t>
            </w:r>
          </w:p>
        </w:tc>
      </w:tr>
      <w:tr>
        <w:tc>
          <w:tcPr>
            <w:tcW w:type="dxa" w:w="27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Server</w:t>
            </w:r>
          </w:p>
        </w:tc>
        <w:tc>
          <w:tcPr>
            <w:tcW w:type="dxa" w:w="66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gunicorn, 4 workers x 4 threads, gthread, 180s timeout, --preload</w:t>
            </w:r>
          </w:p>
        </w:tc>
      </w:tr>
      <w:tr>
        <w:tc>
          <w:tcPr>
            <w:tcW w:type="dxa" w:w="27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Version check</w:t>
            </w:r>
          </w:p>
        </w:tc>
        <w:tc>
          <w:tcPr>
            <w:tcW w:type="dxa" w:w="66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GET /api/version returns the deployed commit sha; GET /api/health returns status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6EC" w:sz="1"/>
              <w:left w:val="single" w:color="92400E" w:sz="18"/>
              <w:bottom w:val="single" w:color="FDF6EC" w:sz="1"/>
              <w:right w:val="single" w:color="FDF6EC" w:sz="1"/>
            </w:tcBorders>
            <w:shd w:fill="FDF6EC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Attention — </w:t>
            </w: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Production serves the COMMITTED frontend build, not one built on the server. </w:t>
            </w: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If you change frontend code you must run the build and `git add static/nextjs`</w:t>
            </w: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 — otherwise the deploy goes green while serving the previous UI. This has bitten us before.</w:t>
            </w:r>
          </w:p>
        </w:tc>
      </w:tr>
    </w:tbl>
    <w:p>
      <w:pPr>
        <w:pStyle w:val="Heading1"/>
      </w:pPr>
      <w:r>
        <w:t xml:space="preserve">3. Configuration state</w:t>
      </w:r>
    </w:p>
    <w:p>
      <w:pPr>
        <w:spacing w:after="90" w:before="90"/>
      </w:pPr>
      <w:r>
        <w:rPr>
          <w:rFonts w:ascii="Arial" w:cs="Arial" w:eastAsia="Arial" w:hAnsi="Arial"/>
          <w:color w:val="1A1410"/>
          <w:sz w:val="21"/>
          <w:szCs w:val="21"/>
        </w:rPr>
        <w:t xml:space="preserve">Variable names only — values live in Railway. Checked 21 July 2026.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5760"/>
      </w:tblGrid>
      <w:tr>
        <w:trPr>
          <w:tblHeader/>
        </w:trPr>
        <w:tc>
          <w:tcPr>
            <w:tcW w:type="dxa" w:w="27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Variable</w:t>
            </w:r>
          </w:p>
        </w:tc>
        <w:tc>
          <w:tcPr>
            <w:tcW w:type="dxa" w:w="9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Set?</w:t>
            </w:r>
          </w:p>
        </w:tc>
        <w:tc>
          <w:tcPr>
            <w:tcW w:type="dxa" w:w="5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What it does / effect if missing</w:t>
            </w:r>
          </w:p>
        </w:tc>
      </w:tr>
      <w:tr>
        <w:tc>
          <w:tcPr>
            <w:tcW w:type="dxa" w:w="27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410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9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Yes</w:t>
            </w:r>
          </w:p>
        </w:tc>
        <w:tc>
          <w:tcPr>
            <w:tcW w:type="dxa" w:w="5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Postgres connection. App will not start without it.</w:t>
            </w:r>
          </w:p>
        </w:tc>
      </w:tr>
      <w:tr>
        <w:tc>
          <w:tcPr>
            <w:tcW w:type="dxa" w:w="27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410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9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Yes</w:t>
            </w:r>
          </w:p>
        </w:tc>
        <w:tc>
          <w:tcPr>
            <w:tcW w:type="dxa" w:w="5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All AI surfaces — report compile, web check, decision briefs. Missing: AI features degrade to manual paths; nothing hard-fails.</w:t>
            </w:r>
          </w:p>
        </w:tc>
      </w:tr>
      <w:tr>
        <w:tc>
          <w:tcPr>
            <w:tcW w:type="dxa" w:w="27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410"/>
                <w:sz w:val="18"/>
                <w:szCs w:val="18"/>
              </w:rPr>
              <w:t xml:space="preserve">CRON_SECRET</w:t>
            </w:r>
          </w:p>
        </w:tc>
        <w:tc>
          <w:tcPr>
            <w:tcW w:type="dxa" w:w="9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Yes</w:t>
            </w:r>
          </w:p>
        </w:tc>
        <w:tc>
          <w:tcPr>
            <w:tcW w:type="dxa" w:w="5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Bearer token the scheduled workflows present. Missing: every cron 401s silently.</w:t>
            </w:r>
          </w:p>
        </w:tc>
      </w:tr>
      <w:tr>
        <w:tc>
          <w:tcPr>
            <w:tcW w:type="dxa" w:w="27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410"/>
                <w:sz w:val="18"/>
                <w:szCs w:val="18"/>
              </w:rPr>
              <w:t xml:space="preserve">SAM_GOV_API_KEY</w:t>
            </w:r>
          </w:p>
        </w:tc>
        <w:tc>
          <w:tcPr>
            <w:tcW w:type="dxa" w:w="9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Yes</w:t>
            </w:r>
          </w:p>
        </w:tc>
        <w:tc>
          <w:tcPr>
            <w:tcW w:type="dxa" w:w="5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US sanctions/exclusions screening in due diligence.</w:t>
            </w:r>
          </w:p>
        </w:tc>
      </w:tr>
      <w:tr>
        <w:tc>
          <w:tcPr>
            <w:tcW w:type="dxa" w:w="27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410"/>
                <w:sz w:val="18"/>
                <w:szCs w:val="18"/>
              </w:rPr>
              <w:t xml:space="preserve">TWILIO_ACCOUNT_SID</w:t>
            </w:r>
          </w:p>
        </w:tc>
        <w:tc>
          <w:tcPr>
            <w:tcW w:type="dxa" w:w="9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Yes</w:t>
            </w:r>
          </w:p>
        </w:tc>
        <w:tc>
          <w:tcPr>
            <w:tcW w:type="dxa" w:w="5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WhatsApp sending.</w:t>
            </w:r>
          </w:p>
        </w:tc>
      </w:tr>
      <w:tr>
        <w:tc>
          <w:tcPr>
            <w:tcW w:type="dxa" w:w="27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410"/>
                <w:sz w:val="18"/>
                <w:szCs w:val="18"/>
              </w:rPr>
              <w:t xml:space="preserve">TWILIO_AUTH_TOKEN</w:t>
            </w:r>
          </w:p>
        </w:tc>
        <w:tc>
          <w:tcPr>
            <w:tcW w:type="dxa" w:w="9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Yes</w:t>
            </w:r>
          </w:p>
        </w:tc>
        <w:tc>
          <w:tcPr>
            <w:tcW w:type="dxa" w:w="5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WhatsApp sending.</w:t>
            </w:r>
          </w:p>
        </w:tc>
      </w:tr>
      <w:tr>
        <w:tc>
          <w:tcPr>
            <w:tcW w:type="dxa" w:w="27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410"/>
                <w:sz w:val="18"/>
                <w:szCs w:val="18"/>
              </w:rPr>
              <w:t xml:space="preserve">TWILIO_WA_FROM</w:t>
            </w:r>
          </w:p>
        </w:tc>
        <w:tc>
          <w:tcPr>
            <w:tcW w:type="dxa" w:w="9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Yes</w:t>
            </w:r>
          </w:p>
        </w:tc>
        <w:tc>
          <w:tcPr>
            <w:tcW w:type="dxa" w:w="5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WhatsApp sender number.</w:t>
            </w:r>
          </w:p>
        </w:tc>
      </w:tr>
      <w:tr>
        <w:tc>
          <w:tcPr>
            <w:tcW w:type="dxa" w:w="27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410"/>
                <w:sz w:val="18"/>
                <w:szCs w:val="18"/>
              </w:rPr>
              <w:t xml:space="preserve">SEED_PROXIMATE_ON_BOOT</w:t>
            </w:r>
          </w:p>
        </w:tc>
        <w:tc>
          <w:tcPr>
            <w:tcW w:type="dxa" w:w="9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false</w:t>
            </w:r>
          </w:p>
        </w:tc>
        <w:tc>
          <w:tcPr>
            <w:tcW w:type="dxa" w:w="5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Set false on 21 Jul 2026. Was true. Seeds demo fixtures on boot; idempotent, but intended as one-shot.</w:t>
            </w:r>
          </w:p>
        </w:tc>
      </w:tr>
      <w:tr>
        <w:tc>
          <w:tcPr>
            <w:tcW w:type="dxa" w:w="27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410"/>
                <w:sz w:val="18"/>
                <w:szCs w:val="18"/>
              </w:rPr>
              <w:t xml:space="preserve">SENDGRID_API_KEY</w:t>
            </w:r>
          </w:p>
        </w:tc>
        <w:tc>
          <w:tcPr>
            <w:tcW w:type="dxa" w:w="9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Preferred email transport. Missing — see §1 item 1.</w:t>
            </w:r>
          </w:p>
        </w:tc>
      </w:tr>
      <w:tr>
        <w:tc>
          <w:tcPr>
            <w:tcW w:type="dxa" w:w="27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410"/>
                <w:sz w:val="18"/>
                <w:szCs w:val="18"/>
              </w:rPr>
              <w:t xml:space="preserve">SMTP_HOST / SMTP_USER / SMTP_PASS</w:t>
            </w:r>
          </w:p>
        </w:tc>
        <w:tc>
          <w:tcPr>
            <w:tcW w:type="dxa" w:w="9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Fallback email transport. Also missing, hence the log-only path.</w:t>
            </w:r>
          </w:p>
        </w:tc>
      </w:tr>
    </w:tbl>
    <w:p>
      <w:pPr>
        <w:pStyle w:val="Heading1"/>
      </w:pPr>
      <w:r>
        <w:t xml:space="preserve">4. Scheduled jobs</w:t>
      </w:r>
    </w:p>
    <w:p>
      <w:pPr>
        <w:spacing w:after="90" w:before="90"/>
      </w:pPr>
      <w:r>
        <w:rPr>
          <w:rFonts w:ascii="Arial" w:cs="Arial" w:eastAsia="Arial" w:hAnsi="Arial"/>
          <w:color w:val="1A1410"/>
          <w:sz w:val="21"/>
          <w:szCs w:val="21"/>
        </w:rPr>
        <w:t xml:space="preserve">Crons are GitHub Actions workflows in .github/workflows/, each POSTing to an endpoint with the CRON_SECRET as a bearer token. They are not Railway cron jobs, and they are not in-process timers — if the GitHub repo is archived or Actions are disabled, every scheduled job stops silently.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Workflow</w:t>
            </w:r>
          </w:p>
        </w:tc>
        <w:tc>
          <w:tcPr>
            <w:tcW w:type="dxa" w:w="51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Endpoint it calls</w:t>
            </w:r>
          </w:p>
        </w:tc>
      </w:tr>
      <w:tr>
        <w:tc>
          <w:tcPr>
            <w:tcW w:type="dxa" w:w="4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cron-proximate-disbursement-nudge</w:t>
            </w:r>
          </w:p>
        </w:tc>
        <w:tc>
          <w:tcPr>
            <w:tcW w:type="dxa" w:w="51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410"/>
                <w:sz w:val="18"/>
                <w:szCs w:val="18"/>
              </w:rPr>
              <w:t xml:space="preserve">/api/proximate/monitoring/disbursement-nudge</w:t>
            </w:r>
          </w:p>
        </w:tc>
      </w:tr>
      <w:tr>
        <w:tc>
          <w:tcPr>
            <w:tcW w:type="dxa" w:w="4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cron-proximate-grant-reporting</w:t>
            </w:r>
          </w:p>
        </w:tc>
        <w:tc>
          <w:tcPr>
            <w:tcW w:type="dxa" w:w="51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410"/>
                <w:sz w:val="18"/>
                <w:szCs w:val="18"/>
              </w:rPr>
              <w:t xml:space="preserve">/api/proximate/monitoring/grant-reporting</w:t>
            </w:r>
          </w:p>
        </w:tc>
      </w:tr>
      <w:tr>
        <w:tc>
          <w:tcPr>
            <w:tcW w:type="dxa" w:w="4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cron-proximate-outcome-due-nudge</w:t>
            </w:r>
          </w:p>
        </w:tc>
        <w:tc>
          <w:tcPr>
            <w:tcW w:type="dxa" w:w="51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410"/>
                <w:sz w:val="18"/>
                <w:szCs w:val="18"/>
              </w:rPr>
              <w:t xml:space="preserve">/api/proximate/monitoring/outcome-due-nudge</w:t>
            </w:r>
          </w:p>
        </w:tc>
      </w:tr>
      <w:tr>
        <w:tc>
          <w:tcPr>
            <w:tcW w:type="dxa" w:w="4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cron-proximate-sanctions-rescreen</w:t>
            </w:r>
          </w:p>
        </w:tc>
        <w:tc>
          <w:tcPr>
            <w:tcW w:type="dxa" w:w="51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410"/>
                <w:sz w:val="18"/>
                <w:szCs w:val="18"/>
              </w:rPr>
              <w:t xml:space="preserve">/api/proximate/monitoring/sanctions-rescreen</w:t>
            </w:r>
          </w:p>
        </w:tc>
      </w:tr>
      <w:tr>
        <w:tc>
          <w:tcPr>
            <w:tcW w:type="dxa" w:w="4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cron-proximate-donor-retrospective</w:t>
            </w:r>
          </w:p>
        </w:tc>
        <w:tc>
          <w:tcPr>
            <w:tcW w:type="dxa" w:w="51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410"/>
                <w:sz w:val="18"/>
                <w:szCs w:val="18"/>
              </w:rPr>
              <w:t xml:space="preserve">/api/proximate/monitoring/donor-retrospective</w:t>
            </w:r>
          </w:p>
        </w:tc>
      </w:tr>
      <w:tr>
        <w:tc>
          <w:tcPr>
            <w:tcW w:type="dxa" w:w="4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cron-proximate-quarterly-counterfactual</w:t>
            </w:r>
          </w:p>
        </w:tc>
        <w:tc>
          <w:tcPr>
            <w:tcW w:type="dxa" w:w="51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410"/>
                <w:sz w:val="18"/>
                <w:szCs w:val="18"/>
              </w:rPr>
              <w:t xml:space="preserve">/api/proximate/monitoring/quarterly-counterfactual-prompt</w:t>
            </w:r>
          </w:p>
        </w:tc>
      </w:tr>
      <w:tr>
        <w:tc>
          <w:tcPr>
            <w:tcW w:type="dxa" w:w="4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cron-crisis-monitoring</w:t>
            </w:r>
          </w:p>
        </w:tc>
        <w:tc>
          <w:tcPr>
            <w:tcW w:type="dxa" w:w="51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410"/>
                <w:sz w:val="18"/>
                <w:szCs w:val="18"/>
              </w:rPr>
              <w:t xml:space="preserve">/api/cron/crisis-monitoring-draft</w:t>
            </w:r>
          </w:p>
        </w:tc>
      </w:tr>
      <w:tr>
        <w:tc>
          <w:tcPr>
            <w:tcW w:type="dxa" w:w="4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cron-compliance-rerun</w:t>
            </w:r>
          </w:p>
        </w:tc>
        <w:tc>
          <w:tcPr>
            <w:tcW w:type="dxa" w:w="51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410"/>
                <w:sz w:val="18"/>
                <w:szCs w:val="18"/>
              </w:rPr>
              <w:t xml:space="preserve">/api/cron/compliance-rerun</w:t>
            </w:r>
          </w:p>
        </w:tc>
      </w:tr>
      <w:tr>
        <w:tc>
          <w:tcPr>
            <w:tcW w:type="dxa" w:w="4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cron-reviewer-auto-assign</w:t>
            </w:r>
          </w:p>
        </w:tc>
        <w:tc>
          <w:tcPr>
            <w:tcW w:type="dxa" w:w="51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410"/>
                <w:sz w:val="18"/>
                <w:szCs w:val="18"/>
              </w:rPr>
              <w:t xml:space="preserve">/api/cron/reviewer-auto-assign-sweep</w:t>
            </w:r>
          </w:p>
        </w:tc>
      </w:tr>
      <w:tr>
        <w:tc>
          <w:tcPr>
            <w:tcW w:type="dxa" w:w="4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cron-uat-fixtures</w:t>
            </w:r>
          </w:p>
        </w:tc>
        <w:tc>
          <w:tcPr>
            <w:tcW w:type="dxa" w:w="51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410"/>
                <w:sz w:val="18"/>
                <w:szCs w:val="18"/>
              </w:rPr>
              <w:t xml:space="preserve">/api/cron/uat-fixtures</w:t>
            </w:r>
          </w:p>
        </w:tc>
      </w:tr>
      <w:tr>
        <w:tc>
          <w:tcPr>
            <w:tcW w:type="dxa" w:w="4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cron-reap-stuck-extractions</w:t>
            </w:r>
          </w:p>
        </w:tc>
        <w:tc>
          <w:tcPr>
            <w:tcW w:type="dxa" w:w="51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A1410"/>
                <w:sz w:val="18"/>
                <w:szCs w:val="18"/>
              </w:rPr>
              <w:t xml:space="preserve">(document extraction reaper)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6EC" w:sz="1"/>
              <w:left w:val="single" w:color="92400E" w:sz="18"/>
              <w:bottom w:val="single" w:color="FDF6EC" w:sz="1"/>
              <w:right w:val="single" w:color="FDF6EC" w:sz="1"/>
            </w:tcBorders>
            <w:shd w:fill="FDF6EC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Attention — </w:t>
            </w: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Open question (§1 item 5): three endpoints exist with no workflow calling them — </w:t>
            </w: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/api/proximate/interventions/cron-tick, /api/proximate/security-scan/cron-tick and /api/proximate/monitoring/cron-tick</w:t>
            </w: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. Before assuming intervention SLA escalation or the security scan run automatically, confirm whether these are driven some other way or are simply unwired. The countdown a user sees on an intervention may be computed in the browser rather than by a job.</w:t>
            </w:r>
          </w:p>
        </w:tc>
      </w:tr>
    </w:tbl>
    <w:p>
      <w:pPr>
        <w:pStyle w:val="Heading1"/>
      </w:pPr>
      <w:r>
        <w:t xml:space="preserve">5. Deploying a change</w:t>
      </w:r>
    </w:p>
    <w:p>
      <w:pPr>
        <w:spacing w:after="90" w:before="90"/>
      </w:pPr>
      <w:r>
        <w:rPr>
          <w:rFonts w:ascii="Arial" w:cs="Arial" w:eastAsia="Arial" w:hAnsi="Arial"/>
          <w:color w:val="1A1410"/>
          <w:sz w:val="21"/>
          <w:szCs w:val="21"/>
        </w:rPr>
        <w:t xml:space="preserve">Railway deploys on push to main. The full sequence that has proven safe: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1"/>
          <w:szCs w:val="21"/>
        </w:rPr>
        <w:t xml:space="preserve">Make the change. If any frontend file changed: </w:t>
      </w:r>
      <w:r>
        <w:rPr>
          <w:rFonts w:ascii="Arial" w:cs="Arial" w:eastAsia="Arial" w:hAnsi="Arial"/>
          <w:b/>
          <w:bCs/>
          <w:color w:val="1A1410"/>
          <w:sz w:val="21"/>
          <w:szCs w:val="21"/>
        </w:rPr>
        <w:t xml:space="preserve">cd frontend &amp;&amp; npm run build</w:t>
      </w:r>
      <w:r>
        <w:rPr>
          <w:rFonts w:ascii="Arial" w:cs="Arial" w:eastAsia="Arial" w:hAnsi="Arial"/>
          <w:color w:val="1A1410"/>
          <w:sz w:val="21"/>
          <w:szCs w:val="21"/>
        </w:rPr>
        <w:t xml:space="preserve">, then </w:t>
      </w:r>
      <w:r>
        <w:rPr>
          <w:rFonts w:ascii="Arial" w:cs="Arial" w:eastAsia="Arial" w:hAnsi="Arial"/>
          <w:b/>
          <w:bCs/>
          <w:color w:val="1A1410"/>
          <w:sz w:val="21"/>
          <w:szCs w:val="21"/>
        </w:rPr>
        <w:t xml:space="preserve">git add static/nextjs</w:t>
      </w:r>
      <w:r>
        <w:rPr>
          <w:rFonts w:ascii="Arial" w:cs="Arial" w:eastAsia="Arial" w:hAnsi="Arial"/>
          <w:color w:val="1A141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1"/>
          <w:szCs w:val="21"/>
        </w:rPr>
        <w:t xml:space="preserve">Run the gate: </w:t>
      </w:r>
      <w:r>
        <w:rPr>
          <w:rFonts w:ascii="Arial" w:cs="Arial" w:eastAsia="Arial" w:hAnsi="Arial"/>
          <w:b/>
          <w:bCs/>
          <w:color w:val="1A1410"/>
          <w:sz w:val="21"/>
          <w:szCs w:val="21"/>
        </w:rPr>
        <w:t xml:space="preserve">py -3 regression.py --api-only</w:t>
      </w:r>
      <w:r>
        <w:rPr>
          <w:rFonts w:ascii="Arial" w:cs="Arial" w:eastAsia="Arial" w:hAnsi="Arial"/>
          <w:color w:val="1A1410"/>
          <w:sz w:val="21"/>
          <w:szCs w:val="21"/>
        </w:rPr>
        <w:t xml:space="preserve"> — currently 117 checks, all of which should pass before pushing.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1"/>
          <w:szCs w:val="21"/>
        </w:rPr>
        <w:t xml:space="preserve">Commit and push to main. Railway builds, runs pre_deploy.py, applies database migrations (flask db upgrade), then starts gunicorn.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1"/>
          <w:szCs w:val="21"/>
        </w:rPr>
        <w:t xml:space="preserve">Confirm the deploy actually landed by polling </w:t>
      </w:r>
      <w:r>
        <w:rPr>
          <w:rFonts w:ascii="Arial" w:cs="Arial" w:eastAsia="Arial" w:hAnsi="Arial"/>
          <w:b/>
          <w:bCs/>
          <w:color w:val="1A1410"/>
          <w:sz w:val="21"/>
          <w:szCs w:val="21"/>
        </w:rPr>
        <w:t xml:space="preserve">https://proximate.kuja.org/api/version</w:t>
      </w:r>
      <w:r>
        <w:rPr>
          <w:rFonts w:ascii="Arial" w:cs="Arial" w:eastAsia="Arial" w:hAnsi="Arial"/>
          <w:color w:val="1A1410"/>
          <w:sz w:val="21"/>
          <w:szCs w:val="21"/>
        </w:rPr>
        <w:t xml:space="preserve"> until the build sha matches your commit. A green Railway status is not sufficient evidence.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1"/>
          <w:szCs w:val="21"/>
        </w:rPr>
        <w:t xml:space="preserve">Verify the change on production itself, then check /api/health.</w:t>
      </w:r>
    </w:p>
    <w:p>
      <w:pPr>
        <w:spacing w:after="80" w:before="0"/>
      </w:pPr>
    </w:p>
    <w:p>
      <w:pPr>
        <w:spacing w:after="90" w:before="90"/>
      </w:pPr>
      <w:r>
        <w:rPr>
          <w:rFonts w:ascii="Arial" w:cs="Arial" w:eastAsia="Arial" w:hAnsi="Arial"/>
          <w:b/>
          <w:bCs/>
          <w:color w:val="1A1410"/>
          <w:sz w:val="21"/>
          <w:szCs w:val="21"/>
        </w:rPr>
        <w:t xml:space="preserve">Two habits worth keeping: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1"/>
          <w:szCs w:val="21"/>
        </w:rPr>
        <w:t xml:space="preserve">Never push a second commit while waiting on the first deploy — it cancels the in-flight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410"/>
          <w:sz w:val="21"/>
          <w:szCs w:val="21"/>
        </w:rPr>
        <w:t xml:space="preserve">Documentation-only pushes still trigger a full redeploy. Health-check afterwards like any other change.</w:t>
      </w:r>
    </w:p>
    <w:p>
      <w:pPr>
        <w:spacing w:after="80" w:before="0"/>
      </w:pPr>
    </w:p>
    <w:p>
      <w:pPr>
        <w:spacing w:after="90" w:before="90"/>
      </w:pPr>
      <w:r>
        <w:rPr>
          <w:rFonts w:ascii="Arial" w:cs="Arial" w:eastAsia="Arial" w:hAnsi="Arial"/>
          <w:color w:val="1A1410"/>
          <w:sz w:val="21"/>
          <w:szCs w:val="21"/>
        </w:rPr>
        <w:t xml:space="preserve">Environment variables can be changed with the Railway CLI (railway variables --service web --set NAME=value) or in the dashboard. A variable change does not take effect until the next deploy or restart.</w:t>
      </w:r>
    </w:p>
    <w:p>
      <w:pPr>
        <w:pStyle w:val="Heading1"/>
      </w:pPr>
      <w:r>
        <w:t xml:space="preserve">6. Routine checks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Question</w:t>
            </w:r>
          </w:p>
        </w:tc>
        <w:tc>
          <w:tcPr>
            <w:tcW w:type="dxa" w:w="59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How to answer it</w:t>
            </w:r>
          </w:p>
        </w:tc>
      </w:tr>
      <w:tr>
        <w:tc>
          <w:tcPr>
            <w:tcW w:type="dxa" w:w="34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Is production up?</w:t>
            </w:r>
          </w:p>
        </w:tc>
        <w:tc>
          <w:tcPr>
            <w:tcW w:type="dxa" w:w="59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GET /api/health — returns status healthy plus a timestamp.</w:t>
            </w:r>
          </w:p>
        </w:tc>
      </w:tr>
      <w:tr>
        <w:tc>
          <w:tcPr>
            <w:tcW w:type="dxa" w:w="34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What version is live?</w:t>
            </w:r>
          </w:p>
        </w:tc>
        <w:tc>
          <w:tcPr>
            <w:tcW w:type="dxa" w:w="59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GET /api/version — returns the deployed commit sha and uptime.</w:t>
            </w:r>
          </w:p>
        </w:tc>
      </w:tr>
      <w:tr>
        <w:tc>
          <w:tcPr>
            <w:tcW w:type="dxa" w:w="34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Did my change reach users?</w:t>
            </w:r>
          </w:p>
        </w:tc>
        <w:tc>
          <w:tcPr>
            <w:tcW w:type="dxa" w:w="59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Fetch the served asset and inspect it, rather than trusting the deploy status. For an interface-text change: find the chunk under static/nextjs/_next/static/chunks/ that contains the string locally, then request that same path from production and check the served copy.</w:t>
            </w:r>
          </w:p>
        </w:tc>
      </w:tr>
      <w:tr>
        <w:tc>
          <w:tcPr>
            <w:tcW w:type="dxa" w:w="34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Are the crons running?</w:t>
            </w:r>
          </w:p>
        </w:tc>
        <w:tc>
          <w:tcPr>
            <w:tcW w:type="dxa" w:w="59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GitHub Actions run history for the workflows in §4, plus the cron health surface in the admin area.</w:t>
            </w:r>
          </w:p>
        </w:tc>
      </w:tr>
      <w:tr>
        <w:tc>
          <w:tcPr>
            <w:tcW w:type="dxa" w:w="34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Is the audit chain intact?</w:t>
            </w:r>
          </w:p>
        </w:tc>
        <w:tc>
          <w:tcPr>
            <w:tcW w:type="dxa" w:w="59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The audit-chain integrity view in the admin area; a JSONL export is available for auditors.</w:t>
            </w:r>
          </w:p>
        </w:tc>
      </w:tr>
      <w:tr>
        <w:tc>
          <w:tcPr>
            <w:tcW w:type="dxa" w:w="34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Did an email actually send?</w:t>
            </w:r>
          </w:p>
        </w:tc>
        <w:tc>
          <w:tcPr>
            <w:tcW w:type="dxa" w:w="59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At present: it did not (§1 item 1). Once a transport is configured, EmailService reports which one it used.</w:t>
            </w:r>
          </w:p>
        </w:tc>
      </w:tr>
    </w:tbl>
    <w:p>
      <w:pPr>
        <w:pStyle w:val="Heading1"/>
      </w:pPr>
      <w:r>
        <w:t xml:space="preserve">7. The other tenants</w:t>
      </w:r>
    </w:p>
    <w:p>
      <w:pPr>
        <w:spacing w:after="90" w:before="90"/>
      </w:pPr>
      <w:r>
        <w:rPr>
          <w:rFonts w:ascii="Arial" w:cs="Arial" w:eastAsia="Arial" w:hAnsi="Arial"/>
          <w:color w:val="1A1410"/>
          <w:sz w:val="21"/>
          <w:szCs w:val="21"/>
        </w:rPr>
        <w:t xml:space="preserve">Proximate shares a codebase and a database with three other tenants. A change to shared code affects all of them, which is why the regression gate covers all four.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Tenant</w:t>
            </w:r>
          </w:p>
        </w:tc>
        <w:tc>
          <w:tcPr>
            <w:tcW w:type="dxa" w:w="36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Domain</w:t>
            </w:r>
          </w:p>
        </w:tc>
        <w:tc>
          <w:tcPr>
            <w:tcW w:type="dxa" w:w="3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State</w:t>
            </w:r>
          </w:p>
        </w:tc>
      </w:tr>
      <w:tr>
        <w:tc>
          <w:tcPr>
            <w:tcW w:type="dxa" w:w="20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Kuja (marketplace)</w:t>
            </w:r>
          </w:p>
        </w:tc>
        <w:tc>
          <w:tcPr>
            <w:tcW w:type="dxa" w:w="36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web-production-6f8a.up.railway.app</w:t>
            </w:r>
          </w:p>
        </w:tc>
        <w:tc>
          <w:tcPr>
            <w:tcW w:type="dxa" w:w="3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Live — the original product</w:t>
            </w:r>
          </w:p>
        </w:tc>
      </w:tr>
      <w:tr>
        <w:tc>
          <w:tcPr>
            <w:tcW w:type="dxa" w:w="20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NEAR</w:t>
            </w:r>
          </w:p>
        </w:tc>
        <w:tc>
          <w:tcPr>
            <w:tcW w:type="dxa" w:w="36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near.kuja.org</w:t>
            </w:r>
          </w:p>
        </w:tc>
        <w:tc>
          <w:tcPr>
            <w:tcW w:type="dxa" w:w="3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0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Proximate Fund</w:t>
            </w:r>
          </w:p>
        </w:tc>
        <w:tc>
          <w:tcPr>
            <w:tcW w:type="dxa" w:w="36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proximate.kuja.org</w:t>
            </w:r>
          </w:p>
        </w:tc>
        <w:tc>
          <w:tcPr>
            <w:tcW w:type="dxa" w:w="3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Live — real programme data</w:t>
            </w:r>
          </w:p>
        </w:tc>
      </w:tr>
      <w:tr>
        <w:tc>
          <w:tcPr>
            <w:tcW w:type="dxa" w:w="20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Saxansaxo</w:t>
            </w:r>
          </w:p>
        </w:tc>
        <w:tc>
          <w:tcPr>
            <w:tcW w:type="dxa" w:w="36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saxansaxo.kuja.org · sclr.kuja.org</w:t>
            </w:r>
          </w:p>
        </w:tc>
        <w:tc>
          <w:tcPr>
            <w:tcW w:type="dxa" w:w="3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410"/>
                <w:sz w:val="18"/>
                <w:szCs w:val="18"/>
              </w:rPr>
              <w:t xml:space="preserve">v0 live; awaiting DNS (§1 item 2)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6EC" w:sz="1"/>
              <w:left w:val="single" w:color="92400E" w:sz="18"/>
              <w:bottom w:val="single" w:color="FDF6EC" w:sz="1"/>
              <w:right w:val="single" w:color="FDF6EC" w:sz="1"/>
            </w:tcBorders>
            <w:shd w:fill="FDF6EC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Attention — </w:t>
            </w: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Tenant isolation is enforced in application code, not by separate databases. Any change touching queries, permissions or the audit chain should be gated on the full regression suite, never on a single-tenant spot check.</w:t>
            </w:r>
          </w:p>
        </w:tc>
      </w:tr>
    </w:tbl>
    <w:p>
      <w:pPr>
        <w:spacing w:after="200" w:before="0"/>
      </w:pPr>
    </w:p>
    <w:p>
      <w:pPr>
        <w:pBdr>
          <w:top w:val="single" w:color="F4E8DC" w:sz="6" w:space="6"/>
        </w:pBdr>
        <w:spacing w:after="90" w:before="200"/>
      </w:pPr>
      <w:r>
        <w:rPr>
          <w:rFonts w:ascii="Arial" w:cs="Arial" w:eastAsia="Arial" w:hAnsi="Arial"/>
          <w:i/>
          <w:iCs/>
          <w:color w:val="6B655F"/>
          <w:sz w:val="19"/>
          <w:szCs w:val="19"/>
        </w:rPr>
        <w:t xml:space="preserve">Keep this current. When an outstanding item in §1 closes, update it here in the same change that closes it — a runbook nobody trusts is worse than none.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rFonts w:ascii="Arial" w:cs="Arial" w:eastAsia="Arial" w:hAnsi="Arial"/>
        <w:color w:val="6B655F"/>
        <w:sz w:val="16"/>
        <w:szCs w:val="16"/>
      </w:rPr>
      <w:t xml:space="preserve">Proximate Fund — Operations Runbook · verified 21 July 2026 · page </w:t>
    </w:r>
    <w:r>
      <w:rPr>
        <w:rFonts w:ascii="Arial" w:cs="Arial" w:eastAsia="Arial" w:hAnsi="Arial"/>
        <w:color w:val="6B655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41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7C2D1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C2410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2026-07-22T02:28:02.165Z</dcterms:created>
  <dcterms:modified xsi:type="dcterms:W3CDTF">2026-07-22T02:28:02.170Z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