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3864"/>
          <w:sz w:val="32"/>
        </w:rPr>
        <w:t>Platform Update — Real Round Data, a Real Donor Grant, and a Clean QA Slate</w:t>
      </w:r>
    </w:p>
    <w:p>
      <w:pPr>
        <w:spacing w:after="160"/>
      </w:pPr>
      <w:r>
        <w:rPr>
          <w:i/>
          <w:color w:val="555555"/>
          <w:sz w:val="19"/>
        </w:rPr>
        <w:t>Everything shipped 15–16 July 2026  ·  all changes live and verified in production</w:t>
      </w:r>
    </w:p>
    <w:p>
      <w:pPr>
        <w:spacing w:before="240" w:after="60"/>
      </w:pPr>
      <w:r>
        <w:rPr>
          <w:b/>
          <w:color w:val="C2410C"/>
          <w:sz w:val="26"/>
        </w:rPr>
        <w:t>Summary</w:t>
      </w:r>
    </w:p>
    <w:p>
      <w:pPr>
        <w:spacing w:after="80"/>
      </w:pPr>
      <w:r>
        <w:t>This is a milestone update: the system now holds real data for a real funding round. The complete Blue Nile Cycle package — 62 partner organizations with their intake forms, screening evidence, media checks, and the panel roster — is uploaded and awaiting processing. The actual donor grant that funds this round, $2M from Quadrature Climate Foundation, is in the system end to end: agreement, money, reporting, and a live donor portal for QCF. Alongside that, every finding from the QA round was fixed, and the two busiest screens were redesigned after feedback.</w:t>
      </w:r>
    </w:p>
    <w:p>
      <w:pPr>
        <w:spacing w:before="240" w:after="60"/>
      </w:pPr>
      <w:r>
        <w:rPr>
          <w:b/>
          <w:color w:val="C2410C"/>
          <w:sz w:val="26"/>
        </w:rPr>
        <w:t>1. Real partner data for an actual round — uploaded, awaiting processing</w:t>
      </w:r>
    </w:p>
    <w:p>
      <w:pPr>
        <w:spacing w:after="80"/>
      </w:pPr>
      <w:r>
        <w:t>The Blue Nile Cycle (July 2026) is no longer a folder of files on OneDrive — it is a live round in the system, populated with the real documents the field team collected:</w:t>
      </w:r>
    </w:p>
    <w:p>
      <w:pPr>
        <w:pStyle w:val="ListBullet"/>
        <w:spacing w:after="40"/>
      </w:pPr>
      <w:r>
        <w:rPr>
          <w:b/>
        </w:rPr>
        <w:t xml:space="preserve">62 partner organizations </w:t>
      </w:r>
      <w:r>
        <w:t>are on the register: 37 from Partner Information Forms (each parsed into ~30 structured fields — identity, programme, financials, bank details, declarations, in Arabic and English), 22 from the bilingual nominated-organizations list, and 3 from the media-verification table.</w:t>
      </w:r>
    </w:p>
    <w:p>
      <w:pPr>
        <w:pStyle w:val="ListBullet"/>
        <w:spacing w:after="40"/>
      </w:pPr>
      <w:r>
        <w:rPr>
          <w:b/>
        </w:rPr>
        <w:t xml:space="preserve">The evidence travelled with them: </w:t>
      </w:r>
      <w:r>
        <w:t>38 partners carry their original PIF documents, 36 carry their sam.gov screening screenshots, 40 media-verification checks are recorded with links and verdicts, and the round holds the full crisis evidence pack (needs assessment, site factsheets, cluster alert). All 5 panel candidates are on the round roster.</w:t>
      </w:r>
    </w:p>
    <w:p>
      <w:pPr>
        <w:pStyle w:val="ListBullet"/>
        <w:spacing w:after="40"/>
      </w:pPr>
      <w:r>
        <w:rPr>
          <w:b/>
        </w:rPr>
        <w:t xml:space="preserve">Uploaded is not the same as processed. </w:t>
      </w:r>
      <w:r>
        <w:t>Every partner sits at “nominated” — the starting line. None has yet been through the endorsement, due-diligence, or bank-verification pipeline the system enforces before money can move. The automatic sanctions screen ran on import (all clear), but the human steps — community endorsements, DD clearance, payment-route verification — are the work now in front of the team. The step-by-step guide is in Blue_Nile_OB_Runbook_2026-07-15.docx.</w:t>
      </w:r>
    </w:p>
    <w:p>
      <w:pPr>
        <w:pStyle w:val="ListBullet"/>
        <w:spacing w:after="40"/>
      </w:pPr>
      <w:r>
        <w:rPr>
          <w:b/>
        </w:rPr>
        <w:t xml:space="preserve">Sensitive data is now behind proper controls: </w:t>
      </w:r>
      <w:r>
        <w:t>the PIFs contain bank accounts and personal phone numbers that used to circulate as plain files. In the system they sit behind the Oversight-Body-only permission layer, tested on every release.</w:t>
      </w:r>
    </w:p>
    <w:p>
      <w:pPr>
        <w:spacing w:before="240" w:after="60"/>
      </w:pPr>
      <w:r>
        <w:rPr>
          <w:b/>
          <w:color w:val="C2410C"/>
          <w:sz w:val="26"/>
        </w:rPr>
        <w:t>2. An actual donor grant — the one funding this round</w:t>
      </w:r>
    </w:p>
    <w:p>
      <w:pPr>
        <w:spacing w:after="80"/>
      </w:pPr>
      <w:r>
        <w:t>The signed grant agreement with Quadrature Climate Foundation (via Myriad USA, ref 01-21-000480) was uploaded and the system’s AI read the contract; every extracted term was checked against the document before saving. This is not test data — it is the grant that pays for the Blue Nile round, and the full $2M is allocated to it in the system.</w:t>
      </w:r>
    </w:p>
    <w:p>
      <w:pPr>
        <w:pStyle w:val="ListBullet"/>
        <w:spacing w:after="40"/>
      </w:pPr>
      <w:r>
        <w:rPr>
          <w:b/>
        </w:rPr>
        <w:t xml:space="preserve">$2,000,000 over two years </w:t>
      </w:r>
      <w:r>
        <w:t>(1 May 2025 – 30 Apr 2027), annual reporting, signed PDF attached to the record.</w:t>
      </w:r>
    </w:p>
    <w:p>
      <w:pPr>
        <w:pStyle w:val="ListBullet"/>
        <w:spacing w:after="40"/>
      </w:pPr>
      <w:r>
        <w:rPr>
          <w:b/>
        </w:rPr>
        <w:t xml:space="preserve">Money fully received: </w:t>
      </w:r>
      <w:r>
        <w:t>payment 1 ($1,138,605, Jul 2025) and payment 2 ($861,395, 10 Jul 2026) are both recorded — $0 outstanding from the donor.</w:t>
      </w:r>
    </w:p>
    <w:p>
      <w:pPr>
        <w:pStyle w:val="ListBullet"/>
        <w:spacing w:after="40"/>
      </w:pPr>
      <w:r>
        <w:rPr>
          <w:b/>
        </w:rPr>
        <w:t xml:space="preserve">First report on record: </w:t>
      </w:r>
      <w:r>
        <w:t>the annual report (due 31 May 2026) was completed before this record existed; it is logged as submitted with an honest retroactive note on the audit chain. When QCF acknowledges it, one click moves it to accepted.</w:t>
      </w:r>
    </w:p>
    <w:p>
      <w:pPr>
        <w:pStyle w:val="ListBullet"/>
        <w:spacing w:after="40"/>
      </w:pPr>
      <w:r>
        <w:rPr>
          <w:b/>
        </w:rPr>
        <w:t xml:space="preserve">The agreement’s own targets are now tracked: </w:t>
      </w:r>
      <w:r>
        <w:t>50 mutual aid groups funded in Year 1, 200+ by Year 3, $5M additional funding secured — the grant page measures these against live system data as the round executes.</w:t>
      </w:r>
    </w:p>
    <w:p>
      <w:pPr>
        <w:pStyle w:val="ListBullet"/>
        <w:spacing w:after="40"/>
      </w:pPr>
      <w:r>
        <w:rPr>
          <w:b/>
        </w:rPr>
        <w:t xml:space="preserve">Compliance terms captured: </w:t>
      </w:r>
      <w:r>
        <w:t>15 obligations extracted from the contract — sanctions screening on all partners (already automatic), separate accounts, 7-year record retention, a 20% cap on budget reallocation without QCF consent, and prior written consent for use of QCF’s name or logo.</w:t>
      </w:r>
    </w:p>
    <w:p>
      <w:pPr>
        <w:spacing w:before="240" w:after="60"/>
      </w:pPr>
      <w:r>
        <w:rPr>
          <w:b/>
          <w:color w:val="C2410C"/>
          <w:sz w:val="26"/>
        </w:rPr>
        <w:t>3. QCF has its own window into the round</w:t>
      </w:r>
    </w:p>
    <w:p>
      <w:pPr>
        <w:spacing w:after="80"/>
      </w:pPr>
      <w:r>
        <w:t>A donor login was created for QCF (grants@qc.foundation — credentials shared with Idiris separately; QCF should change the password on first sign-in). Logged in as QCF, we verified they see exactly what a donor should:</w:t>
      </w:r>
    </w:p>
    <w:p>
      <w:pPr>
        <w:pStyle w:val="ListBullet"/>
        <w:spacing w:after="40"/>
      </w:pPr>
      <w:r>
        <w:rPr>
          <w:b/>
        </w:rPr>
        <w:t xml:space="preserve">Their portal </w:t>
      </w:r>
      <w:r>
        <w:t>shows the $2M committed envelope, the Blue Nile round they are following, live progress (disbursed, partners served, attestation rate), and one-click access to the round report and closing PDF — the donor report the system builds from real round data with a tamper-evidence anchor embedded.</w:t>
      </w:r>
    </w:p>
    <w:p>
      <w:pPr>
        <w:pStyle w:val="ListBullet"/>
        <w:spacing w:after="40"/>
      </w:pPr>
      <w:r>
        <w:rPr>
          <w:b/>
        </w:rPr>
        <w:t xml:space="preserve">And nothing more: </w:t>
      </w:r>
      <w:r>
        <w:t>donors cannot see partner bank details, intake forms, or internal due-diligence notes. That boundary is enforced on the server and re-tested on every release.</w:t>
      </w:r>
    </w:p>
    <w:p>
      <w:pPr>
        <w:spacing w:before="240" w:after="60"/>
      </w:pPr>
      <w:r>
        <w:rPr>
          <w:b/>
          <w:color w:val="C2410C"/>
          <w:sz w:val="26"/>
        </w:rPr>
        <w:t>4. All QA findings fixed</w:t>
      </w:r>
    </w:p>
    <w:p>
      <w:pPr>
        <w:pStyle w:val="ListBullet"/>
        <w:spacing w:after="40"/>
      </w:pPr>
      <w:r>
        <w:rPr>
          <w:b/>
        </w:rPr>
        <w:t xml:space="preserve">Search crash (High): </w:t>
      </w:r>
      <w:r>
        <w:t>the global search palette took the page down on first click — root-caused and fixed, verified with zero console errors.</w:t>
      </w:r>
    </w:p>
    <w:p>
      <w:pPr>
        <w:pStyle w:val="ListBullet"/>
        <w:spacing w:after="40"/>
      </w:pPr>
      <w:r>
        <w:rPr>
          <w:b/>
        </w:rPr>
        <w:t xml:space="preserve">Dark mode (Medium): </w:t>
      </w:r>
      <w:r>
        <w:t>now applies on every page at first paint, including login and public pages.</w:t>
      </w:r>
    </w:p>
    <w:p>
      <w:pPr>
        <w:pStyle w:val="ListBullet"/>
        <w:spacing w:after="40"/>
      </w:pPr>
      <w:r>
        <w:rPr>
          <w:b/>
        </w:rPr>
        <w:t xml:space="preserve">Translations (Medium): </w:t>
      </w:r>
      <w:r>
        <w:t>all public and partner-facing pages were already translated; the Partners console joined them in all six languages (2,788 strings each). Remaining admin screens are listed in the backlog.</w:t>
      </w:r>
    </w:p>
    <w:p>
      <w:pPr>
        <w:pStyle w:val="ListBullet"/>
        <w:spacing w:after="40"/>
      </w:pPr>
      <w:r>
        <w:rPr>
          <w:b/>
        </w:rPr>
        <w:t xml:space="preserve">The four “API-only” features: </w:t>
      </w:r>
      <w:r>
        <w:t>Nominate Partner and donor Follow buttons were built; FSP registration and Assign Verifier already existed — the QA test pack should be refreshed.</w:t>
      </w:r>
    </w:p>
    <w:p>
      <w:pPr>
        <w:spacing w:after="40"/>
      </w:pPr>
      <w:r>
        <w:t>Details in: QA_Fixes_Search_DarkMode_Translations_2026-07-15.docx</w:t>
      </w:r>
    </w:p>
    <w:p>
      <w:pPr>
        <w:spacing w:before="240" w:after="60"/>
      </w:pPr>
      <w:r>
        <w:rPr>
          <w:b/>
          <w:color w:val="C2410C"/>
          <w:sz w:val="26"/>
        </w:rPr>
        <w:t>5. Cleaner grant and round pages (feedback: “too busy”)</w:t>
      </w:r>
    </w:p>
    <w:p>
      <w:pPr>
        <w:pStyle w:val="ListBullet"/>
        <w:spacing w:after="40"/>
      </w:pPr>
      <w:r>
        <w:rPr>
          <w:b/>
        </w:rPr>
        <w:t xml:space="preserve">Round activity: </w:t>
      </w:r>
      <w:r>
        <w:t>the card that showed hundreds of raw system codes now rolls activity up into readable counts (“Evidence file attached ×98”) plus the six most recent events in plain English.</w:t>
      </w:r>
    </w:p>
    <w:p>
      <w:pPr>
        <w:pStyle w:val="ListBullet"/>
        <w:spacing w:after="40"/>
      </w:pPr>
      <w:r>
        <w:rPr>
          <w:b/>
        </w:rPr>
        <w:t xml:space="preserve">Grant page: </w:t>
      </w:r>
      <w:r>
        <w:t>raw AI-extraction data is collapsed behind a single line (click to inspect); empty sections take one quiet line instead of a tall box.</w:t>
      </w:r>
    </w:p>
    <w:p>
      <w:pPr>
        <w:spacing w:before="200"/>
      </w:pPr>
      <w:r>
        <w:rPr>
          <w:b/>
          <w:color w:val="1B7A3D"/>
          <w:sz w:val="21"/>
        </w:rPr>
        <w:t>Bottom line: for the first time, the full chain is real and live in one system — a signed donor agreement, $2M received, a funded round, 62 real partner organizations with their evidence, and the donor watching through their own portal. The data is in; processing it through endorsement and due diligence is what stands between here and the first disbursement.</w:t>
      </w:r>
    </w:p>
    <w:p>
      <w:pPr>
        <w:spacing w:before="200"/>
      </w:pPr>
      <w:r>
        <w:rPr>
          <w:i/>
          <w:color w:val="555555"/>
          <w:sz w:val="16"/>
        </w:rPr>
        <w:t>Production builds fae8d2eba + d85f388e2 · regression gate 89/89 · every change verified live · all records on the tamper-evident audit chain · prepared by the engineering team, 16 July 2026.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