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Kuja Grant Management</w:t>
      </w:r>
    </w:p>
    <w:p>
      <w:pPr>
        <w:spacing w:after="120"/>
        <w:jc w:val="center"/>
      </w:pPr>
      <w:r>
        <w:rPr>
          <w:b/>
          <w:bCs/>
          <w:color w:val="1F6F54"/>
          <w:sz w:val="36"/>
          <w:szCs w:val="36"/>
        </w:rPr>
        <w:t xml:space="preserve">Business Requirements</w:t>
      </w:r>
    </w:p>
    <w:p>
      <w:pPr>
        <w:spacing w:after="60"/>
        <w:jc w:val="center"/>
      </w:pPr>
      <w:r>
        <w:rPr>
          <w:i/>
          <w:iCs/>
          <w:sz w:val="24"/>
          <w:szCs w:val="24"/>
        </w:rPr>
        <w:t xml:space="preserve">Version 7.0 — covers everything implemented through Phase 721</w:t>
      </w:r>
    </w:p>
    <w:p>
      <w:pPr>
        <w:jc w:val="center"/>
      </w:pPr>
      <w:r>
        <w:rPr>
          <w:sz w:val="22"/>
          <w:szCs w:val="22"/>
        </w:rPr>
        <w:t xml:space="preserve">v7.0 · July 5, 2026</w:t>
      </w:r>
    </w:p>
    <w:p>
      <w:pPr>
        <w:pageBreakBefore/>
      </w:pPr>
    </w:p>
    <w:p>
      <w:pPr>
        <w:pStyle w:val="Heading1"/>
      </w:pPr>
      <w:r>
        <w:t xml:space="preserve">1. Executive summary</w:t>
      </w:r>
    </w:p>
    <w:p>
      <w:pPr>
        <w:pBdr>
          <w:left w:val="single" w:color="1F6F54" w:sz="12" w:space="8"/>
        </w:pBdr>
        <w:spacing w:after="160"/>
        <w:ind w:left="360"/>
      </w:pPr>
      <w:r>
        <w:rPr>
          <w:i/>
          <w:iCs/>
        </w:rPr>
        <w:t xml:space="preserve">Kuja Grant Management is one platform with one core grant engine and three tenant flavors, each tuned to a different trust context: Kuja Marketplace (open), NEAR Network (closed network fund with formal vetting), and the Proximate Fund (crisis-context fund built on relational validation). From formal registration vetting to community endorsement where no registry survives — the same system covers the full spectrum.</w:t>
      </w:r>
    </w:p>
    <w:p>
      <w:pPr>
        <w:spacing w:after="120"/>
      </w:pPr>
      <w:r>
        <w:t xml:space="preserve">Version 7.0 captures the largest contextual leap the platform has made: the Proximate Fund, a Sudan-conflict-aware tenant designed for environments where the assumptions behind every conventional grant system have collapsed. There is no functioning civil registry to vet an NGO against. Banks have evacuated the areas where partners work. Connectivity is intermittent, literacy is uneven, and the working language is Arabic. A community group doing life-saving mutual aid may have no legal registration, no bank account, and no one on staff who has ever written a grant application.</w:t>
      </w:r>
    </w:p>
    <w:p>
      <w:pPr>
        <w:spacing w:after="120"/>
      </w:pPr>
      <w:r>
        <w:t xml:space="preserve">Proximate does not ask that group to change. It changes the system instead. Where NEAR requires vetting of registrations and formal capacity gates — appropriate for its context — Sudan makes that impossible, so Proximate validates through the community itself: people who know people, with the platform quietly running the compliance machinery underneath. This is the point of the multi-tenant design: needs differ radically per context, and Kuja configures the same engine to meet each one.</w:t>
      </w:r>
    </w:p>
    <w:p>
      <w:pPr>
        <w:spacing w:after="120"/>
      </w:pPr>
      <w:r>
        <w:t xml:space="preserve">The organizing principle of everything in this document is burden inversion: every hour of administrative work the platform can absorb is an hour a frontline organization gets back. The burden sits on the system and the Oversight Body — never on the NGO.</w:t>
      </w:r>
    </w:p>
    <w:p>
      <w:pPr>
        <w:pStyle w:val="Heading2"/>
      </w:pPr>
      <w:r>
        <w:t xml:space="preserve">1.1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CCCCC" w:sz="1"/>
              <w:left w:val="single" w:color="CCCCCC" w:sz="1"/>
              <w:bottom w:val="single" w:color="CCCCCC" w:sz="1"/>
              <w:right w:val="single" w:color="CCCCCC" w:sz="1"/>
            </w:tcBorders>
            <w:shd w:fill="E4EFEA" w:val="clear"/>
            <w:tcMar>
              <w:top w:type="dxa" w:w="80"/>
              <w:left w:type="dxa" w:w="120"/>
              <w:bottom w:type="dxa" w:w="80"/>
              <w:right w:type="dxa" w:w="120"/>
            </w:tcMar>
          </w:tcPr>
          <w:p>
            <w:r>
              <w:rPr>
                <w:b/>
                <w:bCs/>
                <w:sz w:val="20"/>
                <w:szCs w:val="20"/>
              </w:rPr>
              <w:t xml:space="preserve">Version</w:t>
            </w:r>
          </w:p>
        </w:tc>
        <w:tc>
          <w:tcPr>
            <w:tcW w:type="dxa" w:w="1600"/>
            <w:tcBorders>
              <w:top w:val="single" w:color="CCCCCC" w:sz="1"/>
              <w:left w:val="single" w:color="CCCCCC" w:sz="1"/>
              <w:bottom w:val="single" w:color="CCCCCC" w:sz="1"/>
              <w:right w:val="single" w:color="CCCCCC" w:sz="1"/>
            </w:tcBorders>
            <w:shd w:fill="E4EFEA" w:val="clear"/>
            <w:tcMar>
              <w:top w:type="dxa" w:w="80"/>
              <w:left w:type="dxa" w:w="120"/>
              <w:bottom w:type="dxa" w:w="80"/>
              <w:right w:type="dxa" w:w="120"/>
            </w:tcMar>
          </w:tcPr>
          <w:p>
            <w:r>
              <w:rPr>
                <w:b/>
                <w:bCs/>
                <w:sz w:val="20"/>
                <w:szCs w:val="20"/>
              </w:rPr>
              <w:t xml:space="preserve">Date</w:t>
            </w:r>
          </w:p>
        </w:tc>
        <w:tc>
          <w:tcPr>
            <w:tcW w:type="dxa" w:w="6560"/>
            <w:tcBorders>
              <w:top w:val="single" w:color="CCCCCC" w:sz="1"/>
              <w:left w:val="single" w:color="CCCCCC" w:sz="1"/>
              <w:bottom w:val="single" w:color="CCCCCC" w:sz="1"/>
              <w:right w:val="single" w:color="CCCCCC" w:sz="1"/>
            </w:tcBorders>
            <w:shd w:fill="E4EFEA" w:val="clear"/>
            <w:tcMar>
              <w:top w:type="dxa" w:w="80"/>
              <w:left w:type="dxa" w:w="120"/>
              <w:bottom w:type="dxa" w:w="80"/>
              <w:right w:type="dxa" w:w="120"/>
            </w:tcMar>
          </w:tcPr>
          <w:p>
            <w:r>
              <w:rPr>
                <w:b/>
                <w:bCs/>
                <w:sz w:val="20"/>
                <w:szCs w:val="20"/>
              </w:rPr>
              <w:t xml:space="preserve">What changed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2025-Q3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Initial business requirements + user guide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2026-Q1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Networked-funds use cases, multi-tenant rollout, NEAR onboarding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2026-06-12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45-92 design refactor + category-defining AI features (voice-to-report, photo evidence, AI-drafts-application, why-rejected, trust-portable badge, AI translation, declaration-as-conversation, and more)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2026-07-05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627-721: the Proximate Fund tenant — relational validation, SoP-as-software (SoP 12/13/14 automated with clocks and escalations), hawala + mobile money rails, zero-login token flows, Arabic-first voice reporting, donor confidence engine (AI agreement extraction, AI-drafted reports, compliance scoring, donor pack), accountability triangle (grievance channel, partner right-to-know, public transparency)</w:t>
            </w:r>
          </w:p>
        </w:tc>
      </w:tr>
    </w:tbl>
    <w:p>
      <w:pPr>
        <w:pStyle w:val="Heading1"/>
      </w:pPr>
      <w:r>
        <w:t xml:space="preserve">2. The design thesis: burden inversion</w:t>
      </w:r>
    </w:p>
    <w:p>
      <w:pPr>
        <w:spacing w:after="120"/>
      </w:pPr>
      <w:r>
        <w:t xml:space="preserve">Grant systems traditionally externalize their costs onto the grantee: create an account, remember a password, fill in English forms, track deadlines, decode compliance jargon, prove yourself with paperwork. For a well-staffed INGO that is friction. For a mutual-aid group in Gedaref it is a wall.</w:t>
      </w:r>
    </w:p>
    <w:p>
      <w:pPr>
        <w:spacing w:after="120"/>
      </w:pPr>
      <w:r>
        <w:t xml:space="preserve">Kuja inverts this. Wherever a task can be done by the system or by the fund operator, it is. The table below is not aspirational — every row on the right is implemented and running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3900"/>
            <w:tcBorders>
              <w:top w:val="single" w:color="CCCCCC" w:sz="1"/>
              <w:left w:val="single" w:color="CCCCCC" w:sz="1"/>
              <w:bottom w:val="single" w:color="CCCCCC" w:sz="1"/>
              <w:right w:val="single" w:color="CCCCCC" w:sz="1"/>
            </w:tcBorders>
            <w:shd w:fill="E4EFEA" w:val="clear"/>
            <w:tcMar>
              <w:top w:type="dxa" w:w="80"/>
              <w:left w:type="dxa" w:w="120"/>
              <w:bottom w:type="dxa" w:w="80"/>
              <w:right w:type="dxa" w:w="120"/>
            </w:tcMar>
          </w:tcPr>
          <w:p>
            <w:r>
              <w:rPr>
                <w:b/>
                <w:bCs/>
                <w:sz w:val="20"/>
                <w:szCs w:val="20"/>
              </w:rPr>
              <w:t xml:space="preserve">A traditional system asks the NGO to…</w:t>
            </w:r>
          </w:p>
        </w:tc>
        <w:tc>
          <w:tcPr>
            <w:tcW w:type="dxa" w:w="5460"/>
            <w:tcBorders>
              <w:top w:val="single" w:color="CCCCCC" w:sz="1"/>
              <w:left w:val="single" w:color="CCCCCC" w:sz="1"/>
              <w:bottom w:val="single" w:color="CCCCCC" w:sz="1"/>
              <w:right w:val="single" w:color="CCCCCC" w:sz="1"/>
            </w:tcBorders>
            <w:shd w:fill="E4EFEA" w:val="clear"/>
            <w:tcMar>
              <w:top w:type="dxa" w:w="80"/>
              <w:left w:type="dxa" w:w="120"/>
              <w:bottom w:type="dxa" w:w="80"/>
              <w:right w:type="dxa" w:w="120"/>
            </w:tcMar>
          </w:tcPr>
          <w:p>
            <w:r>
              <w:rPr>
                <w:b/>
                <w:bCs/>
                <w:sz w:val="20"/>
                <w:szCs w:val="20"/>
              </w:rPr>
              <w:t xml:space="preserve">Kuja does instead</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Create an account and manage a password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Long-lived token links, shared over WhatsApp. A partner opens their mini-portal, submits reports, and attests outcomes with zero login. Accounts exist only for those who want them.</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Fill in English web forms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partner speaks. Voice notes in Arabic (also Somali, Swahili and three more languages) are transcribed by Whisper and mapped onto the required structure by AI. Field labels read as natural questions, not jargon.</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Prove legitimacy with registration paperwork</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Where registries function (NEAR), the system verifies them. Where they have collapsed (Sudan), trusted community endorsers vouch through three structured questions — and the platform runs conflict-of-interest checks, reputation scoring and sanctions screening silently underneath.</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Track reporting deadlines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system creates every report obligation itself — per disbursement, per grant cadence, per 90-day outcome window — and reminds at 30/14/3/0 days. Nobody has to remember anything.</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 and interpret the donor agreement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Oversight Body uploads the signed PDF; AI extracts amounts, dates, reporting requirements, deliverables and restrictions. From then on the system enforces the agreement — a disbursement that would violate a geographic restriction is refused automatically, naming the exact clause.</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Write donor reports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AI drafts each report from real allocation, disbursement and outcome data — with an explicit no-invented-numbers rule — and the OB reviews and edits. The partner’s only job was the voice note they already sent.</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Undergo due-diligence interviews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Sanctions screening runs automatically at every entry point — partner nomination, endorser approval, hawala broker registration — plus a weekly re-screen and adverse-media checks on larger disbursements. Findings inform the OB; they never block a community member at the door.</w:t>
            </w:r>
          </w:p>
        </w:tc>
      </w:tr>
    </w:tbl>
    <w:p>
      <w:pPr>
        <w:spacing w:after="120"/>
      </w:pPr>
      <w:r>
        <w:t xml:space="preserve"/>
      </w:r>
    </w:p>
    <w:p>
      <w:pPr>
        <w:spacing w:after="120"/>
      </w:pPr>
      <w:r>
        <w:rPr>
          <w:b/>
          <w:bCs/>
        </w:rPr>
        <w:t xml:space="preserve">The result: the demanding side of the platform faces the Oversight Body and administrators — who get a feature-rich command center — while the community-facing side stays radically simple. This is the practical meaning of Kuja’s mission to minimize barriers for Global South NGOs.</w:t>
      </w:r>
    </w:p>
    <w:p>
      <w:pPr>
        <w:pStyle w:val="Heading1"/>
      </w:pPr>
      <w:r>
        <w:t xml:space="preserve">3. One platform, three trust models</w:t>
      </w:r>
    </w:p>
    <w:p>
      <w:pPr>
        <w:spacing w:after="120"/>
      </w:pPr>
      <w:r>
        <w:t xml:space="preserve">All tenants share one core engine: grant and fund management, applications and nominations, disbursement lifecycle, reporting and compliance, a hash-chained audit trail, AI services (drafting, extraction, translation, transcription, scoring) and six-language localization. What changes per tenant is the trust model — how an organization becomes fundable — and the information architecture around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580"/>
        <w:gridCol w:w="2580"/>
      </w:tblGrid>
      <w:tr>
        <w:tc>
          <w:tcPr>
            <w:tcW w:type="dxa" w:w="1700"/>
            <w:tcBorders>
              <w:top w:val="single" w:color="CCCCCC" w:sz="1"/>
              <w:left w:val="single" w:color="CCCCCC" w:sz="1"/>
              <w:bottom w:val="single" w:color="CCCCCC" w:sz="1"/>
              <w:right w:val="single" w:color="CCCCCC" w:sz="1"/>
            </w:tcBorders>
            <w:shd w:fill="E4EFEA" w:val="clear"/>
            <w:tcMar>
              <w:top w:type="dxa" w:w="80"/>
              <w:left w:type="dxa" w:w="120"/>
              <w:bottom w:type="dxa" w:w="80"/>
              <w:right w:type="dxa" w:w="120"/>
            </w:tcMar>
          </w:tcPr>
          <w:p>
            <w:r>
              <w:rPr>
                <w:b/>
                <w:bCs/>
                <w:sz w:val="20"/>
                <w:szCs w:val="20"/>
              </w:rPr>
              <w:t xml:space="preserve"/>
            </w:r>
          </w:p>
        </w:tc>
        <w:tc>
          <w:tcPr>
            <w:tcW w:type="dxa" w:w="2500"/>
            <w:tcBorders>
              <w:top w:val="single" w:color="CCCCCC" w:sz="1"/>
              <w:left w:val="single" w:color="CCCCCC" w:sz="1"/>
              <w:bottom w:val="single" w:color="CCCCCC" w:sz="1"/>
              <w:right w:val="single" w:color="CCCCCC" w:sz="1"/>
            </w:tcBorders>
            <w:shd w:fill="E4EFEA" w:val="clear"/>
            <w:tcMar>
              <w:top w:type="dxa" w:w="80"/>
              <w:left w:type="dxa" w:w="120"/>
              <w:bottom w:type="dxa" w:w="80"/>
              <w:right w:type="dxa" w:w="120"/>
            </w:tcMar>
          </w:tcPr>
          <w:p>
            <w:r>
              <w:rPr>
                <w:b/>
                <w:bCs/>
                <w:sz w:val="20"/>
                <w:szCs w:val="20"/>
              </w:rPr>
              <w:t xml:space="preserve">Kuja Marketplace</w:t>
            </w:r>
          </w:p>
        </w:tc>
        <w:tc>
          <w:tcPr>
            <w:tcW w:type="dxa" w:w="2580"/>
            <w:tcBorders>
              <w:top w:val="single" w:color="CCCCCC" w:sz="1"/>
              <w:left w:val="single" w:color="CCCCCC" w:sz="1"/>
              <w:bottom w:val="single" w:color="CCCCCC" w:sz="1"/>
              <w:right w:val="single" w:color="CCCCCC" w:sz="1"/>
            </w:tcBorders>
            <w:shd w:fill="E4EFEA" w:val="clear"/>
            <w:tcMar>
              <w:top w:type="dxa" w:w="80"/>
              <w:left w:type="dxa" w:w="120"/>
              <w:bottom w:type="dxa" w:w="80"/>
              <w:right w:type="dxa" w:w="120"/>
            </w:tcMar>
          </w:tcPr>
          <w:p>
            <w:r>
              <w:rPr>
                <w:b/>
                <w:bCs/>
                <w:sz w:val="20"/>
                <w:szCs w:val="20"/>
              </w:rPr>
              <w:t xml:space="preserve">NEAR Network</w:t>
            </w:r>
          </w:p>
        </w:tc>
        <w:tc>
          <w:tcPr>
            <w:tcW w:type="dxa" w:w="2580"/>
            <w:tcBorders>
              <w:top w:val="single" w:color="CCCCCC" w:sz="1"/>
              <w:left w:val="single" w:color="CCCCCC" w:sz="1"/>
              <w:bottom w:val="single" w:color="CCCCCC" w:sz="1"/>
              <w:right w:val="single" w:color="CCCCCC" w:sz="1"/>
            </w:tcBorders>
            <w:shd w:fill="E4EFEA" w:val="clear"/>
            <w:tcMar>
              <w:top w:type="dxa" w:w="80"/>
              <w:left w:type="dxa" w:w="120"/>
              <w:bottom w:type="dxa" w:w="80"/>
              <w:right w:type="dxa" w:w="120"/>
            </w:tcMar>
          </w:tcPr>
          <w:p>
            <w:r>
              <w:rPr>
                <w:b/>
                <w:bCs/>
                <w:sz w:val="20"/>
                <w:szCs w:val="20"/>
              </w:rPr>
              <w:t xml:space="preserve">Proximate Fund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Open marketplace, any Global South NGO</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Closed network fund with formal governance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Active-conflict Sudan; institutions collapsed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Trust model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Document-based Trust Profile: registration verification, sanctions screening, audited financials, policies — submit once, visible to every donor</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Formal vetting: registration verification is mandatory, capacity assessment gates membership, admin-run trust process, multi-sig OB governance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Relational validation: community endorsers vouch; reputation-weighted trust floor; COI auto-checks; light-KYC on endorsers; bank verification only where banks exist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Entry requirement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Self-service registration</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Membership application + capacity gate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 name and one phone number — or being nominated by someone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Why it fits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Portability is the product: prove once, apply everywhere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Pooled funds demand formal accountability to members and donors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Registration vetting is impossible; demanding it would exclude exactly the groups doing the work</w:t>
            </w:r>
          </w:p>
        </w:tc>
      </w:tr>
    </w:tbl>
    <w:p>
      <w:pPr>
        <w:spacing w:after="120"/>
      </w:pPr>
      <w:r>
        <w:t xml:space="preserve"/>
      </w:r>
    </w:p>
    <w:p>
      <w:pPr>
        <w:spacing w:after="120"/>
      </w:pPr>
      <w:r>
        <w:t xml:space="preserve">NEAR’s needs are different from Sudan’s — NEAR requires vetting of registrations; in Sudan that is not possible. The platform does not force one model on both. It covers the full spectrum, and the next crisis context becomes a configuration exercise, not a rebuild.</w:t>
      </w:r>
    </w:p>
    <w:p>
      <w:pPr>
        <w:pStyle w:val="Heading1"/>
      </w:pPr>
      <w:r>
        <w:t xml:space="preserve">4. Stakeholders and roles</w:t>
      </w:r>
    </w:p>
    <w:p>
      <w:pPr>
        <w:spacing w:after="120"/>
      </w:pPr>
      <w:r>
        <w:t xml:space="preserve">Each role gets role-tailored navigation, a purpose-built dashboard, and a permission scope. Where a role exists in more than one tenant, the experience is rebuilt per tenant — shared infrastructure, distinct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c>
          <w:tcPr>
            <w:tcW w:type="dxa" w:w="2100"/>
            <w:tcBorders>
              <w:top w:val="single" w:color="CCCCCC" w:sz="1"/>
              <w:left w:val="single" w:color="CCCCCC" w:sz="1"/>
              <w:bottom w:val="single" w:color="CCCCCC" w:sz="1"/>
              <w:right w:val="single" w:color="CCCCCC" w:sz="1"/>
            </w:tcBorders>
            <w:shd w:fill="E4EFEA" w:val="clear"/>
            <w:tcMar>
              <w:top w:type="dxa" w:w="80"/>
              <w:left w:type="dxa" w:w="120"/>
              <w:bottom w:type="dxa" w:w="80"/>
              <w:right w:type="dxa" w:w="120"/>
            </w:tcMar>
          </w:tcPr>
          <w:p>
            <w:r>
              <w:rPr>
                <w:b/>
                <w:bCs/>
                <w:sz w:val="20"/>
                <w:szCs w:val="20"/>
              </w:rPr>
              <w:t xml:space="preserve">Role</w:t>
            </w:r>
          </w:p>
        </w:tc>
        <w:tc>
          <w:tcPr>
            <w:tcW w:type="dxa" w:w="3600"/>
            <w:tcBorders>
              <w:top w:val="single" w:color="CCCCCC" w:sz="1"/>
              <w:left w:val="single" w:color="CCCCCC" w:sz="1"/>
              <w:bottom w:val="single" w:color="CCCCCC" w:sz="1"/>
              <w:right w:val="single" w:color="CCCCCC" w:sz="1"/>
            </w:tcBorders>
            <w:shd w:fill="E4EFEA" w:val="clear"/>
            <w:tcMar>
              <w:top w:type="dxa" w:w="80"/>
              <w:left w:type="dxa" w:w="120"/>
              <w:bottom w:type="dxa" w:w="80"/>
              <w:right w:type="dxa" w:w="120"/>
            </w:tcMar>
          </w:tcPr>
          <w:p>
            <w:r>
              <w:rPr>
                <w:b/>
                <w:bCs/>
                <w:sz w:val="20"/>
                <w:szCs w:val="20"/>
              </w:rPr>
              <w:t xml:space="preserve">Primary use case</w:t>
            </w:r>
          </w:p>
        </w:tc>
        <w:tc>
          <w:tcPr>
            <w:tcW w:type="dxa" w:w="3660"/>
            <w:tcBorders>
              <w:top w:val="single" w:color="CCCCCC" w:sz="1"/>
              <w:left w:val="single" w:color="CCCCCC" w:sz="1"/>
              <w:bottom w:val="single" w:color="CCCCCC" w:sz="1"/>
              <w:right w:val="single" w:color="CCCCCC" w:sz="1"/>
            </w:tcBorders>
            <w:shd w:fill="E4EFEA" w:val="clear"/>
            <w:tcMar>
              <w:top w:type="dxa" w:w="80"/>
              <w:left w:type="dxa" w:w="120"/>
              <w:bottom w:type="dxa" w:w="80"/>
              <w:right w:type="dxa" w:w="120"/>
            </w:tcMar>
          </w:tcPr>
          <w:p>
            <w:r>
              <w:rPr>
                <w:b/>
                <w:bCs/>
                <w:sz w:val="20"/>
                <w:szCs w:val="20"/>
              </w:rPr>
              <w:t xml:space="preserve">Key surfaces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NGO program officer (Marketplace)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Find grants, apply, report, stay compliant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Workbench dashboard, Apply, Reports, Trust Profile, Capacity assessment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Community partner (Proximate)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Receive funds, report by voice/photo, attest outcomes — often without an account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Zero-login mini-portal, token report links, WhatsApp-shared URLs, decisions-affecting-me timeline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Endorser (Proximate)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Vouch for community groups they personally know</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Endorsement inbox, 3-question wizard (EN/AR, voice-capable), zero-login invite links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Donor program officer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Fund, monitor, receive evidence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Donor dashboard, portfolio AI Q&amp;A, grant detail with deliverables + scored reports, donor pack PDF</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Reviewer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Score assigned applications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Reviewer queue, review detail, AI comparison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Member NGO (NEAR)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Closed-network membership, apply to network grants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Member dashboard, membership status, applications, reports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OB / secretariat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Operate the fund; carry the burden the partners were spared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Operator dashboard, endorser KYC queue, grievance triage (72h SLA), intervention register with clocks, crisis selector, grants console, FSP registry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Third-party verifier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Independently attest a disbursement outcome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One-shot token attestation page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Platform admin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Run the platform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Admin console, audit chain, tenant health, AI telemetry + cost ceilings</w:t>
            </w:r>
          </w:p>
        </w:tc>
      </w:tr>
    </w:tbl>
    <w:p>
      <w:pPr>
        <w:pStyle w:val="Heading1"/>
      </w:pPr>
      <w:r>
        <w:t xml:space="preserve">5. Functional requirements — Proximate Fund</w:t>
      </w:r>
    </w:p>
    <w:p>
      <w:pPr>
        <w:spacing w:after="120"/>
      </w:pPr>
      <w:r>
        <w:t xml:space="preserve">Everything below is implemented and verified in production (Phases 627-721). Requirements are numbered continuously.</w:t>
      </w:r>
    </w:p>
    <w:p>
      <w:pPr>
        <w:pStyle w:val="Heading2"/>
      </w:pPr>
      <w:r>
        <w:t xml:space="preserve">5.1 Zero-barrier entry</w:t>
      </w:r>
    </w:p>
    <w:p>
      <w:pPr>
        <w:pStyle w:val="ListParagraph"/>
        <w:numPr>
          <w:ilvl w:val="0"/>
          <w:numId w:val="2"/>
        </w:numPr>
        <w:spacing w:after="80"/>
      </w:pPr>
      <w:r>
        <w:t xml:space="preserve">Public bilingual (Arabic-first) nomination page: a community group is put forward — or puts itself forward — with just a name and one contact. No account, no documents, no English.</w:t>
      </w:r>
    </w:p>
    <w:p>
      <w:pPr>
        <w:pStyle w:val="ListParagraph"/>
        <w:numPr>
          <w:ilvl w:val="0"/>
          <w:numId w:val="2"/>
        </w:numPr>
        <w:spacing w:after="80"/>
      </w:pPr>
      <w:r>
        <w:t xml:space="preserve">Hybrid nomination: OB-nominated and self-nominated partners land in the same queue with the same automatic screening.</w:t>
      </w:r>
    </w:p>
    <w:p>
      <w:pPr>
        <w:pStyle w:val="ListParagraph"/>
        <w:numPr>
          <w:ilvl w:val="0"/>
          <w:numId w:val="2"/>
        </w:numPr>
        <w:spacing w:after="80"/>
      </w:pPr>
      <w:r>
        <w:t xml:space="preserve">Word-of-mouth attribution: a "who told you about us" field captures the referral network without formalizing it.</w:t>
      </w:r>
    </w:p>
    <w:p>
      <w:pPr>
        <w:pStyle w:val="ListParagraph"/>
        <w:numPr>
          <w:ilvl w:val="0"/>
          <w:numId w:val="2"/>
        </w:numPr>
        <w:spacing w:after="80"/>
      </w:pPr>
      <w:r>
        <w:t xml:space="preserve">Anti-abuse without user burden: invisible honeypot fields and duplicate-submission windows — the partner never sees a CAPTCHA.</w:t>
      </w:r>
    </w:p>
    <w:p>
      <w:pPr>
        <w:pStyle w:val="ListParagraph"/>
        <w:numPr>
          <w:ilvl w:val="0"/>
          <w:numId w:val="2"/>
        </w:numPr>
        <w:spacing w:after="80"/>
      </w:pPr>
      <w:r>
        <w:t xml:space="preserve">Printable outreach kit: shaped-Arabic one-pager with QR code, WhatsApp voice-note scripts (AR/EN) and coordination email templates for field distribution.</w:t>
      </w:r>
    </w:p>
    <w:p>
      <w:pPr>
        <w:pStyle w:val="Heading2"/>
      </w:pPr>
      <w:r>
        <w:t xml:space="preserve">5.2 Relational validation</w:t>
      </w:r>
    </w:p>
    <w:p>
      <w:pPr>
        <w:pStyle w:val="ListParagraph"/>
        <w:numPr>
          <w:ilvl w:val="0"/>
          <w:numId w:val="2"/>
        </w:numPr>
        <w:spacing w:after="80"/>
      </w:pPr>
      <w:r>
        <w:t xml:space="preserve">Endorsers vouch through three fixed structured questions (rendered in English and Arabic, answerable by voice) — how they know the group, what they have seen it do, and whether they would stake their name on it.</w:t>
      </w:r>
    </w:p>
    <w:p>
      <w:pPr>
        <w:pStyle w:val="ListParagraph"/>
        <w:numPr>
          <w:ilvl w:val="0"/>
          <w:numId w:val="2"/>
        </w:numPr>
        <w:spacing w:after="80"/>
      </w:pPr>
      <w:r>
        <w:t xml:space="preserve">Reputation-weighted trust floor: endorsements from higher-reputation endorsers count for more; a partner clears due diligence when the floor is met and screening is clean.</w:t>
      </w:r>
    </w:p>
    <w:p>
      <w:pPr>
        <w:pStyle w:val="ListParagraph"/>
        <w:numPr>
          <w:ilvl w:val="0"/>
          <w:numId w:val="2"/>
        </w:numPr>
        <w:spacing w:after="80"/>
      </w:pPr>
      <w:r>
        <w:t xml:space="preserve">Automatic conflict-of-interest checks: shared village, family name or employer between endorser and partner flags the endorsement — it is recorded for the audit trail but does not count toward the trust floor.</w:t>
      </w:r>
    </w:p>
    <w:p>
      <w:pPr>
        <w:pStyle w:val="ListParagraph"/>
        <w:numPr>
          <w:ilvl w:val="0"/>
          <w:numId w:val="2"/>
        </w:numPr>
        <w:spacing w:after="80"/>
      </w:pPr>
      <w:r>
        <w:t xml:space="preserve">Light-KYC review queue for new endorsers with OB approval; approval itself triggers a sanctions screen on the endorser.</w:t>
      </w:r>
    </w:p>
    <w:p>
      <w:pPr>
        <w:pStyle w:val="ListParagraph"/>
        <w:numPr>
          <w:ilvl w:val="0"/>
          <w:numId w:val="2"/>
        </w:numPr>
        <w:spacing w:after="80"/>
      </w:pPr>
      <w:r>
        <w:t xml:space="preserve">Zero-login endorser invites: the OB sends a token link over WhatsApp; the endorser completes the vouch with no account. Invited endorsements are screened exactly like approved-endorser ones.</w:t>
      </w:r>
    </w:p>
    <w:p>
      <w:pPr>
        <w:pStyle w:val="Heading2"/>
      </w:pPr>
      <w:r>
        <w:t xml:space="preserve">5.3 The SoP, automated</w:t>
      </w:r>
    </w:p>
    <w:p>
      <w:pPr>
        <w:spacing w:after="120"/>
      </w:pPr>
      <w:r>
        <w:rPr>
          <w:i/>
          <w:iCs/>
        </w:rPr>
        <w:t xml:space="preserve">Adeso’s Standard Operating Procedures for the Sudan pilot are not a binder the secretariat consults — they are the default behavior of the system. Clocks start themselves, escalations fire themselves, screenings run themselves, and every action lands on a tamper-evident audit chain. The SoP is enforced even on the secretariat’s busiest day.</w:t>
      </w:r>
    </w:p>
    <w:p>
      <w:pPr>
        <w:pStyle w:val="ListParagraph"/>
        <w:numPr>
          <w:ilvl w:val="0"/>
          <w:numId w:val="2"/>
        </w:numPr>
        <w:spacing w:after="80"/>
      </w:pPr>
      <w:r>
        <w:t xml:space="preserve">SoP 12 (monitoring) — per-disbursement reporting: every disbursement automatically creates a report obligation with its own deadline and token URL; monthly monitoring checkpoints are emitted per cleared partner by cron.</w:t>
      </w:r>
    </w:p>
    <w:p>
      <w:pPr>
        <w:pStyle w:val="ListParagraph"/>
        <w:numPr>
          <w:ilvl w:val="0"/>
          <w:numId w:val="2"/>
        </w:numPr>
        <w:spacing w:after="80"/>
      </w:pPr>
      <w:r>
        <w:t xml:space="preserve">SoP 12 — 90-day outcome attestations: the system spawns an outcome obligation 90 days after each disbursement closes, asks what sustained and what did not (plus a counterfactual question), and routes the answer to OB verification.</w:t>
      </w:r>
    </w:p>
    <w:p>
      <w:pPr>
        <w:pStyle w:val="ListParagraph"/>
        <w:numPr>
          <w:ilvl w:val="0"/>
          <w:numId w:val="2"/>
        </w:numPr>
        <w:spacing w:after="80"/>
      </w:pPr>
      <w:r>
        <w:t xml:space="preserve">SoP 13 (capital controls) — capital classification: partners are auto-classified small/medium/large against the Sudan thresholds.</w:t>
      </w:r>
    </w:p>
    <w:p>
      <w:pPr>
        <w:pStyle w:val="ListParagraph"/>
        <w:numPr>
          <w:ilvl w:val="0"/>
          <w:numId w:val="2"/>
        </w:numPr>
        <w:spacing w:after="80"/>
      </w:pPr>
      <w:r>
        <w:t xml:space="preserve">SoP 13 — cosigner ladder: below $10k a single signer; $10k+ one cosigner; $50k+ two; $200k+ three. The required count is computed and locked at disbursement creation — it cannot be negotiated after the fact.</w:t>
      </w:r>
    </w:p>
    <w:p>
      <w:pPr>
        <w:pStyle w:val="ListParagraph"/>
        <w:numPr>
          <w:ilvl w:val="0"/>
          <w:numId w:val="2"/>
        </w:numPr>
        <w:spacing w:after="80"/>
      </w:pPr>
      <w:r>
        <w:t xml:space="preserve">SoP 13 — tranche scheduler for staged releases, and Plan-B FSP fallback when a primary payment route fails.</w:t>
      </w:r>
    </w:p>
    <w:p>
      <w:pPr>
        <w:pStyle w:val="ListParagraph"/>
        <w:numPr>
          <w:ilvl w:val="0"/>
          <w:numId w:val="2"/>
        </w:numPr>
        <w:spacing w:after="80"/>
      </w:pPr>
      <w:r>
        <w:t xml:space="preserve">SoP 13 §4 (interventions) — graduated measures with response clocks: warning (24h), freeze (72h), suspension hearing (5 days). The register tracks every measure; an hourly cron auto-escalates anything past its deadline. The UI shows remaining time — no one recomputes clock math.</w:t>
      </w:r>
    </w:p>
    <w:p>
      <w:pPr>
        <w:pStyle w:val="ListParagraph"/>
        <w:numPr>
          <w:ilvl w:val="0"/>
          <w:numId w:val="2"/>
        </w:numPr>
        <w:spacing w:after="80"/>
      </w:pPr>
      <w:r>
        <w:t xml:space="preserve">Security-driven auto-intervention: security signals in partner communications (attack, raid, displacement vocabulary) auto-open a 72-hour freeze for human review — the system notices before a staff member might.</w:t>
      </w:r>
    </w:p>
    <w:p>
      <w:pPr>
        <w:pStyle w:val="ListParagraph"/>
        <w:numPr>
          <w:ilvl w:val="0"/>
          <w:numId w:val="2"/>
        </w:numPr>
        <w:spacing w:after="80"/>
      </w:pPr>
      <w:r>
        <w:t xml:space="preserve">SoP 14 (grievance) — public reporting channel with a 72-hour triage SLA enforced by countdown badges that turn red on breach; fraud and safety reports naming a partner automatically freeze disbursements pending review.</w:t>
      </w:r>
    </w:p>
    <w:p>
      <w:pPr>
        <w:pStyle w:val="ListParagraph"/>
        <w:numPr>
          <w:ilvl w:val="0"/>
          <w:numId w:val="2"/>
        </w:numPr>
        <w:spacing w:after="80"/>
      </w:pPr>
      <w:r>
        <w:t xml:space="preserve">Independence rule: the investigator assigned to a flagged disbursement cannot be one of its signers — enforced at assignment, not by convention.</w:t>
      </w:r>
    </w:p>
    <w:p>
      <w:pPr>
        <w:pStyle w:val="ListParagraph"/>
        <w:numPr>
          <w:ilvl w:val="0"/>
          <w:numId w:val="2"/>
        </w:numPr>
        <w:spacing w:after="80"/>
      </w:pPr>
      <w:r>
        <w:t xml:space="preserve">Every SoP action — screen, clock start, escalation, verdict — appends a hash-chained audit entry with actor, subject and details. The chain is exportable and independently verifiable.</w:t>
      </w:r>
    </w:p>
    <w:p>
      <w:pPr>
        <w:pStyle w:val="Heading2"/>
      </w:pPr>
      <w:r>
        <w:t xml:space="preserve">5.4 Compliance carried by the system</w:t>
      </w:r>
    </w:p>
    <w:p>
      <w:pPr>
        <w:pStyle w:val="ListParagraph"/>
        <w:numPr>
          <w:ilvl w:val="0"/>
          <w:numId w:val="2"/>
        </w:numPr>
        <w:spacing w:after="80"/>
      </w:pPr>
      <w:r>
        <w:t xml:space="preserve">Sanctions screening (UN/OFAC/EU/World Bank via OpenSanctions) runs automatically on every entry path: partner nomination (all paths), endorser approval and invite-acceptance, and FSP/hawala-broker registration. Results inform the OB; they never hard-block a community member.</w:t>
      </w:r>
    </w:p>
    <w:p>
      <w:pPr>
        <w:pStyle w:val="ListParagraph"/>
        <w:numPr>
          <w:ilvl w:val="0"/>
          <w:numId w:val="2"/>
        </w:numPr>
        <w:spacing w:after="80"/>
      </w:pPr>
      <w:r>
        <w:t xml:space="preserve">Weekly re-screening cron over all cleared partners, with a distinct audit signal on any clean-to-flagged transition.</w:t>
      </w:r>
    </w:p>
    <w:p>
      <w:pPr>
        <w:pStyle w:val="ListParagraph"/>
        <w:numPr>
          <w:ilvl w:val="0"/>
          <w:numId w:val="2"/>
        </w:numPr>
        <w:spacing w:after="80"/>
      </w:pPr>
      <w:r>
        <w:t xml:space="preserve">Adverse-media screening runs in the background on any disbursement of $10,000 or more — matching the risk ladder, so a $200 disbursement never waits on an API call.</w:t>
      </w:r>
    </w:p>
    <w:p>
      <w:pPr>
        <w:pStyle w:val="ListParagraph"/>
        <w:numPr>
          <w:ilvl w:val="0"/>
          <w:numId w:val="2"/>
        </w:numPr>
        <w:spacing w:after="80"/>
      </w:pPr>
      <w:r>
        <w:t xml:space="preserve">Donor-restriction enforcement: geographic restrictions extracted from the signed agreement are enforced at disbursement time with a hard refusal naming the grant, its reference and the restricted geographies. Sudan and South Sudan are treated as the distinct jurisdictions they are.</w:t>
      </w:r>
    </w:p>
    <w:p>
      <w:pPr>
        <w:pStyle w:val="ListParagraph"/>
        <w:numPr>
          <w:ilvl w:val="0"/>
          <w:numId w:val="2"/>
        </w:numPr>
        <w:spacing w:after="80"/>
      </w:pPr>
      <w:r>
        <w:t xml:space="preserve">Restricted co-funding shares: when a donor restricts part of a round to a named partner, disbursements exceeding the remaining restricted budget are refused with the arithmetic shown.</w:t>
      </w:r>
    </w:p>
    <w:p>
      <w:pPr>
        <w:pStyle w:val="Heading2"/>
      </w:pPr>
      <w:r>
        <w:t xml:space="preserve">5.5 Money that reaches the field</w:t>
      </w:r>
    </w:p>
    <w:p>
      <w:pPr>
        <w:pStyle w:val="ListParagraph"/>
        <w:numPr>
          <w:ilvl w:val="0"/>
          <w:numId w:val="2"/>
        </w:numPr>
        <w:spacing w:after="80"/>
      </w:pPr>
      <w:r>
        <w:t xml:space="preserve">FSP registry with hawala brokers and mobile-money operators as first-class payment rails alongside banks — because in active conflict the banking network is often the last thing that works.</w:t>
      </w:r>
    </w:p>
    <w:p>
      <w:pPr>
        <w:pStyle w:val="ListParagraph"/>
        <w:numPr>
          <w:ilvl w:val="0"/>
          <w:numId w:val="2"/>
        </w:numPr>
        <w:spacing w:after="80"/>
      </w:pPr>
      <w:r>
        <w:t xml:space="preserve">Per-partner disbursement methods with kind-appropriate identifiers (broker office + recipient phone for hawala; MSISDN for mobile money; account details where banks operate) and per-method verification.</w:t>
      </w:r>
    </w:p>
    <w:p>
      <w:pPr>
        <w:pStyle w:val="ListParagraph"/>
        <w:numPr>
          <w:ilvl w:val="0"/>
          <w:numId w:val="2"/>
        </w:numPr>
        <w:spacing w:after="80"/>
      </w:pPr>
      <w:r>
        <w:t xml:space="preserve">Full disbursement lifecycle with multi-sig cosigning, photo and voice evidence attached to reports, and third-party verifier attestation via one-shot token links.</w:t>
      </w:r>
    </w:p>
    <w:p>
      <w:pPr>
        <w:pStyle w:val="Heading2"/>
      </w:pPr>
      <w:r>
        <w:t xml:space="preserve">5.6 Reporting without literacy barriers</w:t>
      </w:r>
    </w:p>
    <w:p>
      <w:pPr>
        <w:pStyle w:val="ListParagraph"/>
        <w:numPr>
          <w:ilvl w:val="0"/>
          <w:numId w:val="2"/>
        </w:numPr>
        <w:spacing w:after="80"/>
      </w:pPr>
      <w:r>
        <w:t xml:space="preserve">Report submission by long-lived token URL — shared over WhatsApp, opened on any phone, no login. An optional logged-in path exists for those who prefer it.</w:t>
      </w:r>
    </w:p>
    <w:p>
      <w:pPr>
        <w:pStyle w:val="ListParagraph"/>
        <w:numPr>
          <w:ilvl w:val="0"/>
          <w:numId w:val="2"/>
        </w:numPr>
        <w:spacing w:after="80"/>
      </w:pPr>
      <w:r>
        <w:t xml:space="preserve">Voice-first reporting: partners answer by voice note; Whisper transcribes (Arabic, Somali, Swahili included) and the text lands in the right fields. Photos captured straight from the phone camera become structured evidence.</w:t>
      </w:r>
    </w:p>
    <w:p>
      <w:pPr>
        <w:pStyle w:val="ListParagraph"/>
        <w:numPr>
          <w:ilvl w:val="0"/>
          <w:numId w:val="2"/>
        </w:numPr>
        <w:spacing w:after="80"/>
      </w:pPr>
      <w:r>
        <w:t xml:space="preserve">Partner acknowledgement loop: after submitting, the partner sees the OB’s thank-you and status — closing the loop matters when the reporter walked to a connectivity point to submit.</w:t>
      </w:r>
    </w:p>
    <w:p>
      <w:pPr>
        <w:pStyle w:val="ListParagraph"/>
        <w:numPr>
          <w:ilvl w:val="0"/>
          <w:numId w:val="2"/>
        </w:numPr>
        <w:spacing w:after="80"/>
      </w:pPr>
      <w:r>
        <w:t xml:space="preserve">Partner mini-portal (token URL): the partner’s whole story in one place — every disbursement, obligation, acknowledgement and outcome.</w:t>
      </w:r>
    </w:p>
    <w:p>
      <w:pPr>
        <w:pStyle w:val="Heading2"/>
      </w:pPr>
      <w:r>
        <w:t xml:space="preserve">5.7 The accountability triangle</w:t>
      </w:r>
    </w:p>
    <w:p>
      <w:pPr>
        <w:pStyle w:val="ListParagraph"/>
        <w:numPr>
          <w:ilvl w:val="0"/>
          <w:numId w:val="2"/>
        </w:numPr>
        <w:spacing w:after="80"/>
      </w:pPr>
      <w:r>
        <w:t xml:space="preserve">Community grievance channel (SoP 14): anonymous-first public form in Arabic and English at a memorable URL; anonymity is enforced server-side — if chosen, identity is never stored. OB triage queue with the 72-hour SLA clock.</w:t>
      </w:r>
    </w:p>
    <w:p>
      <w:pPr>
        <w:pStyle w:val="ListParagraph"/>
        <w:numPr>
          <w:ilvl w:val="0"/>
          <w:numId w:val="2"/>
        </w:numPr>
        <w:spacing w:after="80"/>
      </w:pPr>
      <w:r>
        <w:t xml:space="preserve">Partner right-to-know: the mini-portal shows a "decisions affecting you" timeline — every status change, screening outcome (redacted to cleared/flagged), and formal measure with the OB’s written rationale — plus a one-tap path to request review through the grievance channel.</w:t>
      </w:r>
    </w:p>
    <w:p>
      <w:pPr>
        <w:pStyle w:val="ListParagraph"/>
        <w:numPr>
          <w:ilvl w:val="0"/>
          <w:numId w:val="2"/>
        </w:numPr>
        <w:spacing w:after="80"/>
      </w:pPr>
      <w:r>
        <w:t xml:space="preserve">Public transparency page: total funds moved this year, partners by locality, sustained-outcome rate and active rounds — aggregates only, no personal data, refreshed daily from a cached snapshot so the public surface is never a live query path into operations.</w:t>
      </w:r>
    </w:p>
    <w:p>
      <w:pPr>
        <w:pStyle w:val="Heading2"/>
      </w:pPr>
      <w:r>
        <w:t xml:space="preserve">5.8 The donor confidence engine</w:t>
      </w:r>
    </w:p>
    <w:p>
      <w:pPr>
        <w:pStyle w:val="ListParagraph"/>
        <w:numPr>
          <w:ilvl w:val="0"/>
          <w:numId w:val="2"/>
        </w:numPr>
        <w:spacing w:after="80"/>
      </w:pPr>
      <w:r>
        <w:t xml:space="preserve">Agreement ingestion wizard: OB uploads the signed grant PDF; AI extracts amounts, dates, cadence, reporting requirements, deliverables and restrictions into a review-and-accept screen. Extraction confidence is shown; the human always confirms.</w:t>
      </w:r>
    </w:p>
    <w:p>
      <w:pPr>
        <w:pStyle w:val="ListParagraph"/>
        <w:numPr>
          <w:ilvl w:val="0"/>
          <w:numId w:val="2"/>
        </w:numPr>
        <w:spacing w:after="80"/>
      </w:pPr>
      <w:r>
        <w:t xml:space="preserve">Deliverables vs targets, live: progress on rounds and reports is computed from system data automatically; OB enters only what the system cannot know. Donors see honest progress bars labeled by source (live vs entered).</w:t>
      </w:r>
    </w:p>
    <w:p>
      <w:pPr>
        <w:pStyle w:val="ListParagraph"/>
        <w:numPr>
          <w:ilvl w:val="0"/>
          <w:numId w:val="2"/>
        </w:numPr>
        <w:spacing w:after="80"/>
      </w:pPr>
      <w:r>
        <w:t xml:space="preserve">AI-drafted donor reports from real data: executive summary, financial summary, impact narrative and compliance note generated from actual allocations, disbursements and outcomes under an explicit no-invented-numbers rule. Human edits are never silently overwritten.</w:t>
      </w:r>
    </w:p>
    <w:p>
      <w:pPr>
        <w:pStyle w:val="ListParagraph"/>
        <w:numPr>
          <w:ilvl w:val="0"/>
          <w:numId w:val="2"/>
        </w:numPr>
        <w:spacing w:after="80"/>
      </w:pPr>
      <w:r>
        <w:t xml:space="preserve">Per-requirement compliance scoring: each submitted report is scored 0-100 against every extracted requirement with met/partial/missing verdicts and reasons; late submissions cap the score. Donors see the same scores the OB sees.</w:t>
      </w:r>
    </w:p>
    <w:p>
      <w:pPr>
        <w:pStyle w:val="ListParagraph"/>
        <w:numPr>
          <w:ilvl w:val="0"/>
          <w:numId w:val="2"/>
        </w:numPr>
        <w:spacing w:after="80"/>
      </w:pPr>
      <w:r>
        <w:t xml:space="preserve">Reporting calendar automation: the system creates each grant’s next report by cadence, reminds at 30/14/3/0 days, and keeps next-due dates current — the OB never builds a reporting calendar by hand.</w:t>
      </w:r>
    </w:p>
    <w:p>
      <w:pPr>
        <w:pStyle w:val="ListParagraph"/>
        <w:numPr>
          <w:ilvl w:val="0"/>
          <w:numId w:val="2"/>
        </w:numPr>
        <w:spacing w:after="80"/>
      </w:pPr>
      <w:r>
        <w:t xml:space="preserve">Donor pack PDF: one download per grant — financial reconciliation (committed → allocated per round → disbursed → unallocated), deliverables vs targets, the full report timeline with compliance scores, the latest narrative, and an audit-chain anchor. Available to the OB and to the owning donor only.</w:t>
      </w:r>
    </w:p>
    <w:p>
      <w:pPr>
        <w:pStyle w:val="ListParagraph"/>
        <w:numPr>
          <w:ilvl w:val="0"/>
          <w:numId w:val="2"/>
        </w:numPr>
        <w:spacing w:after="80"/>
      </w:pPr>
      <w:r>
        <w:t xml:space="preserve">Donor portal with portfolio rollups, outcome theme clustering, monthly retrospective PDFs, and an AI Q&amp;A grounded in the donor’s own grants.</w:t>
      </w:r>
    </w:p>
    <w:p>
      <w:pPr>
        <w:pStyle w:val="Heading2"/>
      </w:pPr>
      <w:r>
        <w:t xml:space="preserve">5.9 The OB command center</w:t>
      </w:r>
    </w:p>
    <w:p>
      <w:pPr>
        <w:pStyle w:val="ListParagraph"/>
        <w:numPr>
          <w:ilvl w:val="0"/>
          <w:numId w:val="2"/>
        </w:numPr>
        <w:spacing w:after="80"/>
      </w:pPr>
      <w:r>
        <w:t xml:space="preserve">Operator dashboard organized around what needs attention now: expired intervention clocks, pending endorser KYC, new grievances, monitoring due — with one-tap workflow tiles into every queue.</w:t>
      </w:r>
    </w:p>
    <w:p>
      <w:pPr>
        <w:pStyle w:val="ListParagraph"/>
        <w:numPr>
          <w:ilvl w:val="0"/>
          <w:numId w:val="2"/>
        </w:numPr>
        <w:spacing w:after="80"/>
      </w:pPr>
      <w:r>
        <w:t xml:space="preserve">Crisis selector: curated early-warning signals plus manual entry, each with a "start a round from this signal" action that prefills round creation.</w:t>
      </w:r>
    </w:p>
    <w:p>
      <w:pPr>
        <w:pStyle w:val="ListParagraph"/>
        <w:numPr>
          <w:ilvl w:val="0"/>
          <w:numId w:val="2"/>
        </w:numPr>
        <w:spacing w:after="80"/>
      </w:pPr>
      <w:r>
        <w:t xml:space="preserve">Funding rounds with multi-sig activation, participant staging that advances automatically as evidence lands, and end-of-round report PDFs.</w:t>
      </w:r>
    </w:p>
    <w:p>
      <w:pPr>
        <w:pStyle w:val="ListParagraph"/>
        <w:numPr>
          <w:ilvl w:val="0"/>
          <w:numId w:val="2"/>
        </w:numPr>
        <w:spacing w:after="80"/>
      </w:pPr>
      <w:r>
        <w:t xml:space="preserve">Admin grants console: grant list with reporting-due indicators, grant detail with allocations, deliverables, report scoring, AI drafting and the donor pack — the full donor-management loop in one place.</w:t>
      </w:r>
    </w:p>
    <w:p>
      <w:pPr>
        <w:pStyle w:val="Heading1"/>
      </w:pPr>
      <w:r>
        <w:t xml:space="preserve">6. Functional requirements — Kuja Marketplace and NEAR (carried forward)</w:t>
      </w:r>
    </w:p>
    <w:p>
      <w:pPr>
        <w:spacing w:after="120"/>
      </w:pPr>
      <w:r>
        <w:t xml:space="preserve">The v6.0 requirement set remains fully in force; this section summarizes it. See v6.0 for the numbered detail.</w:t>
      </w:r>
    </w:p>
    <w:p>
      <w:pPr>
        <w:pStyle w:val="Heading2"/>
      </w:pPr>
      <w:r>
        <w:t xml:space="preserve">6.1 Marketplace — NGO experience</w:t>
      </w:r>
    </w:p>
    <w:p>
      <w:pPr>
        <w:pStyle w:val="ListParagraph"/>
        <w:numPr>
          <w:ilvl w:val="0"/>
          <w:numId w:val="3"/>
        </w:numPr>
        <w:spacing w:after="60"/>
      </w:pPr>
      <w:r>
        <w:rPr>
          <w:b w:val="false"/>
          <w:bCs w:val="false"/>
        </w:rPr>
        <w:t xml:space="preserve">Trust Profile: submit once, visible to every donor — registration verification, sanctions screening, financials, policies, five-framework capacity assessment, portable verifiable credential.</w:t>
      </w:r>
    </w:p>
    <w:p>
      <w:pPr>
        <w:pStyle w:val="ListParagraph"/>
        <w:numPr>
          <w:ilvl w:val="0"/>
          <w:numId w:val="3"/>
        </w:numPr>
        <w:spacing w:after="60"/>
      </w:pPr>
      <w:r>
        <w:rPr>
          <w:b w:val="false"/>
          <w:bCs w:val="false"/>
        </w:rPr>
        <w:t xml:space="preserve">AI-drafts-application, per-question guidance, live rubric preview, six-language AI translation, autosave/resume, natural-question field labels, readiness score before submit.</w:t>
      </w:r>
    </w:p>
    <w:p>
      <w:pPr>
        <w:pStyle w:val="ListParagraph"/>
        <w:numPr>
          <w:ilvl w:val="0"/>
          <w:numId w:val="3"/>
        </w:numPr>
        <w:spacing w:after="60"/>
      </w:pPr>
      <w:r>
        <w:rPr>
          <w:b w:val="false"/>
          <w:bCs w:val="false"/>
        </w:rPr>
        <w:t xml:space="preserve">Voice-to-report, photo-as-evidence, plain-language compliance flags (what / why / example / how / who can help), deadline negotiation in-app, audit-ready ZIP export.</w:t>
      </w:r>
    </w:p>
    <w:p>
      <w:pPr>
        <w:pStyle w:val="ListParagraph"/>
        <w:numPr>
          <w:ilvl w:val="0"/>
          <w:numId w:val="3"/>
        </w:numPr>
        <w:spacing w:after="60"/>
      </w:pPr>
      <w:r>
        <w:rPr>
          <w:b w:val="false"/>
          <w:bCs w:val="false"/>
        </w:rPr>
        <w:t xml:space="preserve">Why-rejected explainers and appeals: every decline comes with specific, actionable feedback — a decline should teach, not just close.</w:t>
      </w:r>
    </w:p>
    <w:p>
      <w:pPr>
        <w:pStyle w:val="Heading2"/>
      </w:pPr>
      <w:r>
        <w:t xml:space="preserve">6.2 NEAR — closed network fund</w:t>
      </w:r>
    </w:p>
    <w:p>
      <w:pPr>
        <w:pStyle w:val="ListParagraph"/>
        <w:numPr>
          <w:ilvl w:val="0"/>
          <w:numId w:val="3"/>
        </w:numPr>
        <w:spacing w:after="60"/>
      </w:pPr>
      <w:r>
        <w:rPr>
          <w:b w:val="false"/>
          <w:bCs w:val="false"/>
        </w:rPr>
        <w:t xml:space="preserve">Membership with mandatory capacity gate and admin-run formal vetting of registrations — the trust model Sudan cannot support, applied where it belongs.</w:t>
      </w:r>
    </w:p>
    <w:p>
      <w:pPr>
        <w:pStyle w:val="ListParagraph"/>
        <w:numPr>
          <w:ilvl w:val="0"/>
          <w:numId w:val="3"/>
        </w:numPr>
        <w:spacing w:after="60"/>
      </w:pPr>
      <w:r>
        <w:rPr>
          <w:b w:val="false"/>
          <w:bCs w:val="false"/>
        </w:rPr>
        <w:t xml:space="preserve">Emergency declarations as conversation (plain-language parsing) or 4-step wizard; multi-sig signing with conflict-of-interest handling; signature-pace coaching against the 6-day SLA.</w:t>
      </w:r>
    </w:p>
    <w:p>
      <w:pPr>
        <w:pStyle w:val="ListParagraph"/>
        <w:numPr>
          <w:ilvl w:val="0"/>
          <w:numId w:val="3"/>
        </w:numPr>
        <w:spacing w:after="60"/>
      </w:pPr>
      <w:r>
        <w:rPr>
          <w:b w:val="false"/>
          <w:bCs w:val="false"/>
        </w:rPr>
        <w:t xml:space="preserve">Funds, windows and evaluation rubrics with per-window operational rollups and AI-narrated top risks; governed release of applications; weekly crisis monitoring report.</w:t>
      </w:r>
    </w:p>
    <w:p>
      <w:pPr>
        <w:pStyle w:val="Heading2"/>
      </w:pPr>
      <w:r>
        <w:t xml:space="preserve">6.3 Donor and reviewer tooling (all tenants)</w:t>
      </w:r>
    </w:p>
    <w:p>
      <w:pPr>
        <w:pStyle w:val="ListParagraph"/>
        <w:numPr>
          <w:ilvl w:val="0"/>
          <w:numId w:val="3"/>
        </w:numPr>
        <w:spacing w:after="60"/>
      </w:pPr>
      <w:r>
        <w:rPr>
          <w:b w:val="false"/>
          <w:bCs w:val="false"/>
        </w:rPr>
        <w:t xml:space="preserve">Reviewer queues with AI summaries, side-by-side comparison, COI self-disclosure with auto-recusal, calibration nudges.</w:t>
      </w:r>
    </w:p>
    <w:p>
      <w:pPr>
        <w:pStyle w:val="ListParagraph"/>
        <w:numPr>
          <w:ilvl w:val="0"/>
          <w:numId w:val="3"/>
        </w:numPr>
        <w:spacing w:after="60"/>
      </w:pPr>
      <w:r>
        <w:rPr>
          <w:b w:val="false"/>
          <w:bCs w:val="false"/>
        </w:rPr>
        <w:t xml:space="preserve">Donor pipeline views, criteria templates, request-revision / request-documents flows, portfolio digests and PDF exports.</w:t>
      </w:r>
    </w:p>
    <w:p>
      <w:pPr>
        <w:pStyle w:val="Heading1"/>
      </w:pPr>
      <w:r>
        <w:t xml:space="preserve">7. Non-functional requirements</w:t>
      </w:r>
    </w:p>
    <w:p>
      <w:pPr>
        <w:pStyle w:val="Heading2"/>
      </w:pPr>
      <w:r>
        <w:t xml:space="preserve">7.1 Multi-tenancy</w:t>
      </w:r>
    </w:p>
    <w:p>
      <w:pPr>
        <w:pStyle w:val="ListParagraph"/>
        <w:numPr>
          <w:ilvl w:val="0"/>
          <w:numId w:val="3"/>
        </w:numPr>
        <w:spacing w:after="60"/>
      </w:pPr>
      <w:r>
        <w:rPr>
          <w:b w:val="false"/>
          <w:bCs w:val="false"/>
        </w:rPr>
        <w:t xml:space="preserve">Three tenant flavors — kuja, near, proximate — on one codebase. Tenant resolution by host header; flavor drives navigation, dashboards, status copy and defaults.</w:t>
      </w:r>
    </w:p>
    <w:p>
      <w:pPr>
        <w:pStyle w:val="ListParagraph"/>
        <w:numPr>
          <w:ilvl w:val="0"/>
          <w:numId w:val="3"/>
        </w:numPr>
        <w:spacing w:after="60"/>
      </w:pPr>
      <w:r>
        <w:rPr>
          <w:b w:val="false"/>
          <w:bCs w:val="false"/>
        </w:rPr>
        <w:t xml:space="preserve">Per-tenant audit-chain scoping; per-tenant AI cost ceilings with threshold alerts.</w:t>
      </w:r>
    </w:p>
    <w:p>
      <w:pPr>
        <w:pStyle w:val="Heading2"/>
      </w:pPr>
      <w:r>
        <w:t xml:space="preserve">7.2 Localization and accessibility</w:t>
      </w:r>
    </w:p>
    <w:p>
      <w:pPr>
        <w:pStyle w:val="ListParagraph"/>
        <w:numPr>
          <w:ilvl w:val="0"/>
          <w:numId w:val="3"/>
        </w:numPr>
        <w:spacing w:after="60"/>
      </w:pPr>
      <w:r>
        <w:rPr>
          <w:b w:val="false"/>
          <w:bCs w:val="false"/>
        </w:rPr>
        <w:t xml:space="preserve">Six UI languages (EN, FR, AR, SW, SO, ES) with enforced key parity; automatic RTL for Arabic.</w:t>
      </w:r>
    </w:p>
    <w:p>
      <w:pPr>
        <w:pStyle w:val="ListParagraph"/>
        <w:numPr>
          <w:ilvl w:val="0"/>
          <w:numId w:val="3"/>
        </w:numPr>
        <w:spacing w:after="60"/>
      </w:pPr>
      <w:r>
        <w:rPr>
          <w:b w:val="false"/>
          <w:bCs w:val="false"/>
        </w:rPr>
        <w:t xml:space="preserve">Proximate users default to Arabic. Partner-facing pages are hardcoded bilingual Arabic-first so they read correctly before any preference exists.</w:t>
      </w:r>
    </w:p>
    <w:p>
      <w:pPr>
        <w:pStyle w:val="ListParagraph"/>
        <w:numPr>
          <w:ilvl w:val="0"/>
          <w:numId w:val="3"/>
        </w:numPr>
        <w:spacing w:after="60"/>
      </w:pPr>
      <w:r>
        <w:rPr>
          <w:b w:val="false"/>
          <w:bCs w:val="false"/>
        </w:rPr>
        <w:t xml:space="preserve">Voice input and transcription lower the literacy floor; token links lower the digital-skills floor; PWA offline outbox lowers the connectivity floor.</w:t>
      </w:r>
    </w:p>
    <w:p>
      <w:pPr>
        <w:pStyle w:val="Heading2"/>
      </w:pPr>
      <w:r>
        <w:t xml:space="preserve">7.3 AI reliability and governance</w:t>
      </w:r>
    </w:p>
    <w:p>
      <w:pPr>
        <w:pStyle w:val="ListParagraph"/>
        <w:numPr>
          <w:ilvl w:val="0"/>
          <w:numId w:val="3"/>
        </w:numPr>
        <w:spacing w:after="60"/>
      </w:pPr>
      <w:r>
        <w:rPr>
          <w:b w:val="false"/>
          <w:bCs w:val="false"/>
        </w:rPr>
        <w:t xml:space="preserve">Every AI surface has a non-AI fallback; AI failures degrade to manual paths, never to dead ends.</w:t>
      </w:r>
    </w:p>
    <w:p>
      <w:pPr>
        <w:pStyle w:val="ListParagraph"/>
        <w:numPr>
          <w:ilvl w:val="0"/>
          <w:numId w:val="3"/>
        </w:numPr>
        <w:spacing w:after="60"/>
      </w:pPr>
      <w:r>
        <w:rPr>
          <w:b w:val="false"/>
          <w:bCs w:val="false"/>
        </w:rPr>
        <w:t xml:space="preserve">Replay-logged AI calls, acceptance/edit/dismiss telemetry per surface, false-confidence monitoring, model-usage audit.</w:t>
      </w:r>
    </w:p>
    <w:p>
      <w:pPr>
        <w:pStyle w:val="Heading2"/>
      </w:pPr>
      <w:r>
        <w:t xml:space="preserve">7.4 Security</w:t>
      </w:r>
    </w:p>
    <w:p>
      <w:pPr>
        <w:pStyle w:val="ListParagraph"/>
        <w:numPr>
          <w:ilvl w:val="0"/>
          <w:numId w:val="3"/>
        </w:numPr>
        <w:spacing w:after="60"/>
      </w:pPr>
      <w:r>
        <w:rPr>
          <w:b w:val="false"/>
          <w:bCs w:val="false"/>
        </w:rPr>
        <w:t xml:space="preserve">TOTP and WebAuthn 2FA; CSRF protection on all mutating API calls; account lockout monitoring.</w:t>
      </w:r>
    </w:p>
    <w:p>
      <w:pPr>
        <w:pStyle w:val="ListParagraph"/>
        <w:numPr>
          <w:ilvl w:val="0"/>
          <w:numId w:val="3"/>
        </w:numPr>
        <w:spacing w:after="60"/>
      </w:pPr>
      <w:r>
        <w:rPr>
          <w:b w:val="false"/>
          <w:bCs w:val="false"/>
        </w:rPr>
        <w:t xml:space="preserve">Hash-chained, exportable audit trail across all governance actions; named entities everywhere (no anonymous "User #N").</w:t>
      </w:r>
    </w:p>
    <w:p>
      <w:pPr>
        <w:pStyle w:val="ListParagraph"/>
        <w:numPr>
          <w:ilvl w:val="0"/>
          <w:numId w:val="3"/>
        </w:numPr>
        <w:spacing w:after="60"/>
      </w:pPr>
      <w:r>
        <w:rPr>
          <w:b w:val="false"/>
          <w:bCs w:val="false"/>
        </w:rPr>
        <w:t xml:space="preserve">Automated sanctions/adverse-media machinery as described in 5.4 — compliance is a system property, not a checklist.</w:t>
      </w:r>
    </w:p>
    <w:p>
      <w:pPr>
        <w:pStyle w:val="Heading2"/>
      </w:pPr>
      <w:r>
        <w:t xml:space="preserve">7.5 Performance and availability</w:t>
      </w:r>
    </w:p>
    <w:p>
      <w:pPr>
        <w:pStyle w:val="ListParagraph"/>
        <w:numPr>
          <w:ilvl w:val="0"/>
          <w:numId w:val="3"/>
        </w:numPr>
        <w:spacing w:after="60"/>
      </w:pPr>
      <w:r>
        <w:rPr>
          <w:b w:val="false"/>
          <w:bCs w:val="false"/>
        </w:rPr>
        <w:t xml:space="preserve">99% monthly availability target; p50 &lt; 500ms on health; p95 &lt; 2s on authenticated reads; submit-path latency budget enforced in CI.</w:t>
      </w:r>
    </w:p>
    <w:p>
      <w:pPr>
        <w:pStyle w:val="ListParagraph"/>
        <w:numPr>
          <w:ilvl w:val="0"/>
          <w:numId w:val="3"/>
        </w:numPr>
        <w:spacing w:after="60"/>
      </w:pPr>
      <w:r>
        <w:rPr>
          <w:b w:val="false"/>
          <w:bCs w:val="false"/>
        </w:rPr>
        <w:t xml:space="preserve">Automated schema reconciliation on boot — new columns deploy without migration downtime.</w:t>
      </w:r>
    </w:p>
    <w:p>
      <w:pPr>
        <w:pStyle w:val="Heading1"/>
      </w:pPr>
      <w:r>
        <w:t xml:space="preserve">8. Operational dependencies (engineering-ready, awaiting accounts)</w:t>
      </w:r>
    </w:p>
    <w:p>
      <w:pPr>
        <w:spacing w:after="120"/>
      </w:pPr>
      <w:r>
        <w:t xml:space="preserve">Each item below is blocked only on a third-party account or credential. The engineering on our side is scoped — several are wired to the exact emit-points already running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CCCCCC" w:sz="1"/>
              <w:left w:val="single" w:color="CCCCCC" w:sz="1"/>
              <w:bottom w:val="single" w:color="CCCCCC" w:sz="1"/>
              <w:right w:val="single" w:color="CCCCCC" w:sz="1"/>
            </w:tcBorders>
            <w:shd w:fill="E4EFEA" w:val="clear"/>
            <w:tcMar>
              <w:top w:type="dxa" w:w="80"/>
              <w:left w:type="dxa" w:w="120"/>
              <w:bottom w:type="dxa" w:w="80"/>
              <w:right w:type="dxa" w:w="120"/>
            </w:tcMar>
          </w:tcPr>
          <w:p>
            <w:r>
              <w:rPr>
                <w:b/>
                <w:bCs/>
                <w:sz w:val="20"/>
                <w:szCs w:val="20"/>
              </w:rPr>
              <w:t xml:space="preserve">Dependency</w:t>
            </w:r>
          </w:p>
        </w:tc>
        <w:tc>
          <w:tcPr>
            <w:tcW w:type="dxa" w:w="3300"/>
            <w:tcBorders>
              <w:top w:val="single" w:color="CCCCCC" w:sz="1"/>
              <w:left w:val="single" w:color="CCCCCC" w:sz="1"/>
              <w:bottom w:val="single" w:color="CCCCCC" w:sz="1"/>
              <w:right w:val="single" w:color="CCCCCC" w:sz="1"/>
            </w:tcBorders>
            <w:shd w:fill="E4EFEA" w:val="clear"/>
            <w:tcMar>
              <w:top w:type="dxa" w:w="80"/>
              <w:left w:type="dxa" w:w="120"/>
              <w:bottom w:type="dxa" w:w="80"/>
              <w:right w:type="dxa" w:w="120"/>
            </w:tcMar>
          </w:tcPr>
          <w:p>
            <w:r>
              <w:rPr>
                <w:b/>
                <w:bCs/>
                <w:sz w:val="20"/>
                <w:szCs w:val="20"/>
              </w:rPr>
              <w:t xml:space="preserve">What it unlocks</w:t>
            </w:r>
          </w:p>
        </w:tc>
        <w:tc>
          <w:tcPr>
            <w:tcW w:type="dxa" w:w="3260"/>
            <w:tcBorders>
              <w:top w:val="single" w:color="CCCCCC" w:sz="1"/>
              <w:left w:val="single" w:color="CCCCCC" w:sz="1"/>
              <w:bottom w:val="single" w:color="CCCCCC" w:sz="1"/>
              <w:right w:val="single" w:color="CCCCCC" w:sz="1"/>
            </w:tcBorders>
            <w:shd w:fill="E4EFEA" w:val="clear"/>
            <w:tcMar>
              <w:top w:type="dxa" w:w="80"/>
              <w:left w:type="dxa" w:w="120"/>
              <w:bottom w:type="dxa" w:w="80"/>
              <w:right w:type="dxa" w:w="120"/>
            </w:tcMar>
          </w:tcPr>
          <w:p>
            <w:r>
              <w:rPr>
                <w:b/>
                <w:bCs/>
                <w:sz w:val="20"/>
                <w:szCs w:val="20"/>
              </w:rPr>
              <w:t xml:space="preserve">Owner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WhatsApp Business API</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Programmatic sends of token links, report reminders and grievance acknowledgements (today the OB shares manually via deep links)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Adeso opens a Meta Business sender; templates pre-approved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Twilio / Africa’s Talking SMS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Reach the ~30% of rural Sudan users without WhatsApp</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Provider account + Railway env vars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Object storage (R2)</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Embedded photo/voice evidence in donor packs; durable media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Create bucket + credentials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DNS + SMTP</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Branded URLs on printed outreach; email notifications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DNS records; mail credentials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CRON_SECRET repo secret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Scheduled crons fire from GitHub Actions (endpoints already live and verified)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Add the existing secret to the GitHub repo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Sudanese-Arabic reviewer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Dialect-native partner-facing strings (current Arabic is MSA)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Engage translator (~2 days of string swaps)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TTS voices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Fully voice-only flow for zero-literacy partners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Provider selection</w:t>
            </w:r>
          </w:p>
        </w:tc>
      </w:tr>
    </w:tbl>
    <w:p>
      <w:pPr>
        <w:pStyle w:val="Heading1"/>
      </w:pPr>
      <w:r>
        <w:t xml:space="preserve">9. Success measures</w:t>
      </w:r>
    </w:p>
    <w:p>
      <w:pPr>
        <w:pStyle w:val="ListParagraph"/>
        <w:numPr>
          <w:ilvl w:val="0"/>
          <w:numId w:val="3"/>
        </w:numPr>
        <w:spacing w:after="60"/>
      </w:pPr>
      <w:r>
        <w:rPr>
          <w:b w:val="false"/>
          <w:bCs w:val="false"/>
        </w:rPr>
        <w:t xml:space="preserve">Time from community nomination to first disbursement — the number the whole design serves.</w:t>
      </w:r>
    </w:p>
    <w:p>
      <w:pPr>
        <w:pStyle w:val="ListParagraph"/>
        <w:numPr>
          <w:ilvl w:val="0"/>
          <w:numId w:val="3"/>
        </w:numPr>
        <w:spacing w:after="60"/>
      </w:pPr>
      <w:r>
        <w:rPr>
          <w:b w:val="false"/>
          <w:bCs w:val="false"/>
        </w:rPr>
        <w:t xml:space="preserve">Share of partners onboarded and reporting with zero account creation (token-link flows).</w:t>
      </w:r>
    </w:p>
    <w:p>
      <w:pPr>
        <w:pStyle w:val="ListParagraph"/>
        <w:numPr>
          <w:ilvl w:val="0"/>
          <w:numId w:val="3"/>
        </w:numPr>
        <w:spacing w:after="60"/>
      </w:pPr>
      <w:r>
        <w:rPr>
          <w:b w:val="false"/>
          <w:bCs w:val="false"/>
        </w:rPr>
        <w:t xml:space="preserve">Report and outcome-attestation submission rates via voice/token paths.</w:t>
      </w:r>
    </w:p>
    <w:p>
      <w:pPr>
        <w:pStyle w:val="ListParagraph"/>
        <w:numPr>
          <w:ilvl w:val="0"/>
          <w:numId w:val="3"/>
        </w:numPr>
        <w:spacing w:after="60"/>
      </w:pPr>
      <w:r>
        <w:rPr>
          <w:b w:val="false"/>
          <w:bCs w:val="false"/>
        </w:rPr>
        <w:t xml:space="preserve">SoP adherence measured by the system itself: intervention clocks met, grievances triaged inside 72 hours, screening coverage at 100% of entry events.</w:t>
      </w:r>
    </w:p>
    <w:p>
      <w:pPr>
        <w:pStyle w:val="ListParagraph"/>
        <w:numPr>
          <w:ilvl w:val="0"/>
          <w:numId w:val="3"/>
        </w:numPr>
        <w:spacing w:after="60"/>
      </w:pPr>
      <w:r>
        <w:rPr>
          <w:b w:val="false"/>
          <w:bCs w:val="false"/>
        </w:rPr>
        <w:t xml:space="preserve">Donor confidence: compliance scores trending up, donor pack usage, repeat funding into subsequent rounds.</w:t>
      </w:r>
    </w:p>
    <w:p>
      <w:pPr>
        <w:pStyle w:val="ListParagraph"/>
        <w:numPr>
          <w:ilvl w:val="0"/>
          <w:numId w:val="3"/>
        </w:numPr>
        <w:spacing w:after="60"/>
      </w:pPr>
      <w:r>
        <w:rPr>
          <w:b w:val="false"/>
          <w:bCs w:val="false"/>
        </w:rPr>
        <w:t xml:space="preserve">Public sustained-outcome rate on the transparency page — accountability visible to the communities 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Kuja Grant Management — Business Requirements v7.0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F6F5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2026-07-06T00:13:24.756Z</dcterms:created>
  <dcterms:modified xsi:type="dcterms:W3CDTF">2026-07-06T00:13:24.758Z</dcterms:modified>
</cp:coreProperties>
</file>

<file path=docProps/custom.xml><?xml version="1.0" encoding="utf-8"?>
<Properties xmlns="http://schemas.openxmlformats.org/officeDocument/2006/custom-properties" xmlns:vt="http://schemas.openxmlformats.org/officeDocument/2006/docPropsVTypes"/>
</file>