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b/>
          <w:bCs/>
          <w:color w:val="173F35"/>
          <w:sz w:val="40"/>
          <w:szCs w:val="40"/>
          <w:rFonts w:ascii="Calibri" w:cs="Calibri" w:eastAsia="Calibri" w:hAnsi="Calibri"/>
        </w:rPr>
        <w:t xml:space="preserve">Proximate Fund</w:t>
      </w:r>
    </w:p>
    <w:p>
      <w:pPr>
        <w:pBdr>
          <w:bottom w:val="single" w:color="DBE9AA" w:sz="18" w:space="6"/>
        </w:pBdr>
        <w:spacing w:after="240"/>
      </w:pPr>
      <w:r>
        <w:rPr>
          <w:color w:val="225648"/>
          <w:sz w:val="22"/>
          <w:szCs w:val="22"/>
          <w:rFonts w:ascii="Calibri" w:cs="Calibri" w:eastAsia="Calibri" w:hAnsi="Calibri"/>
        </w:rPr>
        <w:t xml:space="preserve">Platform Update — UI/UX &amp; workflow QA response, 3 August 2026</w:t>
      </w:r>
    </w:p>
    <w:p>
      <w:pPr>
        <w:spacing w:after="120" w:line="264"/>
      </w:pPr>
      <w:r>
        <w:rPr>
          <w:color w:val="5B6560"/>
          <w:sz w:val="18"/>
          <w:szCs w:val="18"/>
          <w:rFonts w:ascii="Calibri" w:cs="Calibri" w:eastAsia="Calibri" w:hAnsi="Calibri"/>
        </w:rPr>
        <w:t xml:space="preserve">For the Adeso / Proximate team  ·  3 August 2026  ·  Live: </w:t>
      </w:r>
      <w:r>
        <w:rPr>
          <w:b/>
          <w:bCs/>
          <w:color w:val="225648"/>
          <w:sz w:val="18"/>
          <w:szCs w:val="18"/>
          <w:rFonts w:ascii="Calibri" w:cs="Calibri" w:eastAsia="Calibri" w:hAnsi="Calibri"/>
        </w:rPr>
        <w:t xml:space="preserve">web-production-6f8a.up.railway.app</w:t>
      </w:r>
    </w:p>
    <w:tbl>
      <w:tblPr>
        <w:tblW w:type="pct" w:w="100%"/>
        <w:tblBorders>
          <w:top w:val="single" w:color="CFDBC7" w:sz="6"/>
          <w:left w:val="single" w:color="CFDBC7" w:sz="6"/>
          <w:bottom w:val="single" w:color="CFDBC7" w:sz="6"/>
          <w:right w:val="single" w:color="CFDBC7" w:sz="6"/>
          <w:insideH w:val="single" w:color="CFDBC7" w:sz="6"/>
          <w:insideV w:val="single" w:color="CFDBC7" w:sz="6"/>
        </w:tblBorders>
      </w:tblPr>
      <w:tblGrid>
        <w:gridCol w:w="100"/>
      </w:tblGrid>
      <w:tr>
        <w:tc>
          <w:tcPr>
            <w:shd w:fill="EDF2E8" w:color="auto" w:val="clear"/>
            <w:tcMar>
              <w:top w:type="dxa" w:w="120"/>
              <w:left w:type="dxa" w:w="160"/>
              <w:bottom w:type="dxa" w:w="120"/>
              <w:right w:type="dxa" w:w="160"/>
            </w:tcMar>
          </w:tcPr>
          <w:p>
            <w:pPr>
              <w:spacing w:after="40"/>
            </w:pPr>
            <w:r>
              <w:rPr>
                <w:b/>
                <w:bCs/>
                <w:color w:val="173F35"/>
                <w:sz w:val="21"/>
                <w:szCs w:val="21"/>
                <w:rFonts w:ascii="Calibri" w:cs="Calibri" w:eastAsia="Calibri" w:hAnsi="Calibri"/>
              </w:rPr>
              <w:t xml:space="preserve">The short version</w:t>
            </w:r>
          </w:p>
          <w:p>
            <w:r>
              <w:rPr>
                <w:color w:val="1C2925"/>
                <w:sz w:val="20"/>
                <w:szCs w:val="20"/>
                <w:rFonts w:ascii="Calibri" w:cs="Calibri" w:eastAsia="Calibri" w:hAnsi="Calibri"/>
              </w:rPr>
              <w:t xml:space="preserve">The operations review raised fourteen items. Six are built, tested and deployed today; eight remain open, and one of those is deliberately blocked pending a question back to the reviewer. Two of the six came out differently from the ticket as written, because checking the code first showed the diagnosis was aimed at the wrong screen — those are explained in full below rather than quietly changed. We also added one thing nobody asked for, because the geography work made it obvious: a “use my location” button that fills the State field. Section 3 explains why it stores a state and deliberately throws the coordinates away. The three big page restructures are NOT built, and this document argues they should be shaped in a room with Khalid and Marwa rather than built from a specification.</w:t>
            </w:r>
          </w:p>
        </w:tc>
      </w:tr>
    </w:tbl>
    <w:p>
      <w:r>
        <w:br w:type="page"/>
      </w:r>
    </w:p>
    <w:p>
      <w:pPr>
        <w:pStyle w:val="Heading1"/>
        <w:spacing w:before="300" w:after="100"/>
      </w:pPr>
      <w:r>
        <w:rPr>
          <w:b/>
          <w:bCs/>
          <w:color w:val="173F35"/>
          <w:sz w:val="28"/>
          <w:szCs w:val="28"/>
          <w:rFonts w:ascii="Calibri" w:cs="Calibri" w:eastAsia="Calibri" w:hAnsi="Calibri"/>
        </w:rPr>
        <w:t xml:space="preserve">1.  What changed today</w:t>
      </w:r>
    </w:p>
    <w:p>
      <w:pPr>
        <w:spacing w:after="120" w:line="264"/>
      </w:pPr>
      <w:r>
        <w:rPr>
          <w:color w:val="1C2925"/>
          <w:sz w:val="21"/>
          <w:szCs w:val="21"/>
          <w:rFonts w:ascii="Calibri" w:cs="Calibri" w:eastAsia="Calibri" w:hAnsi="Calibri"/>
        </w:rPr>
        <w:t xml:space="preserve">Seven items, all live. Six answer the review; the last was added on top of it. Each was verified against the running system rather than assumed — how, is in section 5.</w:t>
      </w:r>
    </w:p>
    <w:tbl>
      <w:tblPr>
        <w:tblW w:type="pct" w:w="100%"/>
        <w:tblBorders>
          <w:top w:val="single" w:color="D7DDD7" w:sz="4"/>
          <w:left w:val="single" w:color="D7DDD7" w:sz="4"/>
          <w:bottom w:val="single" w:color="D7DDD7" w:sz="4"/>
          <w:right w:val="single" w:color="D7DDD7" w:sz="4"/>
          <w:insideH w:val="single" w:color="D7DDD7" w:sz="4"/>
          <w:insideV w:val="single" w:color="D7DDD7" w:sz="4"/>
        </w:tblBorders>
      </w:tblPr>
      <w:tblGrid>
        <w:gridCol w:w="3264"/>
        <w:gridCol w:w="6336"/>
      </w:tblGrid>
      <w:tr>
        <w:trPr>
          <w:tblHeader/>
        </w:trPr>
        <w:tc>
          <w:tcPr>
            <w:tcW w:type="pct" w:w="34%"/>
            <w:shd w:fill="173F35" w:color="auto" w:val="clear"/>
            <w:tcMar>
              <w:top w:type="dxa" w:w="70"/>
              <w:left w:type="dxa" w:w="90"/>
              <w:bottom w:type="dxa" w:w="70"/>
              <w:right w:type="dxa" w:w="90"/>
            </w:tcMar>
            <w:vAlign w:val="center"/>
          </w:tcPr>
          <w:p>
            <w:pPr>
              <w:jc w:val="left"/>
            </w:pPr>
            <w:r>
              <w:rPr>
                <w:b/>
                <w:bCs/>
                <w:color w:val="FFFFFF"/>
                <w:sz w:val="17"/>
                <w:szCs w:val="17"/>
                <w:rFonts w:ascii="Calibri" w:cs="Calibri" w:eastAsia="Calibri" w:hAnsi="Calibri"/>
              </w:rPr>
              <w:t xml:space="preserve">What you will notice</w:t>
            </w:r>
          </w:p>
        </w:tc>
        <w:tc>
          <w:tcPr>
            <w:tcW w:type="pct" w:w="66%"/>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Detail</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Only one menu item highlights at a time</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Opening Partners used to leave Dashboard highlighted as well, so you could not tell which section you were in. Fixed — and the same fault was waiting on Endorsers and Messages, so those are fixed too.</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Test records are out of the way</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QA Fixture, UAT and demo rows are hidden by default on both the Partners register and the Disbursements list. A button tells you how many are hidden and brings them back in one click. Nothing is deleted.</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Country and State are now proper dropdowns</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Sudan's 18 states are a fixed list on the nomination form. Choosing a different country clears the state, so a record can never end up saying “Blue Nile, Chad”.</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Bank details are tucked away at nomination</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On the staff nomination form the bank block is collapsed by default, with the reason on screen. One click opens it for a partner already through due diligence.</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Due dates do the arithmetic for you</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A disbursement row now reads “due 15 Aug (8 days overdue)” in red, or “due in 12 days”, instead of leaving you to work it out.</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The copy button says what it copies</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“Copy partner link” is now “Copy report link”, because that is the only thing it has ever copied.</w:t>
            </w:r>
          </w:p>
        </w:tc>
      </w:tr>
      <w:tr>
        <w:tc>
          <w:tcPr>
            <w:tcW w:type="pct" w:w="34%"/>
            <w:tcMar>
              <w:top w:type="dxa" w:w="60"/>
              <w:left w:type="dxa" w:w="90"/>
              <w:bottom w:type="dxa" w:w="60"/>
              <w:right w:type="dxa" w:w="90"/>
            </w:tcMar>
            <w:vAlign w:val="center"/>
          </w:tcPr>
          <w:p>
            <w:pPr>
              <w:jc w:val="left"/>
            </w:pPr>
            <w:r>
              <w:rPr>
                <w:b/>
                <w:bCs/>
                <w:color w:val="225648"/>
                <w:sz w:val="17"/>
                <w:szCs w:val="17"/>
                <w:rFonts w:ascii="Calibri" w:cs="Calibri" w:eastAsia="Calibri" w:hAnsi="Calibri"/>
              </w:rPr>
              <w:t xml:space="preserve">“Use my location” fills the State field</w:t>
            </w:r>
          </w:p>
        </w:tc>
        <w:tc>
          <w:tcPr>
            <w:tcW w:type="pct" w:w="66%"/>
            <w:tcMar>
              <w:top w:type="dxa" w:w="60"/>
              <w:left w:type="dxa" w:w="90"/>
              <w:bottom w:type="dxa" w:w="60"/>
              <w:right w:type="dxa" w:w="90"/>
            </w:tcMar>
            <w:vAlign w:val="center"/>
          </w:tcPr>
          <w:p>
            <w:pPr>
              <w:jc w:val="left"/>
            </w:pPr>
            <w:r>
              <w:rPr>
                <w:color w:val="1C2925"/>
                <w:sz w:val="17"/>
                <w:szCs w:val="17"/>
                <w:rFonts w:ascii="Calibri" w:cs="Calibri" w:eastAsia="Calibri" w:hAnsi="Calibri"/>
              </w:rPr>
              <w:t xml:space="preserve">On the nomination form, one tap sets the state from where the device is. It never stores or sends a coordinate — see section 3, which is worth reading before anyone is asked about it.</w:t>
            </w:r>
          </w:p>
        </w:tc>
      </w:tr>
    </w:tbl>
    <w:p>
      <w:r>
        <w:br w:type="page"/>
      </w:r>
    </w:p>
    <w:p>
      <w:pPr>
        <w:pStyle w:val="Heading1"/>
        <w:spacing w:before="300" w:after="100"/>
      </w:pPr>
      <w:r>
        <w:rPr>
          <w:b/>
          <w:bCs/>
          <w:color w:val="173F35"/>
          <w:sz w:val="28"/>
          <w:szCs w:val="28"/>
          <w:rFonts w:ascii="Calibri" w:cs="Calibri" w:eastAsia="Calibri" w:hAnsi="Calibri"/>
        </w:rPr>
        <w:t xml:space="preserve">2.  Where we differed from the feedback, and why</w:t>
      </w:r>
    </w:p>
    <w:p>
      <w:pPr>
        <w:spacing w:after="120" w:line="264"/>
      </w:pPr>
      <w:r>
        <w:rPr>
          <w:color w:val="1C2925"/>
          <w:sz w:val="21"/>
          <w:szCs w:val="21"/>
          <w:rFonts w:ascii="Calibri" w:cs="Calibri" w:eastAsia="Calibri" w:hAnsi="Calibri"/>
        </w:rPr>
        <w:t xml:space="preserve">Five places. In each case the underlying observation was fair; what changed was the diagnosis, and therefore the fix. We are writing these out in full because a QA note that gets silently reinterpreted stops being useful to the person who wrote it.</w:t>
      </w:r>
    </w:p>
    <w:p>
      <w:pPr>
        <w:spacing w:after="40"/>
      </w:pPr>
    </w:p>
    <w:p>
      <w:pPr>
        <w:pStyle w:val="Heading3"/>
        <w:spacing w:before="140" w:after="50"/>
      </w:pPr>
      <w:r>
        <w:rPr>
          <w:b/>
          <w:bCs/>
          <w:color w:val="1C2925"/>
          <w:sz w:val="22"/>
          <w:szCs w:val="22"/>
          <w:rFonts w:ascii="Calibri" w:cs="Calibri" w:eastAsia="Calibri" w:hAnsi="Calibri"/>
        </w:rPr>
        <w:t xml:space="preserve">2.1  Bank details — right instinct, wrong screen</w:t>
      </w:r>
    </w:p>
    <w:p>
      <w:pPr>
        <w:spacing w:after="120" w:line="264"/>
      </w:pPr>
      <w:r>
        <w:rPr>
          <w:b/>
          <w:bCs/>
          <w:color w:val="1C2925"/>
          <w:sz w:val="21"/>
          <w:szCs w:val="21"/>
          <w:rFonts w:ascii="Calibri" w:cs="Calibri" w:eastAsia="Calibri" w:hAnsi="Calibri"/>
        </w:rPr>
        <w:t xml:space="preserve">The ticket said: </w:t>
      </w:r>
      <w:r>
        <w:rPr>
          <w:color w:val="1C2925"/>
          <w:sz w:val="21"/>
          <w:szCs w:val="21"/>
          <w:rFonts w:ascii="Calibri" w:cs="Calibri" w:eastAsia="Calibri" w:hAnsi="Calibri"/>
        </w:rPr>
        <w:t xml:space="preserve">remove banking fields from the first-stage nomination form, because collecting them early implies to partners that funding is guaranteed.</w:t>
      </w:r>
    </w:p>
    <w:p>
      <w:pPr>
        <w:spacing w:after="120" w:line="264"/>
      </w:pPr>
      <w:r>
        <w:rPr>
          <w:b/>
          <w:bCs/>
          <w:color w:val="1C2925"/>
          <w:sz w:val="21"/>
          <w:szCs w:val="21"/>
          <w:rFonts w:ascii="Calibri" w:cs="Calibri" w:eastAsia="Calibri" w:hAnsi="Calibri"/>
        </w:rPr>
        <w:t xml:space="preserve">What we found: </w:t>
      </w:r>
      <w:r>
        <w:rPr>
          <w:color w:val="1C2925"/>
          <w:sz w:val="21"/>
          <w:szCs w:val="21"/>
          <w:rFonts w:ascii="Calibri" w:cs="Calibri" w:eastAsia="Calibri" w:hAnsi="Calibri"/>
        </w:rPr>
        <w:t xml:space="preserve">there are TWO nomination forms. The partner-facing one carries no bank fields at all and says so on the page — “No bank details are asked on this form.” The form with account holder, account number and bank name is the SECRETARIAT form, which only Adeso staff can reach. Partners never see it.</w:t>
      </w:r>
    </w:p>
    <w:p>
      <w:pPr>
        <w:spacing w:after="120" w:line="264"/>
      </w:pPr>
      <w:r>
        <w:rPr>
          <w:b/>
          <w:bCs/>
          <w:color w:val="1C2925"/>
          <w:sz w:val="21"/>
          <w:szCs w:val="21"/>
          <w:rFonts w:ascii="Calibri" w:cs="Calibri" w:eastAsia="Calibri" w:hAnsi="Calibri"/>
        </w:rPr>
        <w:t xml:space="preserve">So the stated risk cannot occur. </w:t>
      </w:r>
      <w:r>
        <w:rPr>
          <w:color w:val="1C2925"/>
          <w:sz w:val="21"/>
          <w:szCs w:val="21"/>
          <w:rFonts w:ascii="Calibri" w:cs="Calibri" w:eastAsia="Calibri" w:hAnsi="Calibri"/>
        </w:rPr>
        <w:t xml:space="preserve">We still made the change, for a different and we think stronger reason: holding account numbers for organisations that may never be funded is unnecessary data collection, and in Sudan that is a safeguarding question rather than a tidiness one. That reasoning produces a much smaller change — collapse the block behind a disclosure — instead of restructuring an intake flow that is already correct. We deliberately did not touch the partner-facing form.</w:t>
      </w:r>
    </w:p>
    <w:p>
      <w:pPr>
        <w:spacing w:after="40"/>
      </w:pPr>
    </w:p>
    <w:p>
      <w:pPr>
        <w:pStyle w:val="Heading3"/>
        <w:spacing w:before="140" w:after="50"/>
      </w:pPr>
      <w:r>
        <w:rPr>
          <w:b/>
          <w:bCs/>
          <w:color w:val="1C2925"/>
          <w:sz w:val="22"/>
          <w:szCs w:val="22"/>
          <w:rFonts w:ascii="Calibri" w:cs="Calibri" w:eastAsia="Calibri" w:hAnsi="Calibri"/>
        </w:rPr>
        <w:t xml:space="preserve">2.2  The sidebar — not a route-detection bug</w:t>
      </w:r>
    </w:p>
    <w:p>
      <w:pPr>
        <w:spacing w:after="120" w:line="264"/>
      </w:pPr>
      <w:r>
        <w:rPr>
          <w:b/>
          <w:bCs/>
          <w:color w:val="1C2925"/>
          <w:sz w:val="21"/>
          <w:szCs w:val="21"/>
          <w:rFonts w:ascii="Calibri" w:cs="Calibri" w:eastAsia="Calibri" w:hAnsi="Calibri"/>
        </w:rPr>
        <w:t xml:space="preserve">The ticket said: </w:t>
      </w:r>
      <w:r>
        <w:rPr>
          <w:color w:val="1C2925"/>
          <w:sz w:val="21"/>
          <w:szCs w:val="21"/>
          <w:rFonts w:ascii="Calibri" w:cs="Calibri" w:eastAsia="Calibri" w:hAnsi="Calibri"/>
        </w:rPr>
        <w:t xml:space="preserve">fix active route detection so only one item is highlighted.</w:t>
      </w:r>
    </w:p>
    <w:p>
      <w:pPr>
        <w:spacing w:after="120" w:line="264"/>
      </w:pPr>
      <w:r>
        <w:rPr>
          <w:b/>
          <w:bCs/>
          <w:color w:val="1C2925"/>
          <w:sz w:val="21"/>
          <w:szCs w:val="21"/>
          <w:rFonts w:ascii="Calibri" w:cs="Calibri" w:eastAsia="Calibri" w:hAnsi="Calibri"/>
        </w:rPr>
        <w:t xml:space="preserve">What it actually was: </w:t>
      </w:r>
      <w:r>
        <w:rPr>
          <w:color w:val="1C2925"/>
          <w:sz w:val="21"/>
          <w:szCs w:val="21"/>
          <w:rFonts w:ascii="Calibri" w:cs="Calibri" w:eastAsia="Calibri" w:hAnsi="Calibri"/>
        </w:rPr>
        <w:t xml:space="preserve">a prefix collision. The Dashboard address is /proximate/admin and Partners is /proximate/admin/partners — the first is contained inside the second, and the code was asking “does the current page start with this address?” Both answered yes.</w:t>
      </w:r>
    </w:p>
    <w:p>
      <w:pPr>
        <w:spacing w:after="120" w:line="264"/>
      </w:pPr>
      <w:r>
        <w:rPr>
          <w:b/>
          <w:bCs/>
          <w:color w:val="1C2925"/>
          <w:sz w:val="21"/>
          <w:szCs w:val="21"/>
          <w:rFonts w:ascii="Calibri" w:cs="Calibri" w:eastAsia="Calibri" w:hAnsi="Calibri"/>
        </w:rPr>
        <w:t xml:space="preserve">Why the distinction matters: </w:t>
      </w:r>
      <w:r>
        <w:rPr>
          <w:color w:val="1C2925"/>
          <w:sz w:val="21"/>
          <w:szCs w:val="21"/>
          <w:rFonts w:ascii="Calibri" w:cs="Calibri" w:eastAsia="Calibri" w:hAnsi="Calibri"/>
        </w:rPr>
        <w:t xml:space="preserve">a fix aimed at “Partners” would have made that one page correct and left the identical fault live on Endorsers and Messages. The rule is now “most specific match wins”, which closes all of them at once and applies to every tenant on the platform, not just Proximate.</w:t>
      </w:r>
    </w:p>
    <w:p>
      <w:pPr>
        <w:spacing w:after="40"/>
      </w:pPr>
    </w:p>
    <w:p>
      <w:pPr>
        <w:pStyle w:val="Heading3"/>
        <w:spacing w:before="140" w:after="50"/>
      </w:pPr>
      <w:r>
        <w:rPr>
          <w:b/>
          <w:bCs/>
          <w:color w:val="1C2925"/>
          <w:sz w:val="22"/>
          <w:szCs w:val="22"/>
          <w:rFonts w:ascii="Calibri" w:cs="Calibri" w:eastAsia="Calibri" w:hAnsi="Calibri"/>
        </w:rPr>
        <w:t xml:space="preserve">2.3  Test-record badging already existed</w:t>
      </w:r>
    </w:p>
    <w:p>
      <w:pPr>
        <w:spacing w:after="120" w:line="264"/>
      </w:pPr>
      <w:r>
        <w:rPr>
          <w:b/>
          <w:bCs/>
          <w:color w:val="1C2925"/>
          <w:sz w:val="21"/>
          <w:szCs w:val="21"/>
          <w:rFonts w:ascii="Calibri" w:cs="Calibri" w:eastAsia="Calibri" w:hAnsi="Calibri"/>
        </w:rPr>
        <w:t xml:space="preserve">The ticket asked for: </w:t>
      </w:r>
      <w:r>
        <w:rPr>
          <w:color w:val="1C2925"/>
          <w:sz w:val="21"/>
          <w:szCs w:val="21"/>
          <w:rFonts w:ascii="Calibri" w:cs="Calibri" w:eastAsia="Calibri" w:hAnsi="Calibri"/>
        </w:rPr>
        <w:t xml:space="preserve">a TEST badge and a show/hide toggle.</w:t>
      </w:r>
    </w:p>
    <w:p>
      <w:pPr>
        <w:spacing w:after="120" w:line="264"/>
      </w:pPr>
      <w:r>
        <w:rPr>
          <w:b/>
          <w:bCs/>
          <w:color w:val="1C2925"/>
          <w:sz w:val="21"/>
          <w:szCs w:val="21"/>
          <w:rFonts w:ascii="Calibri" w:cs="Calibri" w:eastAsia="Calibri" w:hAnsi="Calibri"/>
        </w:rPr>
        <w:t xml:space="preserve">What we found: </w:t>
      </w:r>
      <w:r>
        <w:rPr>
          <w:color w:val="1C2925"/>
          <w:sz w:val="21"/>
          <w:szCs w:val="21"/>
          <w:rFonts w:ascii="Calibri" w:cs="Calibri" w:eastAsia="Calibri" w:hAnsi="Calibri"/>
        </w:rPr>
        <w:t xml:space="preserve">both already existed on the “record a disbursement” picker and the round detail page. The main registers simply were not using them. So this was applying an existing convention in two more places rather than new design work — cheaper than it looked.</w:t>
      </w:r>
    </w:p>
    <w:p>
      <w:pPr>
        <w:spacing w:after="120" w:line="264"/>
      </w:pPr>
      <w:r>
        <w:rPr>
          <w:b/>
          <w:bCs/>
          <w:color w:val="1C2925"/>
          <w:sz w:val="21"/>
          <w:szCs w:val="21"/>
          <w:rFonts w:ascii="Calibri" w:cs="Calibri" w:eastAsia="Calibri" w:hAnsi="Calibri"/>
        </w:rPr>
        <w:t xml:space="preserve">An honest limitation to record: </w:t>
      </w:r>
      <w:r>
        <w:rPr>
          <w:color w:val="1C2925"/>
          <w:sz w:val="21"/>
          <w:szCs w:val="21"/>
          <w:rFonts w:ascii="Calibri" w:cs="Calibri" w:eastAsia="Calibri" w:hAnsi="Calibri"/>
        </w:rPr>
        <w:t xml:space="preserve">the rule matches on WORDS IN THE NAME (test, UAT, QA, demo, fixture). It is a heuristic, not a property of the record. A genuine organisation with “Test” in its title would be wrongly hidden, and a fixture named something ordinary would be wrongly shown. The correct fix is a proper flag set when fixtures are created, which is on the backlog. Before shipping we ran the rule over the real register: of 91 partners, 13 hide and all 13 are genuine fixtures — every real Blue Nile organisation stays visible. So it is safe today, but it is a heuristic and we would rather say so than let it look like a data model.</w:t>
      </w:r>
    </w:p>
    <w:p>
      <w:pPr>
        <w:spacing w:after="120" w:line="264"/>
      </w:pPr>
      <w:r>
        <w:rPr>
          <w:b/>
          <w:bCs/>
          <w:color w:val="1C2925"/>
          <w:sz w:val="21"/>
          <w:szCs w:val="21"/>
          <w:rFonts w:ascii="Calibri" w:cs="Calibri" w:eastAsia="Calibri" w:hAnsi="Calibri"/>
        </w:rPr>
        <w:t xml:space="preserve">One thing we did not do: </w:t>
      </w:r>
      <w:r>
        <w:rPr>
          <w:color w:val="1C2925"/>
          <w:sz w:val="21"/>
          <w:szCs w:val="21"/>
          <w:rFonts w:ascii="Calibri" w:cs="Calibri" w:eastAsia="Calibri" w:hAnsi="Calibri"/>
        </w:rPr>
        <w:t xml:space="preserve">the QA Fixture partner is a deliberate, permanent production fixture that the automated test suite checks against every run. It is hidden from view, never deleted.</w:t>
      </w:r>
    </w:p>
    <w:p>
      <w:pPr>
        <w:spacing w:after="40"/>
      </w:pPr>
    </w:p>
    <w:p>
      <w:pPr>
        <w:pStyle w:val="Heading3"/>
        <w:spacing w:before="140" w:after="50"/>
      </w:pPr>
      <w:r>
        <w:rPr>
          <w:b/>
          <w:bCs/>
          <w:color w:val="1C2925"/>
          <w:sz w:val="22"/>
          <w:szCs w:val="22"/>
          <w:rFonts w:ascii="Calibri" w:cs="Calibri" w:eastAsia="Calibri" w:hAnsi="Calibri"/>
        </w:rPr>
        <w:t xml:space="preserve">2.4  The link-label matrix has nothing to name</w:t>
      </w:r>
    </w:p>
    <w:p>
      <w:pPr>
        <w:spacing w:after="120" w:line="264"/>
      </w:pPr>
      <w:r>
        <w:rPr>
          <w:b/>
          <w:bCs/>
          <w:color w:val="1C2925"/>
          <w:sz w:val="21"/>
          <w:szCs w:val="21"/>
          <w:rFonts w:ascii="Calibri" w:cs="Calibri" w:eastAsia="Calibri" w:hAnsi="Calibri"/>
        </w:rPr>
        <w:t xml:space="preserve">The ticket asked for: </w:t>
      </w:r>
      <w:r>
        <w:rPr>
          <w:color w:val="1C2925"/>
          <w:sz w:val="21"/>
          <w:szCs w:val="21"/>
          <w:rFonts w:ascii="Calibri" w:cs="Calibri" w:eastAsia="Calibri" w:hAnsi="Calibri"/>
        </w:rPr>
        <w:t xml:space="preserve">status-specific labels — report submission, receipt confirmation, evidence upload, partner follow-up.</w:t>
      </w:r>
    </w:p>
    <w:p>
      <w:pPr>
        <w:spacing w:after="120" w:line="264"/>
      </w:pPr>
      <w:r>
        <w:rPr>
          <w:b/>
          <w:bCs/>
          <w:color w:val="1C2925"/>
          <w:sz w:val="21"/>
          <w:szCs w:val="21"/>
          <w:rFonts w:ascii="Calibri" w:cs="Calibri" w:eastAsia="Calibri" w:hAnsi="Calibri"/>
        </w:rPr>
        <w:t xml:space="preserve">What exists: </w:t>
      </w:r>
      <w:r>
        <w:rPr>
          <w:color w:val="1C2925"/>
          <w:sz w:val="21"/>
          <w:szCs w:val="21"/>
          <w:rFonts w:ascii="Calibri" w:cs="Calibri" w:eastAsia="Calibri" w:hAnsi="Calibri"/>
        </w:rPr>
        <w:t xml:space="preserve">one link on that surface. The button only appears when a report is outstanding, and it only ever copies the report URL. We labelled it “Copy report link”. Adding the other three would mean inventing variants the product does not have — which would mislead staff sending links over WhatsApp in exactly the way the ticket was trying to prevent.</w:t>
      </w:r>
    </w:p>
    <w:p>
      <w:pPr>
        <w:spacing w:after="40"/>
      </w:pPr>
    </w:p>
    <w:p>
      <w:pPr>
        <w:pStyle w:val="Heading3"/>
        <w:spacing w:before="140" w:after="50"/>
      </w:pPr>
      <w:r>
        <w:rPr>
          <w:b/>
          <w:bCs/>
          <w:color w:val="1C2925"/>
          <w:sz w:val="22"/>
          <w:szCs w:val="22"/>
          <w:rFonts w:ascii="Calibri" w:cs="Calibri" w:eastAsia="Calibri" w:hAnsi="Calibri"/>
        </w:rPr>
        <w:t xml:space="preserve">2.5  Localities are still free text, on purpose</w:t>
      </w:r>
    </w:p>
    <w:p>
      <w:pPr>
        <w:spacing w:after="120" w:line="264"/>
      </w:pPr>
      <w:r>
        <w:rPr>
          <w:b/>
          <w:bCs/>
          <w:color w:val="1C2925"/>
          <w:sz w:val="21"/>
          <w:szCs w:val="21"/>
          <w:rFonts w:ascii="Calibri" w:cs="Calibri" w:eastAsia="Calibri" w:hAnsi="Calibri"/>
        </w:rPr>
        <w:t xml:space="preserve">The ticket asked for: </w:t>
      </w:r>
      <w:r>
        <w:rPr>
          <w:color w:val="1C2925"/>
          <w:sz w:val="21"/>
          <w:szCs w:val="21"/>
          <w:rFonts w:ascii="Calibri" w:cs="Calibri" w:eastAsia="Calibri" w:hAnsi="Calibri"/>
        </w:rPr>
        <w:t xml:space="preserve">Country → State → Locality as dependent dropdowns.</w:t>
      </w:r>
    </w:p>
    <w:p>
      <w:pPr>
        <w:spacing w:after="120" w:line="264"/>
      </w:pPr>
      <w:r>
        <w:rPr>
          <w:b/>
          <w:bCs/>
          <w:color w:val="1C2925"/>
          <w:sz w:val="21"/>
          <w:szCs w:val="21"/>
          <w:rFonts w:ascii="Calibri" w:cs="Calibri" w:eastAsia="Calibri" w:hAnsi="Calibri"/>
        </w:rPr>
        <w:t xml:space="preserve">We built two of the three. </w:t>
      </w:r>
      <w:r>
        <w:rPr>
          <w:color w:val="1C2925"/>
          <w:sz w:val="21"/>
          <w:szCs w:val="21"/>
          <w:rFonts w:ascii="Calibri" w:cs="Calibri" w:eastAsia="Calibri" w:hAnsi="Calibri"/>
        </w:rPr>
        <w:t xml:space="preserve">Sudan's 18 states are stable and are now a fixed list. Localities are not: there are well over a hundred, and boundaries have moved during the conflict. A dropdown that looks official and is out of date would produce confidently wrong data — worse than a text box, because nobody questions a dropdown. State is what reporting groups by, so the aggregation problem the ticket was really about is solved. If Proximate can supply an authoritative locality list per state, it drops straight in.</w:t>
      </w:r>
    </w:p>
    <w:p>
      <w:pPr>
        <w:spacing w:after="120" w:line="264"/>
      </w:pPr>
      <w:r>
        <w:rPr>
          <w:b/>
          <w:bCs/>
          <w:color w:val="1C2925"/>
          <w:sz w:val="21"/>
          <w:szCs w:val="21"/>
          <w:rFonts w:ascii="Calibri" w:cs="Calibri" w:eastAsia="Calibri" w:hAnsi="Calibri"/>
        </w:rPr>
        <w:t xml:space="preserve">A related decision worth flagging: </w:t>
      </w:r>
      <w:r>
        <w:rPr>
          <w:color w:val="1C2925"/>
          <w:sz w:val="21"/>
          <w:szCs w:val="21"/>
          <w:rFonts w:ascii="Calibri" w:cs="Calibri" w:eastAsia="Calibri" w:hAnsi="Calibri"/>
        </w:rPr>
        <w:t xml:space="preserve">partners already in the system keep a blank state rather than one guessed from their locality spelling. Their state is genuinely unknown, and a guess would read as a fact.</w:t>
      </w:r>
    </w:p>
    <w:p>
      <w:r>
        <w:br w:type="page"/>
      </w:r>
    </w:p>
    <w:p>
      <w:pPr>
        <w:pStyle w:val="Heading1"/>
        <w:spacing w:before="300" w:after="100"/>
      </w:pPr>
      <w:r>
        <w:rPr>
          <w:b/>
          <w:bCs/>
          <w:color w:val="173F35"/>
          <w:sz w:val="28"/>
          <w:szCs w:val="28"/>
          <w:rFonts w:ascii="Calibri" w:cs="Calibri" w:eastAsia="Calibri" w:hAnsi="Calibri"/>
        </w:rPr>
        <w:t xml:space="preserve">3.  Location detection — and the line we drew</w:t>
      </w:r>
    </w:p>
    <w:p>
      <w:pPr>
        <w:spacing w:after="120" w:line="264"/>
      </w:pPr>
      <w:r>
        <w:rPr>
          <w:color w:val="1C2925"/>
          <w:sz w:val="21"/>
          <w:szCs w:val="21"/>
          <w:rFonts w:ascii="Calibri" w:cs="Calibri" w:eastAsia="Calibri" w:hAnsi="Calibri"/>
        </w:rPr>
        <w:t xml:space="preserve">Filling in a state from a dropdown of eighteen is still work, and it is work done on a phone, often on a bad connection. So the nomination form now has a “use my location” option next to the State field. One tap and the state is filled in.</w:t>
      </w:r>
    </w:p>
    <w:p>
      <w:pPr>
        <w:pStyle w:val="Heading3"/>
        <w:spacing w:before="140" w:after="50"/>
      </w:pPr>
      <w:r>
        <w:rPr>
          <w:b/>
          <w:bCs/>
          <w:color w:val="1C2925"/>
          <w:sz w:val="22"/>
          <w:szCs w:val="22"/>
          <w:rFonts w:ascii="Calibri" w:cs="Calibri" w:eastAsia="Calibri" w:hAnsi="Calibri"/>
        </w:rPr>
        <w:t xml:space="preserve">What it deliberately does not do</w:t>
      </w:r>
    </w:p>
    <w:p>
      <w:pPr>
        <w:spacing w:after="120" w:line="264"/>
      </w:pPr>
      <w:r>
        <w:rPr>
          <w:b/>
          <w:bCs/>
          <w:color w:val="1C2925"/>
          <w:sz w:val="21"/>
          <w:szCs w:val="21"/>
          <w:rFonts w:ascii="Calibri" w:cs="Calibri" w:eastAsia="Calibri" w:hAnsi="Calibri"/>
        </w:rPr>
        <w:t xml:space="preserve">It does not keep the coordinates. </w:t>
      </w:r>
      <w:r>
        <w:rPr>
          <w:color w:val="1C2925"/>
          <w:sz w:val="21"/>
          <w:szCs w:val="21"/>
          <w:rFonts w:ascii="Calibri" w:cs="Calibri" w:eastAsia="Calibri" w:hAnsi="Calibri"/>
        </w:rPr>
        <w:t xml:space="preserve">The position is read on the device, turned into a state, and thrown away. Nothing is stored, nothing is sent to the server, nothing is written to a log. We checked this rather than assuming it: we intercepted what the form actually submits, and it contains the state and no location field of any kind.</w:t>
      </w:r>
    </w:p>
    <w:p>
      <w:pPr>
        <w:spacing w:after="120" w:line="264"/>
      </w:pPr>
      <w:r>
        <w:rPr>
          <w:b/>
          <w:bCs/>
          <w:color w:val="1C2925"/>
          <w:sz w:val="21"/>
          <w:szCs w:val="21"/>
          <w:rFonts w:ascii="Calibri" w:cs="Calibri" w:eastAsia="Calibri" w:hAnsi="Calibri"/>
        </w:rPr>
        <w:t xml:space="preserve">This is the important part of the feature, not a technical footnote. </w:t>
      </w:r>
      <w:r>
        <w:rPr>
          <w:color w:val="1C2925"/>
          <w:sz w:val="21"/>
          <w:szCs w:val="21"/>
          <w:rFonts w:ascii="Calibri" w:cs="Calibri" w:eastAsia="Calibri" w:hAnsi="Calibri"/>
        </w:rPr>
        <w:t xml:space="preserve">Proximate partners are community organisations in an active conflict, and several receive money from foreign funders. Which state an organisation works in is administrative information that is already effectively known. A precise position for a named group is a different category of thing entirely — it is the sort of record that causes harm if this database is ever breached, seized, or handed over under legal pressure. So the system takes the precision that reporting genuinely needs and refuses the rest.</w:t>
      </w:r>
    </w:p>
    <w:p>
      <w:pPr>
        <w:spacing w:after="120" w:line="264"/>
      </w:pPr>
      <w:r>
        <w:rPr>
          <w:color w:val="1C2925"/>
          <w:sz w:val="21"/>
          <w:szCs w:val="21"/>
          <w:rFonts w:ascii="Calibri" w:cs="Calibri" w:eastAsia="Calibri" w:hAnsi="Calibri"/>
        </w:rPr>
        <w:t xml:space="preserve">If anyone asks why we did not capture exact locations “while we were there”, that is the answer, and it was a deliberate decision rather than an oversight.</w:t>
      </w:r>
    </w:p>
    <w:p>
      <w:pPr>
        <w:pStyle w:val="Heading3"/>
        <w:spacing w:before="140" w:after="50"/>
      </w:pPr>
      <w:r>
        <w:rPr>
          <w:b/>
          <w:bCs/>
          <w:color w:val="1C2925"/>
          <w:sz w:val="22"/>
          <w:szCs w:val="22"/>
          <w:rFonts w:ascii="Calibri" w:cs="Calibri" w:eastAsia="Calibri" w:hAnsi="Calibri"/>
        </w:rPr>
        <w:t xml:space="preserve">It tells you when it is unsure</w:t>
      </w:r>
    </w:p>
    <w:p>
      <w:pPr>
        <w:spacing w:after="120" w:line="264"/>
      </w:pPr>
      <w:r>
        <w:rPr>
          <w:color w:val="1C2925"/>
          <w:sz w:val="21"/>
          <w:szCs w:val="21"/>
          <w:rFonts w:ascii="Calibri" w:cs="Calibri" w:eastAsia="Calibri" w:hAnsi="Calibri"/>
        </w:rPr>
        <w:t xml:space="preserve">The method is “which state centre is nearest”, not a proper map of state boundaries — we do not have authoritative boundary data. That is reliable well inside a state and unreliable near a border. Rather than hide that, the button says so.</w:t>
      </w:r>
    </w:p>
    <w:p>
      <w:pPr>
        <w:pStyle w:val="ListParagraph"/>
        <w:numPr>
          <w:ilvl w:val="0"/>
          <w:numId w:val="1"/>
        </w:numPr>
        <w:spacing w:after="60" w:line="260"/>
      </w:pPr>
      <w:r>
        <w:rPr>
          <w:color w:val="1C2925"/>
          <w:sz w:val="21"/>
          <w:szCs w:val="21"/>
          <w:rFonts w:ascii="Calibri" w:cs="Calibri" w:eastAsia="Calibri" w:hAnsi="Calibri"/>
        </w:rPr>
        <w:t xml:space="preserve">Well inside a state: “Set to South Darfur. Change it if that is not right.”</w:t>
      </w:r>
    </w:p>
    <w:p>
      <w:pPr>
        <w:pStyle w:val="ListParagraph"/>
        <w:numPr>
          <w:ilvl w:val="0"/>
          <w:numId w:val="1"/>
        </w:numPr>
        <w:spacing w:after="60" w:line="260"/>
      </w:pPr>
      <w:r>
        <w:rPr>
          <w:color w:val="1C2925"/>
          <w:sz w:val="21"/>
          <w:szCs w:val="21"/>
          <w:rFonts w:ascii="Calibri" w:cs="Calibri" w:eastAsia="Calibri" w:hAnsi="Calibri"/>
        </w:rPr>
        <w:t xml:space="preserve">Near a boundary: “You appear to be near the boundary of North Darfur and Central Darfur. We have set North Darfur — please confirm before saving.” It names both and asks.</w:t>
      </w:r>
    </w:p>
    <w:p>
      <w:pPr>
        <w:pStyle w:val="ListParagraph"/>
        <w:numPr>
          <w:ilvl w:val="0"/>
          <w:numId w:val="1"/>
        </w:numPr>
        <w:spacing w:after="60" w:line="260"/>
      </w:pPr>
      <w:r>
        <w:rPr>
          <w:color w:val="1C2925"/>
          <w:sz w:val="21"/>
          <w:szCs w:val="21"/>
          <w:rFonts w:ascii="Calibri" w:cs="Calibri" w:eastAsia="Calibri" w:hAnsi="Calibri"/>
        </w:rPr>
        <w:t xml:space="preserve">Outside Sudan, permission refused, or no signal: it says so plainly and leaves the dropdown alone. A location fix on a cheap handset over a weak connection often simply fails, so this is a shortcut and never a requirement.</w:t>
      </w:r>
    </w:p>
    <w:p>
      <w:pPr>
        <w:spacing w:after="120" w:line="264"/>
      </w:pPr>
      <w:r>
        <w:rPr>
          <w:b/>
          <w:bCs/>
          <w:color w:val="1C2925"/>
          <w:sz w:val="21"/>
          <w:szCs w:val="21"/>
          <w:rFonts w:ascii="Calibri" w:cs="Calibri" w:eastAsia="Calibri" w:hAnsi="Calibri"/>
        </w:rPr>
        <w:t xml:space="preserve">Checked against reality: </w:t>
      </w:r>
      <w:r>
        <w:rPr>
          <w:color w:val="1C2925"/>
          <w:sz w:val="21"/>
          <w:szCs w:val="21"/>
          <w:rFonts w:ascii="Calibri" w:cs="Calibri" w:eastAsia="Calibri" w:hAnsi="Calibri"/>
        </w:rPr>
        <w:t xml:space="preserve">one real town in each of the 18 states — all 18 resolve to the correct state, and Cairo, Nairobi and Juba are reported as outside Sudan rather than being matched to the nearest Sudanese state. That check runs automatically from now on, so it cannot quietly rot.</w:t>
      </w:r>
    </w:p>
    <w:p>
      <w:pPr>
        <w:pStyle w:val="Heading3"/>
        <w:spacing w:before="140" w:after="50"/>
      </w:pPr>
      <w:r>
        <w:rPr>
          <w:b/>
          <w:bCs/>
          <w:color w:val="1C2925"/>
          <w:sz w:val="22"/>
          <w:szCs w:val="22"/>
          <w:rFonts w:ascii="Calibri" w:cs="Calibri" w:eastAsia="Calibri" w:hAnsi="Calibri"/>
        </w:rPr>
        <w:t xml:space="preserve">A related decision we are NOT making for you</w:t>
      </w:r>
    </w:p>
    <w:p>
      <w:pPr>
        <w:spacing w:after="120" w:line="264"/>
      </w:pPr>
      <w:r>
        <w:rPr>
          <w:color w:val="1C2925"/>
          <w:sz w:val="21"/>
          <w:szCs w:val="21"/>
          <w:rFonts w:ascii="Calibri" w:cs="Calibri" w:eastAsia="Calibri" w:hAnsi="Calibri"/>
        </w:rPr>
        <w:t xml:space="preserve">While building this we found that the endorsement records already have empty columns for exact coordinates, and both submission routes will accept them. Nothing has ever filled them — every endorsement on the live system has no location. The original intent was fraud detection: spotting whether all the endorsements for one partner came from the same place.</w:t>
      </w:r>
    </w:p>
    <w:p>
      <w:pPr>
        <w:spacing w:after="120" w:line="264"/>
      </w:pPr>
      <w:r>
        <w:rPr>
          <w:b/>
          <w:bCs/>
          <w:color w:val="1C2925"/>
          <w:sz w:val="21"/>
          <w:szCs w:val="21"/>
          <w:rFonts w:ascii="Calibri" w:cs="Calibri" w:eastAsia="Calibri" w:hAnsi="Calibri"/>
        </w:rPr>
        <w:t xml:space="preserve">We recommend against switching it on as it stands, for two reasons. </w:t>
      </w:r>
      <w:r>
        <w:rPr>
          <w:color w:val="1C2925"/>
          <w:sz w:val="21"/>
          <w:szCs w:val="21"/>
          <w:rFonts w:ascii="Calibri" w:cs="Calibri" w:eastAsia="Calibri" w:hAnsi="Calibri"/>
        </w:rPr>
        <w:t xml:space="preserve">First, the coordinates would be supplied by whoever submits the form, so anyone willing to fake endorsements can simply send false ones — it would catch only honest people while making the Oversight Body more confident than the evidence deserves. Second, endorsers are community members vouching for organisations receiving foreign money; their precise locations are the most sensitive data this system could hold.</w:t>
      </w:r>
    </w:p>
    <w:p>
      <w:pPr>
        <w:spacing w:after="120" w:line="264"/>
      </w:pPr>
      <w:r>
        <w:rPr>
          <w:b/>
          <w:bCs/>
          <w:color w:val="1C2925"/>
          <w:sz w:val="21"/>
          <w:szCs w:val="21"/>
          <w:rFonts w:ascii="Calibri" w:cs="Calibri" w:eastAsia="Calibri" w:hAnsi="Calibri"/>
        </w:rPr>
        <w:t xml:space="preserve">The choice is Khalid’s: </w:t>
      </w:r>
      <w:r>
        <w:rPr>
          <w:color w:val="1C2925"/>
          <w:sz w:val="21"/>
          <w:szCs w:val="21"/>
          <w:rFonts w:ascii="Calibri" w:cs="Calibri" w:eastAsia="Calibri" w:hAnsi="Calibri"/>
        </w:rPr>
        <w:t xml:space="preserve">either turn it on properly — with explicit consent, a stated deletion period, and honesty that the figure is self-reported — or remove the columns. Leaving an unused field that quietly accepts data is the worst of the three, because the next person to build on it will assume it means something.</w:t>
      </w:r>
    </w:p>
    <w:p>
      <w:r>
        <w:br w:type="page"/>
      </w:r>
    </w:p>
    <w:p>
      <w:pPr>
        <w:pStyle w:val="Heading1"/>
        <w:spacing w:before="300" w:after="100"/>
      </w:pPr>
      <w:r>
        <w:rPr>
          <w:b/>
          <w:bCs/>
          <w:color w:val="173F35"/>
          <w:sz w:val="28"/>
          <w:szCs w:val="28"/>
          <w:rFonts w:ascii="Calibri" w:cs="Calibri" w:eastAsia="Calibri" w:hAnsi="Calibri"/>
        </w:rPr>
        <w:t xml:space="preserve">4.  One item we have stopped on, and need an answer</w:t>
      </w:r>
    </w:p>
    <w:p>
      <w:pPr>
        <w:spacing w:after="120" w:line="264"/>
      </w:pPr>
      <w:r>
        <w:rPr>
          <w:b/>
          <w:bCs/>
          <w:color w:val="1C2925"/>
          <w:sz w:val="21"/>
          <w:szCs w:val="21"/>
          <w:rFonts w:ascii="Calibri" w:cs="Calibri" w:eastAsia="Calibri" w:hAnsi="Calibri"/>
        </w:rPr>
        <w:t xml:space="preserve">PRX-WORKFLOW-FORM-003 </w:t>
      </w:r>
      <w:r>
        <w:rPr>
          <w:color w:val="1C2925"/>
          <w:sz w:val="21"/>
          <w:szCs w:val="21"/>
          <w:rFonts w:ascii="Calibri" w:cs="Calibri" w:eastAsia="Calibri" w:hAnsi="Calibri"/>
        </w:rPr>
        <w:t xml:space="preserve">— “partner links should be limited to partners that have passed due diligence”.</w:t>
      </w:r>
    </w:p>
    <w:p>
      <w:pPr>
        <w:spacing w:after="120" w:line="264"/>
      </w:pPr>
      <w:r>
        <w:rPr>
          <w:color w:val="1C2925"/>
          <w:sz w:val="21"/>
          <w:szCs w:val="21"/>
          <w:rFonts w:ascii="Calibri" w:cs="Calibri" w:eastAsia="Calibri" w:hAnsi="Calibri"/>
        </w:rPr>
        <w:t xml:space="preserve">There are several partner-facing links in the system, and they are gated differently on purpose: nomination, report package, receipt confirmation, and per-domain delegation. The ticket does not say which one it means, and the reviewer flagged the same uncertainty.</w:t>
      </w:r>
    </w:p>
    <w:p>
      <w:pPr>
        <w:spacing w:after="120" w:line="264"/>
      </w:pPr>
      <w:r>
        <w:rPr>
          <w:b/>
          <w:bCs/>
          <w:color w:val="1C2925"/>
          <w:sz w:val="21"/>
          <w:szCs w:val="21"/>
          <w:rFonts w:ascii="Calibri" w:cs="Calibri" w:eastAsia="Calibri" w:hAnsi="Calibri"/>
        </w:rPr>
        <w:t xml:space="preserve">We have not guessed. </w:t>
      </w:r>
      <w:r>
        <w:rPr>
          <w:color w:val="1C2925"/>
          <w:sz w:val="21"/>
          <w:szCs w:val="21"/>
          <w:rFonts w:ascii="Calibri" w:cs="Calibri" w:eastAsia="Calibri" w:hAnsi="Calibri"/>
        </w:rPr>
        <w:t xml:space="preserve">Changing who can reach a link is an access-control decision, and getting it wrong either blocks a partner who needs to report or exposes a stage to someone who should not be in it yet. Please tell us which link and we will scope it the same day.</w:t>
      </w:r>
    </w:p>
    <w:p>
      <w:pPr>
        <w:pStyle w:val="Heading1"/>
        <w:spacing w:before="300" w:after="100"/>
      </w:pPr>
      <w:r>
        <w:rPr>
          <w:b/>
          <w:bCs/>
          <w:color w:val="173F35"/>
          <w:sz w:val="28"/>
          <w:szCs w:val="28"/>
          <w:rFonts w:ascii="Calibri" w:cs="Calibri" w:eastAsia="Calibri" w:hAnsi="Calibri"/>
        </w:rPr>
        <w:t xml:space="preserve">5.  How this was checked</w:t>
      </w:r>
    </w:p>
    <w:p>
      <w:pPr>
        <w:spacing w:after="120" w:line="264"/>
      </w:pPr>
      <w:r>
        <w:rPr>
          <w:color w:val="1C2925"/>
          <w:sz w:val="21"/>
          <w:szCs w:val="21"/>
          <w:rFonts w:ascii="Calibri" w:cs="Calibri" w:eastAsia="Calibri" w:hAnsi="Calibri"/>
        </w:rPr>
        <w:t xml:space="preserve">Everything below was run against the real system, not asserted:</w:t>
      </w:r>
    </w:p>
    <w:p>
      <w:pPr>
        <w:pStyle w:val="ListParagraph"/>
        <w:numPr>
          <w:ilvl w:val="0"/>
          <w:numId w:val="1"/>
        </w:numPr>
        <w:spacing w:after="60" w:line="260"/>
      </w:pPr>
      <w:r>
        <w:rPr>
          <w:color w:val="1C2925"/>
          <w:sz w:val="21"/>
          <w:szCs w:val="21"/>
          <w:rFonts w:ascii="Calibri" w:cs="Calibri" w:eastAsia="Calibri" w:hAnsi="Calibri"/>
        </w:rPr>
        <w:t xml:space="preserve">The menu fix was verified in a live browser on the exact page reported — /proximate/admin/partners now shows one highlighted item.</w:t>
      </w:r>
    </w:p>
    <w:p>
      <w:pPr>
        <w:pStyle w:val="ListParagraph"/>
        <w:numPr>
          <w:ilvl w:val="0"/>
          <w:numId w:val="1"/>
        </w:numPr>
        <w:spacing w:after="60" w:line="260"/>
      </w:pPr>
      <w:r>
        <w:rPr>
          <w:color w:val="1C2925"/>
          <w:sz w:val="21"/>
          <w:szCs w:val="21"/>
          <w:rFonts w:ascii="Calibri" w:cs="Calibri" w:eastAsia="Calibri" w:hAnsi="Calibri"/>
        </w:rPr>
        <w:t xml:space="preserve">A new automated guard (12 cases) covers the menu rule permanently. It reads the shipped code rather than a copy, so the check cannot keep passing after the real thing breaks.</w:t>
      </w:r>
    </w:p>
    <w:p>
      <w:pPr>
        <w:pStyle w:val="ListParagraph"/>
        <w:numPr>
          <w:ilvl w:val="0"/>
          <w:numId w:val="1"/>
        </w:numPr>
        <w:spacing w:after="60" w:line="260"/>
      </w:pPr>
      <w:r>
        <w:rPr>
          <w:color w:val="1C2925"/>
          <w:sz w:val="21"/>
          <w:szCs w:val="21"/>
          <w:rFonts w:ascii="Calibri" w:cs="Calibri" w:eastAsia="Calibri" w:hAnsi="Calibri"/>
        </w:rPr>
        <w:t xml:space="preserve">The test-record rule was run over the real production register before shipping — 91 partners, 13 hidden, zero real organisations affected.</w:t>
      </w:r>
    </w:p>
    <w:p>
      <w:pPr>
        <w:pStyle w:val="ListParagraph"/>
        <w:numPr>
          <w:ilvl w:val="0"/>
          <w:numId w:val="1"/>
        </w:numPr>
        <w:spacing w:after="60" w:line="260"/>
      </w:pPr>
      <w:r>
        <w:rPr>
          <w:color w:val="1C2925"/>
          <w:sz w:val="21"/>
          <w:szCs w:val="21"/>
          <w:rFonts w:ascii="Calibri" w:cs="Calibri" w:eastAsia="Calibri" w:hAnsi="Calibri"/>
        </w:rPr>
        <w:t xml:space="preserve">The location lookup was checked against a real town in each of the 18 states — all 18 correct — and against three cities outside Sudan, all correctly reported as outside.</w:t>
      </w:r>
    </w:p>
    <w:p>
      <w:pPr>
        <w:pStyle w:val="ListParagraph"/>
        <w:numPr>
          <w:ilvl w:val="0"/>
          <w:numId w:val="1"/>
        </w:numPr>
        <w:spacing w:after="60" w:line="260"/>
      </w:pPr>
      <w:r>
        <w:rPr>
          <w:color w:val="1C2925"/>
          <w:sz w:val="21"/>
          <w:szCs w:val="21"/>
          <w:rFonts w:ascii="Calibri" w:cs="Calibri" w:eastAsia="Calibri" w:hAnsi="Calibri"/>
        </w:rPr>
        <w:t xml:space="preserve">What the nomination form actually submits was intercepted and read, to confirm no coordinate is sent.</w:t>
      </w:r>
    </w:p>
    <w:p>
      <w:pPr>
        <w:pStyle w:val="ListParagraph"/>
        <w:numPr>
          <w:ilvl w:val="0"/>
          <w:numId w:val="1"/>
        </w:numPr>
        <w:spacing w:after="60" w:line="260"/>
      </w:pPr>
      <w:r>
        <w:rPr>
          <w:color w:val="1C2925"/>
          <w:sz w:val="21"/>
          <w:szCs w:val="21"/>
          <w:rFonts w:ascii="Calibri" w:cs="Calibri" w:eastAsia="Calibri" w:hAnsi="Calibri"/>
        </w:rPr>
        <w:t xml:space="preserve">The full regression gate passed 125 of 125 across all three tenants, including the money paths.</w:t>
      </w:r>
    </w:p>
    <w:p>
      <w:pPr>
        <w:pStyle w:val="ListParagraph"/>
        <w:numPr>
          <w:ilvl w:val="0"/>
          <w:numId w:val="1"/>
        </w:numPr>
        <w:spacing w:after="60" w:line="260"/>
      </w:pPr>
      <w:r>
        <w:rPr>
          <w:color w:val="1C2925"/>
          <w:sz w:val="21"/>
          <w:szCs w:val="21"/>
          <w:rFonts w:ascii="Calibri" w:cs="Calibri" w:eastAsia="Calibri" w:hAnsi="Calibri"/>
        </w:rPr>
        <w:t xml:space="preserve">The frontend was rebuilt and the built output committed — without that step a source change silently does not deploy on this platform.</w:t>
      </w:r>
    </w:p>
    <w:p>
      <w:pPr>
        <w:spacing w:after="60"/>
      </w:pPr>
    </w:p>
    <w:p>
      <w:pPr>
        <w:pStyle w:val="Heading1"/>
        <w:spacing w:before="300" w:after="100"/>
      </w:pPr>
      <w:r>
        <w:rPr>
          <w:b/>
          <w:bCs/>
          <w:color w:val="173F35"/>
          <w:sz w:val="28"/>
          <w:szCs w:val="28"/>
          <w:rFonts w:ascii="Calibri" w:cs="Calibri" w:eastAsia="Calibri" w:hAnsi="Calibri"/>
        </w:rPr>
        <w:t xml:space="preserve">6.  What we have NOT built, and our recommendation</w:t>
      </w:r>
    </w:p>
    <w:p>
      <w:pPr>
        <w:spacing w:after="120" w:line="264"/>
      </w:pPr>
      <w:r>
        <w:rPr>
          <w:color w:val="1C2925"/>
          <w:sz w:val="21"/>
          <w:szCs w:val="21"/>
          <w:rFonts w:ascii="Calibri" w:cs="Calibri" w:eastAsia="Calibri" w:hAnsi="Calibri"/>
        </w:rPr>
        <w:t xml:space="preserve">Eight items remain. Five of them are the big ones: the dashboard restructure, the quick-action row, the partner workspace, the partner row redesign and the disbursement control centre.</w:t>
      </w:r>
    </w:p>
    <w:p>
      <w:pPr>
        <w:spacing w:after="120" w:line="264"/>
      </w:pPr>
      <w:r>
        <w:rPr>
          <w:color w:val="1C2925"/>
          <w:sz w:val="21"/>
          <w:szCs w:val="21"/>
          <w:rFonts w:ascii="Calibri" w:cs="Calibri" w:eastAsia="Calibri" w:hAnsi="Calibri"/>
        </w:rPr>
        <w:t xml:space="preserve">We think the framing in the review is right — </w:t>
      </w:r>
      <w:r>
        <w:rPr>
          <w:i/>
          <w:iCs/>
          <w:color w:val="1C2925"/>
          <w:sz w:val="21"/>
          <w:szCs w:val="21"/>
          <w:rFonts w:ascii="Calibri" w:cs="Calibri" w:eastAsia="Calibri" w:hAnsi="Calibri"/>
        </w:rPr>
        <w:t xml:space="preserve">summary first, priorities second, full registers only on drill-down</w:t>
      </w:r>
      <w:r>
        <w:rPr>
          <w:color w:val="1C2925"/>
          <w:sz w:val="21"/>
          <w:szCs w:val="21"/>
          <w:rFonts w:ascii="Calibri" w:cs="Calibri" w:eastAsia="Calibri" w:hAnsi="Calibri"/>
        </w:rPr>
        <w:t xml:space="preserve"> — and we are not disputing that today's screens read as registers rather than as decision tools.</w:t>
      </w:r>
    </w:p>
    <w:tbl>
      <w:tblPr>
        <w:tblW w:type="pct" w:w="100%"/>
        <w:tblBorders>
          <w:top w:val="single" w:color="CFDBC7" w:sz="6"/>
          <w:left w:val="single" w:color="CFDBC7" w:sz="6"/>
          <w:bottom w:val="single" w:color="CFDBC7" w:sz="6"/>
          <w:right w:val="single" w:color="CFDBC7" w:sz="6"/>
          <w:insideH w:val="single" w:color="CFDBC7" w:sz="6"/>
          <w:insideV w:val="single" w:color="CFDBC7" w:sz="6"/>
        </w:tblBorders>
      </w:tblPr>
      <w:tblGrid>
        <w:gridCol w:w="100"/>
      </w:tblGrid>
      <w:tr>
        <w:tc>
          <w:tcPr>
            <w:shd w:fill="EDF2E8" w:color="auto" w:val="clear"/>
            <w:tcMar>
              <w:top w:type="dxa" w:w="120"/>
              <w:left w:type="dxa" w:w="160"/>
              <w:bottom w:type="dxa" w:w="120"/>
              <w:right w:type="dxa" w:w="160"/>
            </w:tcMar>
          </w:tcPr>
          <w:p>
            <w:pPr>
              <w:spacing w:after="40"/>
            </w:pPr>
            <w:r>
              <w:rPr>
                <w:b/>
                <w:bCs/>
                <w:color w:val="173F35"/>
                <w:sz w:val="21"/>
                <w:szCs w:val="21"/>
                <w:rFonts w:ascii="Calibri" w:cs="Calibri" w:eastAsia="Calibri" w:hAnsi="Calibri"/>
              </w:rPr>
              <w:t xml:space="preserve">Our recommendation</w:t>
            </w:r>
          </w:p>
          <w:p>
            <w:r>
              <w:rPr>
                <w:color w:val="1C2925"/>
                <w:sz w:val="20"/>
                <w:szCs w:val="20"/>
                <w:rFonts w:ascii="Calibri" w:cs="Calibri" w:eastAsia="Calibri" w:hAnsi="Calibri"/>
              </w:rPr>
              <w:t xml:space="preserve">Do not build these from the document. They are the most subjective items on the list, and a layout built to a written specification is very likely to be a different wrong layout — at which point we have spent the effort and still need the conversation. Half an hour watching Khalid or Marwa actually work through a live round, saying out loud what they are looking for and in what order, would settle more than the whole ticket list. We will build immediately after that session and expect it to land first time.</w:t>
            </w:r>
          </w:p>
        </w:tc>
      </w:tr>
    </w:tbl>
    <w:p>
      <w:pPr>
        <w:spacing w:after="40"/>
      </w:pPr>
    </w:p>
    <w:p>
      <w:pPr>
        <w:pStyle w:val="Heading3"/>
        <w:spacing w:before="140" w:after="50"/>
      </w:pPr>
      <w:r>
        <w:rPr>
          <w:b/>
          <w:bCs/>
          <w:color w:val="1C2925"/>
          <w:sz w:val="22"/>
          <w:szCs w:val="22"/>
          <w:rFonts w:ascii="Calibri" w:cs="Calibri" w:eastAsia="Calibri" w:hAnsi="Calibri"/>
        </w:rPr>
        <w:t xml:space="preserve">A separate finding, filed the same day</w:t>
      </w:r>
    </w:p>
    <w:p>
      <w:pPr>
        <w:spacing w:after="120" w:line="264"/>
      </w:pPr>
      <w:r>
        <w:rPr>
          <w:color w:val="1C2925"/>
          <w:sz w:val="21"/>
          <w:szCs w:val="21"/>
          <w:rFonts w:ascii="Calibri" w:cs="Calibri" w:eastAsia="Calibri" w:hAnsi="Calibri"/>
        </w:rPr>
        <w:t xml:space="preserve">While tracing something unrelated we found that report packages accept video files and nothing ever reads them. Voice notes are transcribed into the report; video is stored and shown, but its content never reaches the compiled donor report — and the package still looks complete, so nobody is told anything was lost.</w:t>
      </w:r>
    </w:p>
    <w:p>
      <w:pPr>
        <w:spacing w:after="120" w:line="264"/>
      </w:pPr>
      <w:r>
        <w:rPr>
          <w:b/>
          <w:bCs/>
          <w:color w:val="1C2925"/>
          <w:sz w:val="21"/>
          <w:szCs w:val="21"/>
          <w:rFonts w:ascii="Calibri" w:cs="Calibri" w:eastAsia="Calibri" w:hAnsi="Calibri"/>
        </w:rPr>
        <w:t xml:space="preserve">Measured before deciding what to do: </w:t>
      </w:r>
      <w:r>
        <w:rPr>
          <w:color w:val="1C2925"/>
          <w:sz w:val="21"/>
          <w:szCs w:val="21"/>
          <w:rFonts w:ascii="Calibri" w:cs="Calibri" w:eastAsia="Calibri" w:hAnsi="Calibri"/>
        </w:rPr>
        <w:t xml:space="preserve">no partner has ever uploaded a video, and voice transcription is working and lightly used elsewhere. So the recommendation is to add an honest label now (“video is kept as a record but not transcribed — send a voice note if you want it in the report”) and defer the engineering until there is evidence partners want to send video. Building a video pipeline for a behaviour nobody has shown yet would be the wrong order.</w:t>
      </w:r>
    </w:p>
    <w:p>
      <w:pPr>
        <w:spacing w:after="60"/>
      </w:pPr>
    </w:p>
    <w:tbl>
      <w:tblPr>
        <w:tblW w:type="pct" w:w="100%"/>
        <w:tblBorders>
          <w:top w:val="single" w:color="CFDBC7" w:sz="6"/>
          <w:left w:val="single" w:color="CFDBC7" w:sz="6"/>
          <w:bottom w:val="single" w:color="CFDBC7" w:sz="6"/>
          <w:right w:val="single" w:color="CFDBC7" w:sz="6"/>
          <w:insideH w:val="single" w:color="CFDBC7" w:sz="6"/>
          <w:insideV w:val="single" w:color="CFDBC7" w:sz="6"/>
        </w:tblBorders>
      </w:tblPr>
      <w:tblGrid>
        <w:gridCol w:w="100"/>
      </w:tblGrid>
      <w:tr>
        <w:tc>
          <w:tcPr>
            <w:shd w:fill="EDF2E8" w:color="auto" w:val="clear"/>
            <w:tcMar>
              <w:top w:type="dxa" w:w="120"/>
              <w:left w:type="dxa" w:w="160"/>
              <w:bottom w:type="dxa" w:w="120"/>
              <w:right w:type="dxa" w:w="160"/>
            </w:tcMar>
          </w:tcPr>
          <w:p>
            <w:pPr>
              <w:spacing w:after="40"/>
            </w:pPr>
            <w:r>
              <w:rPr>
                <w:b/>
                <w:bCs/>
                <w:color w:val="173F35"/>
                <w:sz w:val="21"/>
                <w:szCs w:val="21"/>
                <w:rFonts w:ascii="Calibri" w:cs="Calibri" w:eastAsia="Calibri" w:hAnsi="Calibri"/>
              </w:rPr>
              <w:t xml:space="preserve">What we need from the team</w:t>
            </w:r>
          </w:p>
          <w:p>
            <w:r>
              <w:rPr>
                <w:color w:val="1C2925"/>
                <w:sz w:val="20"/>
                <w:szCs w:val="20"/>
                <w:rFonts w:ascii="Calibri" w:cs="Calibri" w:eastAsia="Calibri" w:hAnsi="Calibri"/>
              </w:rPr>
              <w:t xml:space="preserve">One answer — which partner link section 4 is about. One session — thirty minutes with Khalid or Marwa working through a real round while we watch. And two decisions when you are ready: whether the dormant endorsement location columns are switched on properly or removed (section 3), and whether locality should become a controlled list, which needs an authoritative source we do not currently have.</w:t>
            </w:r>
          </w:p>
        </w:tc>
      </w:tr>
    </w:tbl>
    <w:sectPr>
      <w:footerReference w:type="default" r:id="rId6"/>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DD7" w:sz="4" w:space="6"/>
      </w:pBdr>
      <w:jc w:val="center"/>
    </w:pPr>
    <w:r>
      <w:rPr>
        <w:color w:val="5B6560"/>
        <w:sz w:val="15"/>
        <w:szCs w:val="15"/>
        <w:rFonts w:ascii="Calibri" w:cs="Calibri" w:eastAsia="Calibri" w:hAnsi="Calibri"/>
      </w:rPr>
      <w:t xml:space="preserve">Proximate Fund — Platform Update, 3 August 2026   ·   Kuja · Confidential — Internal &amp; Investor Use   ·   Page </w:t>
    </w:r>
    <w:r>
      <w:rPr>
        <w:color w:val="5B656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2925"/>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Proximate Fund — Platform Update, 3 August 2026</dc:title>
  <dc:creator>Kuja</dc:creator>
  <cp:lastModifiedBy>Un-named</cp:lastModifiedBy>
  <cp:revision>1</cp:revision>
  <dcterms:created xsi:type="dcterms:W3CDTF">2026-08-03T15:18:11.917Z</dcterms:created>
  <dcterms:modified xsi:type="dcterms:W3CDTF">2026-08-03T15:18:11.918Z</dcterms:modified>
</cp:coreProperties>
</file>

<file path=docProps/custom.xml><?xml version="1.0" encoding="utf-8"?>
<Properties xmlns="http://schemas.openxmlformats.org/officeDocument/2006/custom-properties" xmlns:vt="http://schemas.openxmlformats.org/officeDocument/2006/docPropsVTypes"/>
</file>