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864"/>
          <w:sz w:val="32"/>
        </w:rPr>
        <w:t>Proximate Pilot — Audit Export Answer + Final Coverage Tests</w:t>
      </w:r>
    </w:p>
    <w:p>
      <w:pPr>
        <w:spacing w:after="160"/>
      </w:pPr>
      <w:r>
        <w:rPr>
          <w:i/>
          <w:color w:val="555555"/>
          <w:sz w:val="19"/>
        </w:rPr>
        <w:t>Response to the 14 July QA note  ·  all items closed, fixes live in production  ·  14 July 2026</w:t>
      </w:r>
    </w:p>
    <w:p>
      <w:pPr>
        <w:spacing w:before="240" w:after="60"/>
      </w:pPr>
      <w:r>
        <w:rPr>
          <w:b/>
          <w:color w:val="C2410C"/>
          <w:sz w:val="26"/>
        </w:rPr>
        <w:t>Summary</w:t>
      </w:r>
    </w:p>
    <w:p>
      <w:pPr>
        <w:spacing w:after="80"/>
      </w:pPr>
      <w:r>
        <w:t>The 14 July QA round closed out the pilot acceptance sweep: the payment-route fix was verified end to end, all navigation and donor surfaces passed through real UI clicks, the AI/observability role boundaries held for every persona, and the donor report downloads work. One item was left open for us to answer: the audit-chain export showed a count mismatch (204 in the UI, 100 in the file) and seven rows labelled with a different tenant number. This report answers that question, describes the two real defects behind it (both fixed and live), and closes the remaining scope-dependent tests from the coverage matrix — the co-signature ladder for large disbursements, the public nomination form, crisis signals, and the grievance channel.</w:t>
      </w:r>
    </w:p>
    <w:p>
      <w:pPr>
        <w:spacing w:before="240" w:after="60"/>
      </w:pPr>
      <w:r>
        <w:rPr>
          <w:b/>
          <w:color w:val="C2410C"/>
          <w:sz w:val="26"/>
        </w:rPr>
        <w:t>The audit-export question — answered</w:t>
      </w:r>
    </w:p>
    <w:p>
      <w:pPr>
        <w:spacing w:after="80"/>
      </w:pPr>
      <w:r>
        <w:t>QA asked which of four explanations was true. The short answer: it was your explanation 3 (some rows written with the wrong tenant label), and definitively NOT explanation 4 (a cross-tenant leak). Every row in the file was a genuine Proximate row — the export recognises Proximate rows by what happened, not only by the label, which is exactly why the mislabelled rows still appeared. No other tenant’s data was ever in the file.</w:t>
      </w:r>
    </w:p>
    <w:p>
      <w:pPr>
        <w:spacing w:before="160" w:after="40"/>
      </w:pPr>
      <w:r>
        <w:rPr>
          <w:b/>
          <w:color w:val="1F3864"/>
          <w:sz w:val="22"/>
        </w:rPr>
        <w:t>Defect 1 — the file was silently incomplete (204 vs 100)</w:t>
      </w:r>
    </w:p>
    <w:p>
      <w:pPr>
        <w:spacing w:after="80"/>
      </w:pPr>
      <w:r>
        <w:t>The export reused the on-screen page size (100 rows) instead of writing the whole chain. An audit evidence file that quietly drops rows is wrong, full stop. Fixed: the download now contains the complete tenant chain every time. Verified on production after deployment: the page reported 212 entries and the file contained exactly 212 lines.</w:t>
      </w:r>
    </w:p>
    <w:p>
      <w:pPr>
        <w:spacing w:before="160" w:after="40"/>
      </w:pPr>
      <w:r>
        <w:rPr>
          <w:b/>
          <w:color w:val="1F3864"/>
          <w:sz w:val="22"/>
        </w:rPr>
        <w:t>Defect 2 — seven rows carried the wrong tenant label</w:t>
      </w:r>
    </w:p>
    <w:p>
      <w:pPr>
        <w:spacing w:after="80"/>
      </w:pPr>
      <w:r>
        <w:t>The audit writer labels each row with the tenant of the request it is serving. But several request types run without the Proximate context: report submissions through the no-login token link, the independent verifier’s token page, endorsements via shared portal links, and plain browser downloads such as the donor Closing PDF. Those requests fell back to the platform default label — which is why exactly those seven rows (report submissions, the verifier attestation, the portal endorsements, and the PDF generation) were the mislabelled ones. The pattern QA spotted in the row list was the fingerprint of this bug.</w:t>
      </w:r>
    </w:p>
    <w:p>
      <w:pPr>
        <w:spacing w:after="80"/>
      </w:pPr>
      <w:r>
        <w:t>Fixed at the root: every request served by the Proximate API now stamps the Proximate tenant on any audit row it writes — covering all 78 audit-writing points (logged-in, token-link, public, and scheduled jobs) with one mechanism rather than 78 separate patches.</w:t>
      </w:r>
    </w:p>
    <w:p>
      <w:pPr>
        <w:spacing w:before="160" w:after="40"/>
      </w:pPr>
      <w:r>
        <w:rPr>
          <w:b/>
          <w:color w:val="1B7A3D"/>
          <w:sz w:val="22"/>
        </w:rPr>
        <w:t>The historical rows were repaired safely</w:t>
      </w:r>
    </w:p>
    <w:p>
      <w:pPr>
        <w:spacing w:after="80"/>
      </w:pPr>
      <w:r>
        <w:t>The 7 mislabelled rows (plus 9 older rows that carried no label at all from initial data seeding) were relabelled in place. This cannot damage the tamper-evidence: the tenant label was deliberately excluded from the cryptographic hash when tenant scoping was introduced, precisely so it could be corrected later. We proved it anyway — the full 278-row chain verified intact with zero breaks immediately before AND immediately after the repair.</w:t>
      </w:r>
    </w:p>
    <w:p>
      <w:pPr>
        <w:spacing w:before="160" w:after="40"/>
      </w:pPr>
      <w:r>
        <w:rPr>
          <w:b/>
          <w:color w:val="1F3864"/>
          <w:sz w:val="22"/>
        </w:rPr>
        <w:t>Two reassurances from the same review</w:t>
      </w:r>
    </w:p>
    <w:p>
      <w:pPr>
        <w:pStyle w:val="ListBullet"/>
        <w:spacing w:after="40"/>
      </w:pPr>
      <w:r>
        <w:rPr>
          <w:b/>
        </w:rPr>
        <w:t xml:space="preserve">The "token:IpsrzdZ2…" actor is not a leak. </w:t>
      </w:r>
      <w:r>
        <w:t>The system stores only the first 8 characters of a submission token in the audit trail — enough to correlate, useless to abuse. The full credential is never written anywhere.</w:t>
      </w:r>
    </w:p>
    <w:p>
      <w:pPr>
        <w:pStyle w:val="ListBullet"/>
        <w:spacing w:after="40"/>
      </w:pPr>
      <w:r>
        <w:rPr>
          <w:b/>
        </w:rPr>
        <w:t xml:space="preserve">The old AI failures on the observability page are history. </w:t>
      </w:r>
      <w:r>
        <w:t>Those entries are ~4-week-old monitoring records of a configuration bug fixed at the time. They are kept because monitoring history should not be edited; nothing is failing now.</w:t>
      </w:r>
    </w:p>
    <w:p>
      <w:pPr>
        <w:spacing w:before="240" w:after="60"/>
      </w:pPr>
      <w:r>
        <w:rPr>
          <w:b/>
          <w:color w:val="C2410C"/>
          <w:sz w:val="26"/>
        </w:rPr>
        <w:t>Remaining coverage-matrix items — now tested</w:t>
      </w:r>
    </w:p>
    <w:p>
      <w:pPr>
        <w:spacing w:after="80"/>
      </w:pPr>
      <w:r>
        <w:t>The coverage matrix listed scope-dependent areas not yet exercised. We ran controlled tests for each on the demo tenant (all artifacts marked QA_PILOT_20260714):</w:t>
      </w:r>
    </w:p>
    <w:p>
      <w:pPr>
        <w:pStyle w:val="ListBullet"/>
        <w:spacing w:after="40"/>
      </w:pPr>
      <w:r>
        <w:rPr>
          <w:b/>
        </w:rPr>
        <w:t xml:space="preserve">Co-signature ladder for large disbursements: </w:t>
      </w:r>
      <w:r>
        <w:t>a controlled $12,000 disbursement (id 23, partner: Khartoum Sisters Mutual Aid) correctly stopped in "awaiting co-signature" with exactly 1 co-signer required, auto-linked its verified payment route, and the pre-check declares the requirement up front. The conflict guard held: the OB who recorded it was refused when trying to co-sign their own disbursement. The row is deliberately left awaiting co-signature — it doubles as a live demo of the ladder.</w:t>
      </w:r>
    </w:p>
    <w:p>
      <w:pPr>
        <w:pStyle w:val="ListBullet"/>
        <w:spacing w:after="40"/>
      </w:pPr>
      <w:r>
        <w:rPr>
          <w:b/>
        </w:rPr>
        <w:t xml:space="preserve">Public nomination form: </w:t>
      </w:r>
      <w:r>
        <w:t>an unauthenticated submission created partner 17 in "nominated" status, sanctions screening ran automatically (clean), and the OB sees it in the register.</w:t>
      </w:r>
    </w:p>
    <w:p>
      <w:pPr>
        <w:pStyle w:val="ListBullet"/>
        <w:spacing w:after="40"/>
      </w:pPr>
      <w:r>
        <w:rPr>
          <w:b/>
        </w:rPr>
        <w:t xml:space="preserve">Crisis signals: </w:t>
      </w:r>
      <w:r>
        <w:t>the OB logged a manual signal; it appears in the tenant signal list and the Crisis Selector loads it.</w:t>
      </w:r>
    </w:p>
    <w:p>
      <w:pPr>
        <w:pStyle w:val="ListBullet"/>
        <w:spacing w:after="40"/>
      </w:pPr>
      <w:r>
        <w:rPr>
          <w:b/>
        </w:rPr>
        <w:t xml:space="preserve">Grievance channel: </w:t>
      </w:r>
      <w:r>
        <w:t>an anonymous public grievance was accepted, appeared in the OB triage queue, and completed the full triage → dismiss lifecycle with notes.</w:t>
      </w:r>
    </w:p>
    <w:p>
      <w:pPr>
        <w:pStyle w:val="ListBullet"/>
        <w:spacing w:after="40"/>
      </w:pPr>
      <w:r>
        <w:rPr>
          <w:b/>
        </w:rPr>
        <w:t xml:space="preserve">Email/notification side effects: </w:t>
      </w:r>
      <w:r>
        <w:t>deferred by infrastructure, not by choice — no email provider is configured on this deployment and WhatsApp delivery is blocked pending the Meta account unlock (separate ticket with the IT team). Worth retesting once either channel is live.</w:t>
      </w:r>
    </w:p>
    <w:p>
      <w:pPr>
        <w:spacing w:before="240" w:after="60"/>
      </w:pPr>
      <w:r>
        <w:rPr>
          <w:b/>
          <w:color w:val="C2410C"/>
          <w:sz w:val="26"/>
        </w:rPr>
        <w:t>Locked into the safety net</w:t>
      </w:r>
    </w:p>
    <w:p>
      <w:pPr>
        <w:spacing w:after="80"/>
      </w:pPr>
      <w:r>
        <w:t>The pre-deploy test suite gained a permanent audit-export check (now 78 checks, all passing): the exported file must contain every row the page counts, no exported row may carry another tenant’s label, and token actors must stay redacted. If any of these three ever regresses, the release fails before it ships.</w:t>
      </w:r>
    </w:p>
    <w:p>
      <w:pPr>
        <w:spacing w:before="200"/>
      </w:pPr>
      <w:r>
        <w:rPr>
          <w:b/>
          <w:color w:val="1B7A3D"/>
          <w:sz w:val="21"/>
        </w:rPr>
        <w:t>Bottom line: the audit export question is answered — a labelling bug plus a truncation bug, both fixed, no cross-tenant exposure at any point, chain integrity proven untouched. Every scope-dependent test from the coverage matrix that can run today now passes. Audit export tenant scoping: CLOSED.</w:t>
      </w:r>
    </w:p>
    <w:p>
      <w:pPr>
        <w:spacing w:before="200"/>
      </w:pPr>
      <w:r>
        <w:rPr>
          <w:i/>
          <w:color w:val="555555"/>
          <w:sz w:val="16"/>
        </w:rPr>
        <w:t>Production build 330a67096cbf · regression gate 78/78 · chain verified 278 rows / 0 breaks before and after repair · post-fix export: 212 of 212 rows, all correctly labelled · new QA artifacts on the demo tenant: disbursement 23 ($12,000, awaiting co-sign), partner 17, one crisis signal, one dismissed grievance · prepared by the engineering team, 14 July 2026.</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