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Calibri" w:hAnsi="Calibri"/>
          <w:b/>
          <w:color w:val="1B3A5C"/>
          <w:sz w:val="120"/>
        </w:rPr>
        <w:t>Kuja</w:t>
      </w:r>
    </w:p>
    <w:p>
      <w:pPr>
        <w:jc w:val="center"/>
      </w:pPr>
      <w:r>
        <w:rPr>
          <w:rFonts w:ascii="Calibri" w:hAnsi="Calibri"/>
          <w:color w:val="2C5F8A"/>
          <w:sz w:val="40"/>
        </w:rPr>
        <w:t>An AI-Powered Grant Management System</w:t>
      </w:r>
    </w:p>
    <w:p>
      <w:pPr>
        <w:jc w:val="center"/>
      </w:pPr>
      <w:r>
        <w:rPr>
          <w:rFonts w:ascii="Calibri" w:hAnsi="Calibri"/>
          <w:i/>
          <w:color w:val="64748B"/>
          <w:sz w:val="28"/>
        </w:rPr>
        <w:t>Built for the Global South</w:t>
      </w:r>
    </w:p>
    <w:p>
      <w:pPr>
        <w:spacing w:before="720"/>
        <w:jc w:val="center"/>
      </w:pPr>
      <w:r>
        <w:rPr>
          <w:rFonts w:ascii="Calibri" w:hAnsi="Calibri"/>
          <w:sz w:val="36"/>
        </w:rPr>
        <w:t>Business Requirements Document</w:t>
      </w:r>
    </w:p>
    <w:p>
      <w:pPr>
        <w:spacing w:before="480"/>
        <w:jc w:val="center"/>
      </w:pPr>
      <w:r>
        <w:rPr>
          <w:rFonts w:ascii="Calibri" w:hAnsi="Calibri"/>
          <w:i/>
          <w:color w:val="2C5F8A"/>
          <w:sz w:val="26"/>
        </w:rPr>
        <w:t>Findable. Fundable. Trusted.</w:t>
      </w:r>
    </w:p>
    <w:p>
      <w:pPr>
        <w:spacing w:before="4400"/>
        <w:jc w:val="center"/>
      </w:pPr>
      <w:r>
        <w:rPr>
          <w:rFonts w:ascii="Calibri" w:hAnsi="Calibri"/>
          <w:sz w:val="24"/>
        </w:rPr>
        <w:t>Version 5.0  |  May 2026</w:t>
      </w:r>
    </w:p>
    <w:p>
      <w:r>
        <w:br w:type="page"/>
      </w:r>
    </w:p>
    <w:p>
      <w:pPr>
        <w:pStyle w:val="Heading1"/>
      </w:pPr>
      <w:r>
        <w:rPr>
          <w:rFonts w:ascii="Calibri" w:hAnsi="Calibri"/>
          <w:color w:val="1B3A5C"/>
          <w:sz w:val="36"/>
        </w:rPr>
        <w:t>Document Control</w:t>
      </w:r>
    </w:p>
    <w:p>
      <w:pPr>
        <w:pStyle w:val="Heading2"/>
      </w:pPr>
      <w:r>
        <w:rPr>
          <w:rFonts w:ascii="Calibri" w:hAnsi="Calibri"/>
          <w:color w:val="1B3A5C"/>
          <w:sz w:val="26"/>
        </w:rPr>
        <w:t>Revision History</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008"/>
            <w:shd w:fill="1B3A5C"/>
          </w:tcPr>
          <w:p>
            <w:pPr>
              <w:jc w:val="left"/>
            </w:pPr>
            <w:r/>
            <w:r>
              <w:rPr>
                <w:rFonts w:ascii="Calibri" w:hAnsi="Calibri"/>
                <w:b/>
                <w:color w:val="FFFFFF"/>
                <w:sz w:val="18"/>
              </w:rPr>
              <w:t>Version</w:t>
            </w:r>
          </w:p>
        </w:tc>
        <w:tc>
          <w:tcPr>
            <w:tcW w:type="dxa" w:w="1584"/>
            <w:shd w:fill="1B3A5C"/>
          </w:tcPr>
          <w:p>
            <w:pPr>
              <w:jc w:val="left"/>
            </w:pPr>
            <w:r/>
            <w:r>
              <w:rPr>
                <w:rFonts w:ascii="Calibri" w:hAnsi="Calibri"/>
                <w:b/>
                <w:color w:val="FFFFFF"/>
                <w:sz w:val="18"/>
              </w:rPr>
              <w:t>Date</w:t>
            </w:r>
          </w:p>
        </w:tc>
        <w:tc>
          <w:tcPr>
            <w:tcW w:type="dxa" w:w="1584"/>
            <w:shd w:fill="1B3A5C"/>
          </w:tcPr>
          <w:p>
            <w:pPr>
              <w:jc w:val="left"/>
            </w:pPr>
            <w:r/>
            <w:r>
              <w:rPr>
                <w:rFonts w:ascii="Calibri" w:hAnsi="Calibri"/>
                <w:b/>
                <w:color w:val="FFFFFF"/>
                <w:sz w:val="18"/>
              </w:rPr>
              <w:t>Author</w:t>
            </w:r>
          </w:p>
        </w:tc>
        <w:tc>
          <w:tcPr>
            <w:tcW w:type="dxa" w:w="5184"/>
            <w:shd w:fill="1B3A5C"/>
          </w:tcPr>
          <w:p>
            <w:pPr>
              <w:jc w:val="left"/>
            </w:pPr>
            <w:r/>
            <w:r>
              <w:rPr>
                <w:rFonts w:ascii="Calibri" w:hAnsi="Calibri"/>
                <w:b/>
                <w:color w:val="FFFFFF"/>
                <w:sz w:val="18"/>
              </w:rPr>
              <w:t>Description</w:t>
            </w:r>
          </w:p>
        </w:tc>
      </w:tr>
      <w:tr>
        <w:tc>
          <w:tcPr>
            <w:tcW w:type="dxa" w:w="1008"/>
            <w:shd w:fill="F2F6FA"/>
          </w:tcPr>
          <w:p>
            <w:r/>
            <w:r>
              <w:rPr>
                <w:rFonts w:ascii="Calibri" w:hAnsi="Calibri"/>
                <w:sz w:val="18"/>
              </w:rPr>
              <w:t>1.0</w:t>
            </w:r>
          </w:p>
        </w:tc>
        <w:tc>
          <w:tcPr>
            <w:tcW w:type="dxa" w:w="1584"/>
            <w:shd w:fill="F2F6FA"/>
          </w:tcPr>
          <w:p>
            <w:r/>
            <w:r>
              <w:rPr>
                <w:rFonts w:ascii="Calibri" w:hAnsi="Calibri"/>
                <w:sz w:val="18"/>
              </w:rPr>
              <w:t>January 2026</w:t>
            </w:r>
          </w:p>
        </w:tc>
        <w:tc>
          <w:tcPr>
            <w:tcW w:type="dxa" w:w="1584"/>
            <w:shd w:fill="F2F6FA"/>
          </w:tcPr>
          <w:p>
            <w:r/>
            <w:r>
              <w:rPr>
                <w:rFonts w:ascii="Calibri" w:hAnsi="Calibri"/>
                <w:sz w:val="18"/>
              </w:rPr>
              <w:t>Kuja Team</w:t>
            </w:r>
          </w:p>
        </w:tc>
        <w:tc>
          <w:tcPr>
            <w:tcW w:type="dxa" w:w="5184"/>
            <w:shd w:fill="F2F6FA"/>
          </w:tcPr>
          <w:p>
            <w:r/>
            <w:r>
              <w:rPr>
                <w:rFonts w:ascii="Calibri" w:hAnsi="Calibri"/>
                <w:sz w:val="18"/>
              </w:rPr>
              <w:t>Initial release — core grant lifecycle</w:t>
            </w:r>
          </w:p>
        </w:tc>
      </w:tr>
      <w:tr>
        <w:tc>
          <w:tcPr>
            <w:tcW w:type="dxa" w:w="1008"/>
            <w:shd w:fill="FFFFFF"/>
          </w:tcPr>
          <w:p>
            <w:r/>
            <w:r>
              <w:rPr>
                <w:rFonts w:ascii="Calibri" w:hAnsi="Calibri"/>
                <w:sz w:val="18"/>
              </w:rPr>
              <w:t>2.0</w:t>
            </w:r>
          </w:p>
        </w:tc>
        <w:tc>
          <w:tcPr>
            <w:tcW w:type="dxa" w:w="1584"/>
            <w:shd w:fill="FFFFFF"/>
          </w:tcPr>
          <w:p>
            <w:r/>
            <w:r>
              <w:rPr>
                <w:rFonts w:ascii="Calibri" w:hAnsi="Calibri"/>
                <w:sz w:val="18"/>
              </w:rPr>
              <w:t>February 2026</w:t>
            </w:r>
          </w:p>
        </w:tc>
        <w:tc>
          <w:tcPr>
            <w:tcW w:type="dxa" w:w="1584"/>
            <w:shd w:fill="FFFFFF"/>
          </w:tcPr>
          <w:p>
            <w:r/>
            <w:r>
              <w:rPr>
                <w:rFonts w:ascii="Calibri" w:hAnsi="Calibri"/>
                <w:sz w:val="18"/>
              </w:rPr>
              <w:t>Kuja Team</w:t>
            </w:r>
          </w:p>
        </w:tc>
        <w:tc>
          <w:tcPr>
            <w:tcW w:type="dxa" w:w="5184"/>
            <w:shd w:fill="FFFFFF"/>
          </w:tcPr>
          <w:p>
            <w:r/>
            <w:r>
              <w:rPr>
                <w:rFonts w:ascii="Calibri" w:hAnsi="Calibri"/>
                <w:sz w:val="18"/>
              </w:rPr>
              <w:t>AI services, capacity assessment, sanctions screening</w:t>
            </w:r>
          </w:p>
        </w:tc>
      </w:tr>
      <w:tr>
        <w:tc>
          <w:tcPr>
            <w:tcW w:type="dxa" w:w="1008"/>
            <w:shd w:fill="F2F6FA"/>
          </w:tcPr>
          <w:p>
            <w:r/>
            <w:r>
              <w:rPr>
                <w:rFonts w:ascii="Calibri" w:hAnsi="Calibri"/>
                <w:sz w:val="18"/>
              </w:rPr>
              <w:t>3.0</w:t>
            </w:r>
          </w:p>
        </w:tc>
        <w:tc>
          <w:tcPr>
            <w:tcW w:type="dxa" w:w="1584"/>
            <w:shd w:fill="F2F6FA"/>
          </w:tcPr>
          <w:p>
            <w:r/>
            <w:r>
              <w:rPr>
                <w:rFonts w:ascii="Calibri" w:hAnsi="Calibri"/>
                <w:sz w:val="18"/>
              </w:rPr>
              <w:t>March 2026</w:t>
            </w:r>
          </w:p>
        </w:tc>
        <w:tc>
          <w:tcPr>
            <w:tcW w:type="dxa" w:w="1584"/>
            <w:shd w:fill="F2F6FA"/>
          </w:tcPr>
          <w:p>
            <w:r/>
            <w:r>
              <w:rPr>
                <w:rFonts w:ascii="Calibri" w:hAnsi="Calibri"/>
                <w:sz w:val="18"/>
              </w:rPr>
              <w:t>Kuja Team</w:t>
            </w:r>
          </w:p>
        </w:tc>
        <w:tc>
          <w:tcPr>
            <w:tcW w:type="dxa" w:w="5184"/>
            <w:shd w:fill="F2F6FA"/>
          </w:tcPr>
          <w:p>
            <w:r/>
            <w:r>
              <w:rPr>
                <w:rFonts w:ascii="Calibri" w:hAnsi="Calibri"/>
                <w:sz w:val="18"/>
              </w:rPr>
              <w:t>Live sanctions, registry verification, AI reporting, donor requirements</w:t>
            </w:r>
          </w:p>
        </w:tc>
      </w:tr>
      <w:tr>
        <w:tc>
          <w:tcPr>
            <w:tcW w:type="dxa" w:w="1008"/>
            <w:shd w:fill="FFFFFF"/>
          </w:tcPr>
          <w:p>
            <w:r/>
            <w:r>
              <w:rPr>
                <w:rFonts w:ascii="Calibri" w:hAnsi="Calibri"/>
                <w:sz w:val="18"/>
              </w:rPr>
              <w:t>4.0</w:t>
            </w:r>
          </w:p>
        </w:tc>
        <w:tc>
          <w:tcPr>
            <w:tcW w:type="dxa" w:w="1584"/>
            <w:shd w:fill="FFFFFF"/>
          </w:tcPr>
          <w:p>
            <w:r/>
            <w:r>
              <w:rPr>
                <w:rFonts w:ascii="Calibri" w:hAnsi="Calibri"/>
                <w:sz w:val="18"/>
              </w:rPr>
              <w:t>April 2026</w:t>
            </w:r>
          </w:p>
        </w:tc>
        <w:tc>
          <w:tcPr>
            <w:tcW w:type="dxa" w:w="1584"/>
            <w:shd w:fill="FFFFFF"/>
          </w:tcPr>
          <w:p>
            <w:r/>
            <w:r>
              <w:rPr>
                <w:rFonts w:ascii="Calibri" w:hAnsi="Calibri"/>
                <w:sz w:val="18"/>
              </w:rPr>
              <w:t>Kuja Team</w:t>
            </w:r>
          </w:p>
        </w:tc>
        <w:tc>
          <w:tcPr>
            <w:tcW w:type="dxa" w:w="5184"/>
            <w:shd w:fill="FFFFFF"/>
          </w:tcPr>
          <w:p>
            <w:r/>
            <w:r>
              <w:rPr>
                <w:rFonts w:ascii="Calibri" w:hAnsi="Calibri"/>
                <w:sz w:val="18"/>
              </w:rPr>
              <w:t>Match engine, grant Q&amp;A, diligence room, two-phase intake lifecycle, NGO This-Week home, decision audit, donor portfolio diagnostics</w:t>
            </w:r>
          </w:p>
        </w:tc>
      </w:tr>
      <w:tr>
        <w:tc>
          <w:tcPr>
            <w:tcW w:type="dxa" w:w="1008"/>
            <w:shd w:fill="F2F6FA"/>
          </w:tcPr>
          <w:p>
            <w:r/>
            <w:r>
              <w:rPr>
                <w:rFonts w:ascii="Calibri" w:hAnsi="Calibri"/>
                <w:sz w:val="18"/>
              </w:rPr>
              <w:t>5.0</w:t>
            </w:r>
          </w:p>
        </w:tc>
        <w:tc>
          <w:tcPr>
            <w:tcW w:type="dxa" w:w="1584"/>
            <w:shd w:fill="F2F6FA"/>
          </w:tcPr>
          <w:p>
            <w:r/>
            <w:r>
              <w:rPr>
                <w:rFonts w:ascii="Calibri" w:hAnsi="Calibri"/>
                <w:sz w:val="18"/>
              </w:rPr>
              <w:t>May 2026</w:t>
            </w:r>
          </w:p>
        </w:tc>
        <w:tc>
          <w:tcPr>
            <w:tcW w:type="dxa" w:w="1584"/>
            <w:shd w:fill="F2F6FA"/>
          </w:tcPr>
          <w:p>
            <w:r/>
            <w:r>
              <w:rPr>
                <w:rFonts w:ascii="Calibri" w:hAnsi="Calibri"/>
                <w:sz w:val="18"/>
              </w:rPr>
              <w:t>Kuja Team</w:t>
            </w:r>
          </w:p>
        </w:tc>
        <w:tc>
          <w:tcPr>
            <w:tcW w:type="dxa" w:w="5184"/>
            <w:shd w:fill="F2F6FA"/>
          </w:tcPr>
          <w:p>
            <w:r/>
            <w:r>
              <w:rPr>
                <w:rFonts w:ascii="Calibri" w:hAnsi="Calibri"/>
                <w:sz w:val="18"/>
              </w:rPr>
              <w:t>Capacity assessment passporting, deeply embedded AI integration as a working partner, compliance health &amp; trajectory, risk register, organisational memory &amp; provenance, web push, async AI dispatcher, admin self-service &amp; system health</w:t>
            </w:r>
          </w:p>
        </w:tc>
      </w:tr>
    </w:tbl>
    <w:p/>
    <w:p>
      <w:pPr>
        <w:pStyle w:val="Heading2"/>
      </w:pPr>
      <w:r>
        <w:rPr>
          <w:rFonts w:ascii="Calibri" w:hAnsi="Calibri"/>
          <w:color w:val="1B3A5C"/>
          <w:sz w:val="26"/>
        </w:rPr>
        <w:t>Approval</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160"/>
            <w:shd w:fill="1B3A5C"/>
          </w:tcPr>
          <w:p>
            <w:pPr>
              <w:jc w:val="left"/>
            </w:pPr>
            <w:r/>
            <w:r>
              <w:rPr>
                <w:rFonts w:ascii="Calibri" w:hAnsi="Calibri"/>
                <w:b/>
                <w:color w:val="FFFFFF"/>
                <w:sz w:val="18"/>
              </w:rPr>
              <w:t>Role</w:t>
            </w:r>
          </w:p>
        </w:tc>
        <w:tc>
          <w:tcPr>
            <w:tcW w:type="dxa" w:w="2880"/>
            <w:shd w:fill="1B3A5C"/>
          </w:tcPr>
          <w:p>
            <w:pPr>
              <w:jc w:val="left"/>
            </w:pPr>
            <w:r/>
            <w:r>
              <w:rPr>
                <w:rFonts w:ascii="Calibri" w:hAnsi="Calibri"/>
                <w:b/>
                <w:color w:val="FFFFFF"/>
                <w:sz w:val="18"/>
              </w:rPr>
              <w:t>Name</w:t>
            </w:r>
          </w:p>
        </w:tc>
        <w:tc>
          <w:tcPr>
            <w:tcW w:type="dxa" w:w="2592"/>
            <w:shd w:fill="1B3A5C"/>
          </w:tcPr>
          <w:p>
            <w:pPr>
              <w:jc w:val="left"/>
            </w:pPr>
            <w:r/>
            <w:r>
              <w:rPr>
                <w:rFonts w:ascii="Calibri" w:hAnsi="Calibri"/>
                <w:b/>
                <w:color w:val="FFFFFF"/>
                <w:sz w:val="18"/>
              </w:rPr>
              <w:t>Signature</w:t>
            </w:r>
          </w:p>
        </w:tc>
        <w:tc>
          <w:tcPr>
            <w:tcW w:type="dxa" w:w="1728"/>
            <w:shd w:fill="1B3A5C"/>
          </w:tcPr>
          <w:p>
            <w:pPr>
              <w:jc w:val="left"/>
            </w:pPr>
            <w:r/>
            <w:r>
              <w:rPr>
                <w:rFonts w:ascii="Calibri" w:hAnsi="Calibri"/>
                <w:b/>
                <w:color w:val="FFFFFF"/>
                <w:sz w:val="18"/>
              </w:rPr>
              <w:t>Date</w:t>
            </w:r>
          </w:p>
        </w:tc>
      </w:tr>
      <w:tr>
        <w:tc>
          <w:tcPr>
            <w:tcW w:type="dxa" w:w="2160"/>
            <w:shd w:fill="F2F6FA"/>
          </w:tcPr>
          <w:p>
            <w:r/>
            <w:r>
              <w:rPr>
                <w:rFonts w:ascii="Calibri" w:hAnsi="Calibri"/>
                <w:sz w:val="18"/>
              </w:rPr>
              <w:t>Project Sponsor</w:t>
            </w:r>
          </w:p>
        </w:tc>
        <w:tc>
          <w:tcPr>
            <w:tcW w:type="dxa" w:w="2880"/>
            <w:shd w:fill="F2F6FA"/>
          </w:tcPr>
          <w:p>
            <w:r/>
            <w:r>
              <w:rPr>
                <w:rFonts w:ascii="Calibri" w:hAnsi="Calibri"/>
                <w:sz w:val="18"/>
              </w:rPr>
            </w:r>
          </w:p>
        </w:tc>
        <w:tc>
          <w:tcPr>
            <w:tcW w:type="dxa" w:w="2592"/>
            <w:shd w:fill="F2F6FA"/>
          </w:tcPr>
          <w:p>
            <w:r/>
            <w:r>
              <w:rPr>
                <w:rFonts w:ascii="Calibri" w:hAnsi="Calibri"/>
                <w:sz w:val="18"/>
              </w:rPr>
            </w:r>
          </w:p>
        </w:tc>
        <w:tc>
          <w:tcPr>
            <w:tcW w:type="dxa" w:w="1728"/>
            <w:shd w:fill="F2F6FA"/>
          </w:tcPr>
          <w:p>
            <w:r/>
            <w:r>
              <w:rPr>
                <w:rFonts w:ascii="Calibri" w:hAnsi="Calibri"/>
                <w:sz w:val="18"/>
              </w:rPr>
            </w:r>
          </w:p>
        </w:tc>
      </w:tr>
      <w:tr>
        <w:tc>
          <w:tcPr>
            <w:tcW w:type="dxa" w:w="2160"/>
            <w:shd w:fill="FFFFFF"/>
          </w:tcPr>
          <w:p>
            <w:r/>
            <w:r>
              <w:rPr>
                <w:rFonts w:ascii="Calibri" w:hAnsi="Calibri"/>
                <w:sz w:val="18"/>
              </w:rPr>
              <w:t>Product Owner</w:t>
            </w:r>
          </w:p>
        </w:tc>
        <w:tc>
          <w:tcPr>
            <w:tcW w:type="dxa" w:w="2880"/>
            <w:shd w:fill="FFFFFF"/>
          </w:tcPr>
          <w:p>
            <w:r/>
            <w:r>
              <w:rPr>
                <w:rFonts w:ascii="Calibri" w:hAnsi="Calibri"/>
                <w:sz w:val="18"/>
              </w:rPr>
            </w:r>
          </w:p>
        </w:tc>
        <w:tc>
          <w:tcPr>
            <w:tcW w:type="dxa" w:w="2592"/>
            <w:shd w:fill="FFFFFF"/>
          </w:tcPr>
          <w:p>
            <w:r/>
            <w:r>
              <w:rPr>
                <w:rFonts w:ascii="Calibri" w:hAnsi="Calibri"/>
                <w:sz w:val="18"/>
              </w:rPr>
            </w:r>
          </w:p>
        </w:tc>
        <w:tc>
          <w:tcPr>
            <w:tcW w:type="dxa" w:w="1728"/>
            <w:shd w:fill="FFFFFF"/>
          </w:tcPr>
          <w:p>
            <w:r/>
            <w:r>
              <w:rPr>
                <w:rFonts w:ascii="Calibri" w:hAnsi="Calibri"/>
                <w:sz w:val="18"/>
              </w:rPr>
            </w:r>
          </w:p>
        </w:tc>
      </w:tr>
      <w:tr>
        <w:tc>
          <w:tcPr>
            <w:tcW w:type="dxa" w:w="2160"/>
            <w:shd w:fill="F2F6FA"/>
          </w:tcPr>
          <w:p>
            <w:r/>
            <w:r>
              <w:rPr>
                <w:rFonts w:ascii="Calibri" w:hAnsi="Calibri"/>
                <w:sz w:val="18"/>
              </w:rPr>
              <w:t>Technical Lead</w:t>
            </w:r>
          </w:p>
        </w:tc>
        <w:tc>
          <w:tcPr>
            <w:tcW w:type="dxa" w:w="2880"/>
            <w:shd w:fill="F2F6FA"/>
          </w:tcPr>
          <w:p>
            <w:r/>
            <w:r>
              <w:rPr>
                <w:rFonts w:ascii="Calibri" w:hAnsi="Calibri"/>
                <w:sz w:val="18"/>
              </w:rPr>
            </w:r>
          </w:p>
        </w:tc>
        <w:tc>
          <w:tcPr>
            <w:tcW w:type="dxa" w:w="2592"/>
            <w:shd w:fill="F2F6FA"/>
          </w:tcPr>
          <w:p>
            <w:r/>
            <w:r>
              <w:rPr>
                <w:rFonts w:ascii="Calibri" w:hAnsi="Calibri"/>
                <w:sz w:val="18"/>
              </w:rPr>
            </w:r>
          </w:p>
        </w:tc>
        <w:tc>
          <w:tcPr>
            <w:tcW w:type="dxa" w:w="1728"/>
            <w:shd w:fill="F2F6FA"/>
          </w:tcPr>
          <w:p>
            <w:r/>
            <w:r>
              <w:rPr>
                <w:rFonts w:ascii="Calibri" w:hAnsi="Calibri"/>
                <w:sz w:val="18"/>
              </w:rPr>
            </w:r>
          </w:p>
        </w:tc>
      </w:tr>
      <w:tr>
        <w:tc>
          <w:tcPr>
            <w:tcW w:type="dxa" w:w="2160"/>
            <w:shd w:fill="FFFFFF"/>
          </w:tcPr>
          <w:p>
            <w:r/>
            <w:r>
              <w:rPr>
                <w:rFonts w:ascii="Calibri" w:hAnsi="Calibri"/>
                <w:sz w:val="18"/>
              </w:rPr>
              <w:t>QA Lead</w:t>
            </w:r>
          </w:p>
        </w:tc>
        <w:tc>
          <w:tcPr>
            <w:tcW w:type="dxa" w:w="2880"/>
            <w:shd w:fill="FFFFFF"/>
          </w:tcPr>
          <w:p>
            <w:r/>
            <w:r>
              <w:rPr>
                <w:rFonts w:ascii="Calibri" w:hAnsi="Calibri"/>
                <w:sz w:val="18"/>
              </w:rPr>
            </w:r>
          </w:p>
        </w:tc>
        <w:tc>
          <w:tcPr>
            <w:tcW w:type="dxa" w:w="2592"/>
            <w:shd w:fill="FFFFFF"/>
          </w:tcPr>
          <w:p>
            <w:r/>
            <w:r>
              <w:rPr>
                <w:rFonts w:ascii="Calibri" w:hAnsi="Calibri"/>
                <w:sz w:val="18"/>
              </w:rPr>
            </w:r>
          </w:p>
        </w:tc>
        <w:tc>
          <w:tcPr>
            <w:tcW w:type="dxa" w:w="1728"/>
            <w:shd w:fill="FFFFFF"/>
          </w:tcPr>
          <w:p>
            <w:r/>
            <w:r>
              <w:rPr>
                <w:rFonts w:ascii="Calibri" w:hAnsi="Calibri"/>
                <w:sz w:val="18"/>
              </w:rPr>
            </w:r>
          </w:p>
        </w:tc>
      </w:tr>
      <w:tr>
        <w:tc>
          <w:tcPr>
            <w:tcW w:type="dxa" w:w="2160"/>
            <w:shd w:fill="F2F6FA"/>
          </w:tcPr>
          <w:p>
            <w:r/>
            <w:r>
              <w:rPr>
                <w:rFonts w:ascii="Calibri" w:hAnsi="Calibri"/>
                <w:sz w:val="18"/>
              </w:rPr>
              <w:t>Partner Reviewer</w:t>
            </w:r>
          </w:p>
        </w:tc>
        <w:tc>
          <w:tcPr>
            <w:tcW w:type="dxa" w:w="2880"/>
            <w:shd w:fill="F2F6FA"/>
          </w:tcPr>
          <w:p>
            <w:r/>
            <w:r>
              <w:rPr>
                <w:rFonts w:ascii="Calibri" w:hAnsi="Calibri"/>
                <w:sz w:val="18"/>
              </w:rPr>
            </w:r>
          </w:p>
        </w:tc>
        <w:tc>
          <w:tcPr>
            <w:tcW w:type="dxa" w:w="2592"/>
            <w:shd w:fill="F2F6FA"/>
          </w:tcPr>
          <w:p>
            <w:r/>
            <w:r>
              <w:rPr>
                <w:rFonts w:ascii="Calibri" w:hAnsi="Calibri"/>
                <w:sz w:val="18"/>
              </w:rPr>
            </w:r>
          </w:p>
        </w:tc>
        <w:tc>
          <w:tcPr>
            <w:tcW w:type="dxa" w:w="1728"/>
            <w:shd w:fill="F2F6FA"/>
          </w:tcPr>
          <w:p>
            <w:r/>
            <w:r>
              <w:rPr>
                <w:rFonts w:ascii="Calibri" w:hAnsi="Calibri"/>
                <w:sz w:val="18"/>
              </w:rPr>
            </w:r>
          </w:p>
        </w:tc>
      </w:tr>
    </w:tbl>
    <w:p>
      <w:r>
        <w:br w:type="page"/>
      </w:r>
    </w:p>
    <w:p>
      <w:pPr>
        <w:pStyle w:val="Heading1"/>
      </w:pPr>
      <w:r>
        <w:rPr>
          <w:rFonts w:ascii="Calibri" w:hAnsi="Calibri"/>
          <w:color w:val="1B3A5C"/>
          <w:sz w:val="36"/>
        </w:rPr>
        <w:t>Table of Contents</w:t>
      </w:r>
    </w:p>
    <w:p>
      <w:pPr>
        <w:spacing w:after="20" w:before="20"/>
      </w:pPr>
      <w:r>
        <w:rPr>
          <w:rFonts w:ascii="Calibri" w:hAnsi="Calibri"/>
          <w:b/>
          <w:color w:val="1B3A5C"/>
          <w:sz w:val="20"/>
        </w:rPr>
        <w:t>1. Executive Summary</w:t>
      </w:r>
    </w:p>
    <w:p>
      <w:pPr>
        <w:spacing w:after="20" w:before="20"/>
      </w:pPr>
      <w:r>
        <w:rPr>
          <w:rFonts w:ascii="Calibri" w:hAnsi="Calibri"/>
          <w:b/>
          <w:color w:val="1B3A5C"/>
          <w:sz w:val="20"/>
        </w:rPr>
        <w:t>2. The Problem We Address</w:t>
      </w:r>
    </w:p>
    <w:p>
      <w:pPr>
        <w:spacing w:after="20" w:before="20"/>
      </w:pPr>
      <w:r>
        <w:rPr>
          <w:rFonts w:ascii="Calibri" w:hAnsi="Calibri"/>
          <w:color w:val="333333"/>
          <w:sz w:val="20"/>
        </w:rPr>
        <w:t xml:space="preserve">    2.1 The NGO experience today</w:t>
      </w:r>
    </w:p>
    <w:p>
      <w:pPr>
        <w:spacing w:after="20" w:before="20"/>
      </w:pPr>
      <w:r>
        <w:rPr>
          <w:rFonts w:ascii="Calibri" w:hAnsi="Calibri"/>
          <w:color w:val="333333"/>
          <w:sz w:val="20"/>
        </w:rPr>
        <w:t xml:space="preserve">    2.2 The donor experience today</w:t>
      </w:r>
    </w:p>
    <w:p>
      <w:pPr>
        <w:spacing w:after="20" w:before="20"/>
      </w:pPr>
      <w:r>
        <w:rPr>
          <w:rFonts w:ascii="Calibri" w:hAnsi="Calibri"/>
          <w:color w:val="333333"/>
          <w:sz w:val="20"/>
        </w:rPr>
        <w:t xml:space="preserve">    2.3 The reviewer experience today</w:t>
      </w:r>
    </w:p>
    <w:p>
      <w:pPr>
        <w:spacing w:after="20" w:before="20"/>
      </w:pPr>
      <w:r>
        <w:rPr>
          <w:rFonts w:ascii="Calibri" w:hAnsi="Calibri"/>
          <w:b/>
          <w:color w:val="1B3A5C"/>
          <w:sz w:val="20"/>
        </w:rPr>
        <w:t>3. Vision and Objectives</w:t>
      </w:r>
    </w:p>
    <w:p>
      <w:pPr>
        <w:spacing w:after="20" w:before="20"/>
      </w:pPr>
      <w:r>
        <w:rPr>
          <w:rFonts w:ascii="Calibri" w:hAnsi="Calibri"/>
          <w:b/>
          <w:color w:val="1B3A5C"/>
          <w:sz w:val="20"/>
        </w:rPr>
        <w:t>4. Target Users</w:t>
      </w:r>
    </w:p>
    <w:p>
      <w:pPr>
        <w:spacing w:after="20" w:before="20"/>
      </w:pPr>
      <w:r>
        <w:rPr>
          <w:rFonts w:ascii="Calibri" w:hAnsi="Calibri"/>
          <w:b/>
          <w:color w:val="1B3A5C"/>
          <w:sz w:val="20"/>
        </w:rPr>
        <w:t>5. Solution Overview</w:t>
      </w:r>
    </w:p>
    <w:p>
      <w:pPr>
        <w:spacing w:after="20" w:before="20"/>
      </w:pPr>
      <w:r>
        <w:rPr>
          <w:rFonts w:ascii="Calibri" w:hAnsi="Calibri"/>
          <w:color w:val="333333"/>
          <w:sz w:val="20"/>
        </w:rPr>
        <w:t xml:space="preserve">    5.1 System Architecture</w:t>
      </w:r>
    </w:p>
    <w:p>
      <w:pPr>
        <w:spacing w:after="20" w:before="20"/>
      </w:pPr>
      <w:r>
        <w:rPr>
          <w:rFonts w:ascii="Calibri" w:hAnsi="Calibri"/>
          <w:color w:val="333333"/>
          <w:sz w:val="20"/>
        </w:rPr>
        <w:t xml:space="preserve">    5.2 Action-Driven Workspaces</w:t>
      </w:r>
    </w:p>
    <w:p>
      <w:pPr>
        <w:spacing w:after="20" w:before="20"/>
      </w:pPr>
      <w:r>
        <w:rPr>
          <w:rFonts w:ascii="Calibri" w:hAnsi="Calibri"/>
          <w:color w:val="333333"/>
          <w:sz w:val="20"/>
        </w:rPr>
        <w:t xml:space="preserve">    5.3 The Organisation Trust Profile</w:t>
      </w:r>
    </w:p>
    <w:p>
      <w:pPr>
        <w:spacing w:after="20" w:before="20"/>
      </w:pPr>
      <w:r>
        <w:rPr>
          <w:rFonts w:ascii="Calibri" w:hAnsi="Calibri"/>
          <w:b/>
          <w:color w:val="1B3A5C"/>
          <w:sz w:val="20"/>
        </w:rPr>
        <w:t>6. Functional Requirements</w:t>
      </w:r>
    </w:p>
    <w:p>
      <w:pPr>
        <w:spacing w:after="20" w:before="20"/>
      </w:pPr>
      <w:r>
        <w:rPr>
          <w:rFonts w:ascii="Calibri" w:hAnsi="Calibri"/>
          <w:color w:val="333333"/>
          <w:sz w:val="20"/>
        </w:rPr>
        <w:t xml:space="preserve">    6.1 Identity, Access and Authentication</w:t>
      </w:r>
    </w:p>
    <w:p>
      <w:pPr>
        <w:spacing w:after="20" w:before="20"/>
      </w:pPr>
      <w:r>
        <w:rPr>
          <w:rFonts w:ascii="Calibri" w:hAnsi="Calibri"/>
          <w:color w:val="333333"/>
          <w:sz w:val="20"/>
        </w:rPr>
        <w:t xml:space="preserve">    6.2 Grant Lifecycle Management (two creation paths)</w:t>
      </w:r>
    </w:p>
    <w:p>
      <w:pPr>
        <w:spacing w:after="20" w:before="20"/>
      </w:pPr>
      <w:r>
        <w:rPr>
          <w:rFonts w:ascii="Calibri" w:hAnsi="Calibri"/>
          <w:color w:val="333333"/>
          <w:sz w:val="20"/>
        </w:rPr>
        <w:t xml:space="preserve">    6.3 Application Lifecycle Management</w:t>
      </w:r>
    </w:p>
    <w:p>
      <w:pPr>
        <w:spacing w:after="20" w:before="20"/>
      </w:pPr>
      <w:r>
        <w:rPr>
          <w:rFonts w:ascii="Calibri" w:hAnsi="Calibri"/>
          <w:color w:val="333333"/>
          <w:sz w:val="20"/>
        </w:rPr>
        <w:t xml:space="preserve">    6.4 Capacity Assessment and Passporting</w:t>
      </w:r>
    </w:p>
    <w:p>
      <w:pPr>
        <w:spacing w:after="20" w:before="20"/>
      </w:pPr>
      <w:r>
        <w:rPr>
          <w:rFonts w:ascii="Calibri" w:hAnsi="Calibri"/>
          <w:color w:val="333333"/>
          <w:sz w:val="20"/>
        </w:rPr>
        <w:t xml:space="preserve">    6.5 Document Management and Real-Time Analysis</w:t>
      </w:r>
    </w:p>
    <w:p>
      <w:pPr>
        <w:spacing w:after="20" w:before="20"/>
      </w:pPr>
      <w:r>
        <w:rPr>
          <w:rFonts w:ascii="Calibri" w:hAnsi="Calibri"/>
          <w:color w:val="333333"/>
          <w:sz w:val="20"/>
        </w:rPr>
        <w:t xml:space="preserve">    6.6 Embedded AI Intelligence Across the Workflow</w:t>
      </w:r>
    </w:p>
    <w:p>
      <w:pPr>
        <w:spacing w:after="20" w:before="20"/>
      </w:pPr>
      <w:r>
        <w:rPr>
          <w:rFonts w:ascii="Calibri" w:hAnsi="Calibri"/>
          <w:color w:val="333333"/>
          <w:sz w:val="20"/>
        </w:rPr>
        <w:t xml:space="preserve">    6.7 Due Diligence and Trust Verification</w:t>
      </w:r>
    </w:p>
    <w:p>
      <w:pPr>
        <w:spacing w:after="20" w:before="20"/>
      </w:pPr>
      <w:r>
        <w:rPr>
          <w:rFonts w:ascii="Calibri" w:hAnsi="Calibri"/>
          <w:i/>
          <w:color w:val="64748B"/>
          <w:sz w:val="18"/>
        </w:rPr>
        <w:t xml:space="preserve">        6.7.1 Sanctions, AML and CTF Screening</w:t>
      </w:r>
    </w:p>
    <w:p>
      <w:pPr>
        <w:spacing w:after="20" w:before="20"/>
      </w:pPr>
      <w:r>
        <w:rPr>
          <w:rFonts w:ascii="Calibri" w:hAnsi="Calibri"/>
          <w:i/>
          <w:color w:val="64748B"/>
          <w:sz w:val="18"/>
        </w:rPr>
        <w:t xml:space="preserve">        6.7.2 Registration and Standing Verification</w:t>
      </w:r>
    </w:p>
    <w:p>
      <w:pPr>
        <w:spacing w:after="20" w:before="20"/>
      </w:pPr>
      <w:r>
        <w:rPr>
          <w:rFonts w:ascii="Calibri" w:hAnsi="Calibri"/>
          <w:i/>
          <w:color w:val="64748B"/>
          <w:sz w:val="18"/>
        </w:rPr>
        <w:t xml:space="preserve">        6.7.3 Beneficial Ownership Transparency</w:t>
      </w:r>
    </w:p>
    <w:p>
      <w:pPr>
        <w:spacing w:after="20" w:before="20"/>
      </w:pPr>
      <w:r>
        <w:rPr>
          <w:rFonts w:ascii="Calibri" w:hAnsi="Calibri"/>
          <w:i/>
          <w:color w:val="64748B"/>
          <w:sz w:val="18"/>
        </w:rPr>
        <w:t xml:space="preserve">        6.7.4 Adverse Media Monitoring</w:t>
      </w:r>
    </w:p>
    <w:p>
      <w:pPr>
        <w:spacing w:after="20" w:before="20"/>
      </w:pPr>
      <w:r>
        <w:rPr>
          <w:rFonts w:ascii="Calibri" w:hAnsi="Calibri"/>
          <w:i/>
          <w:color w:val="64748B"/>
          <w:sz w:val="18"/>
        </w:rPr>
        <w:t xml:space="preserve">        6.7.5 AI integration across due diligence</w:t>
      </w:r>
    </w:p>
    <w:p>
      <w:pPr>
        <w:spacing w:after="20" w:before="20"/>
      </w:pPr>
      <w:r>
        <w:rPr>
          <w:rFonts w:ascii="Calibri" w:hAnsi="Calibri"/>
          <w:i/>
          <w:color w:val="64748B"/>
          <w:sz w:val="18"/>
        </w:rPr>
        <w:t xml:space="preserve">        6.7.6 Shared mechanics</w:t>
      </w:r>
    </w:p>
    <w:p>
      <w:pPr>
        <w:spacing w:after="20" w:before="20"/>
      </w:pPr>
      <w:r>
        <w:rPr>
          <w:rFonts w:ascii="Calibri" w:hAnsi="Calibri"/>
          <w:color w:val="333333"/>
          <w:sz w:val="20"/>
        </w:rPr>
        <w:t xml:space="preserve">    6.8 Reporting and Outcome Tracking</w:t>
      </w:r>
    </w:p>
    <w:p>
      <w:pPr>
        <w:spacing w:after="20" w:before="20"/>
      </w:pPr>
      <w:r>
        <w:rPr>
          <w:rFonts w:ascii="Calibri" w:hAnsi="Calibri"/>
          <w:color w:val="333333"/>
          <w:sz w:val="20"/>
        </w:rPr>
        <w:t xml:space="preserve">    6.9 Compliance and Risk — Simplified for Both Sides</w:t>
      </w:r>
    </w:p>
    <w:p>
      <w:pPr>
        <w:spacing w:after="20" w:before="20"/>
      </w:pPr>
      <w:r>
        <w:rPr>
          <w:rFonts w:ascii="Calibri" w:hAnsi="Calibri"/>
          <w:i/>
          <w:color w:val="64748B"/>
          <w:sz w:val="18"/>
        </w:rPr>
        <w:t xml:space="preserve">        6.9.1 For NGOs — embedded AI as compliance working partner</w:t>
      </w:r>
    </w:p>
    <w:p>
      <w:pPr>
        <w:spacing w:after="20" w:before="20"/>
      </w:pPr>
      <w:r>
        <w:rPr>
          <w:rFonts w:ascii="Calibri" w:hAnsi="Calibri"/>
          <w:i/>
          <w:color w:val="64748B"/>
          <w:sz w:val="18"/>
        </w:rPr>
        <w:t xml:space="preserve">        6.9.2 For donors — pre-assessed, scored, monitored</w:t>
      </w:r>
    </w:p>
    <w:p>
      <w:pPr>
        <w:spacing w:after="20" w:before="20"/>
      </w:pPr>
      <w:r>
        <w:rPr>
          <w:rFonts w:ascii="Calibri" w:hAnsi="Calibri"/>
          <w:i/>
          <w:color w:val="64748B"/>
          <w:sz w:val="18"/>
        </w:rPr>
        <w:t xml:space="preserve">        6.9.3 Shared mechanics</w:t>
      </w:r>
    </w:p>
    <w:p>
      <w:pPr>
        <w:spacing w:after="20" w:before="20"/>
      </w:pPr>
      <w:r>
        <w:rPr>
          <w:rFonts w:ascii="Calibri" w:hAnsi="Calibri"/>
          <w:color w:val="333333"/>
          <w:sz w:val="20"/>
        </w:rPr>
        <w:t xml:space="preserve">    6.10 Collaboration and Notifications</w:t>
      </w:r>
    </w:p>
    <w:p>
      <w:pPr>
        <w:spacing w:after="20" w:before="20"/>
      </w:pPr>
      <w:r>
        <w:rPr>
          <w:rFonts w:ascii="Calibri" w:hAnsi="Calibri"/>
          <w:color w:val="333333"/>
          <w:sz w:val="20"/>
        </w:rPr>
        <w:t xml:space="preserve">    6.11 Organisational Memory and Provenance</w:t>
      </w:r>
    </w:p>
    <w:p>
      <w:pPr>
        <w:spacing w:after="20" w:before="20"/>
      </w:pPr>
      <w:r>
        <w:rPr>
          <w:rFonts w:ascii="Calibri" w:hAnsi="Calibri"/>
          <w:color w:val="333333"/>
          <w:sz w:val="20"/>
        </w:rPr>
        <w:t xml:space="preserve">    6.12 Saved Searches and Personalisation</w:t>
      </w:r>
    </w:p>
    <w:p>
      <w:pPr>
        <w:spacing w:after="20" w:before="20"/>
      </w:pPr>
      <w:r>
        <w:rPr>
          <w:rFonts w:ascii="Calibri" w:hAnsi="Calibri"/>
          <w:color w:val="333333"/>
          <w:sz w:val="20"/>
        </w:rPr>
        <w:t xml:space="preserve">    6.13 Administration and System Health</w:t>
      </w:r>
    </w:p>
    <w:p>
      <w:pPr>
        <w:spacing w:after="20" w:before="20"/>
      </w:pPr>
      <w:r>
        <w:rPr>
          <w:rFonts w:ascii="Calibri" w:hAnsi="Calibri"/>
          <w:color w:val="333333"/>
          <w:sz w:val="20"/>
        </w:rPr>
        <w:t xml:space="preserve">    6.14 Internationalisation and Localisation</w:t>
      </w:r>
    </w:p>
    <w:p>
      <w:pPr>
        <w:spacing w:after="20" w:before="20"/>
      </w:pPr>
      <w:r>
        <w:rPr>
          <w:rFonts w:ascii="Calibri" w:hAnsi="Calibri"/>
          <w:color w:val="333333"/>
          <w:sz w:val="20"/>
        </w:rPr>
        <w:t xml:space="preserve">    6.15 Field Operations: Mobile and Offline Work</w:t>
      </w:r>
    </w:p>
    <w:p>
      <w:pPr>
        <w:spacing w:after="20" w:before="20"/>
      </w:pPr>
      <w:r>
        <w:rPr>
          <w:rFonts w:ascii="Calibri" w:hAnsi="Calibri"/>
          <w:b/>
          <w:color w:val="1B3A5C"/>
          <w:sz w:val="20"/>
        </w:rPr>
        <w:t>7. Non-Functional Requirements</w:t>
      </w:r>
    </w:p>
    <w:p>
      <w:pPr>
        <w:spacing w:after="20" w:before="20"/>
      </w:pPr>
      <w:r>
        <w:rPr>
          <w:rFonts w:ascii="Calibri" w:hAnsi="Calibri"/>
          <w:color w:val="333333"/>
          <w:sz w:val="20"/>
        </w:rPr>
        <w:t xml:space="preserve">    7.1 Performance and Scalability</w:t>
      </w:r>
    </w:p>
    <w:p>
      <w:pPr>
        <w:spacing w:after="20" w:before="20"/>
      </w:pPr>
      <w:r>
        <w:rPr>
          <w:rFonts w:ascii="Calibri" w:hAnsi="Calibri"/>
          <w:color w:val="333333"/>
          <w:sz w:val="20"/>
        </w:rPr>
        <w:t xml:space="preserve">    7.2 Reliability and Availability</w:t>
      </w:r>
    </w:p>
    <w:p>
      <w:pPr>
        <w:spacing w:after="20" w:before="20"/>
      </w:pPr>
      <w:r>
        <w:rPr>
          <w:rFonts w:ascii="Calibri" w:hAnsi="Calibri"/>
          <w:color w:val="333333"/>
          <w:sz w:val="20"/>
        </w:rPr>
        <w:t xml:space="preserve">    7.3 Security and Privacy</w:t>
      </w:r>
    </w:p>
    <w:p>
      <w:pPr>
        <w:spacing w:after="20" w:before="20"/>
      </w:pPr>
      <w:r>
        <w:rPr>
          <w:rFonts w:ascii="Calibri" w:hAnsi="Calibri"/>
          <w:color w:val="333333"/>
          <w:sz w:val="20"/>
        </w:rPr>
        <w:t xml:space="preserve">    7.4 Observability and Operability</w:t>
      </w:r>
    </w:p>
    <w:p>
      <w:pPr>
        <w:spacing w:after="20" w:before="20"/>
      </w:pPr>
      <w:r>
        <w:rPr>
          <w:rFonts w:ascii="Calibri" w:hAnsi="Calibri"/>
          <w:color w:val="333333"/>
          <w:sz w:val="20"/>
        </w:rPr>
        <w:t xml:space="preserve">    7.5 Usability, Accessibility, and Inclusivity</w:t>
      </w:r>
    </w:p>
    <w:p>
      <w:pPr>
        <w:spacing w:after="20" w:before="20"/>
      </w:pPr>
      <w:r>
        <w:rPr>
          <w:rFonts w:ascii="Calibri" w:hAnsi="Calibri"/>
          <w:b/>
          <w:color w:val="1B3A5C"/>
          <w:sz w:val="20"/>
        </w:rPr>
        <w:t>8. Use Cases (UC-001 through UC-019)</w:t>
      </w:r>
    </w:p>
    <w:p>
      <w:pPr>
        <w:spacing w:after="20" w:before="20"/>
      </w:pPr>
      <w:r>
        <w:rPr>
          <w:rFonts w:ascii="Calibri" w:hAnsi="Calibri"/>
          <w:b/>
          <w:color w:val="1B3A5C"/>
          <w:sz w:val="20"/>
        </w:rPr>
        <w:t>9. Feature Flags and Phased Rollout</w:t>
      </w:r>
    </w:p>
    <w:p>
      <w:pPr>
        <w:spacing w:after="20" w:before="20"/>
      </w:pPr>
      <w:r>
        <w:rPr>
          <w:rFonts w:ascii="Calibri" w:hAnsi="Calibri"/>
          <w:b/>
          <w:color w:val="1B3A5C"/>
          <w:sz w:val="20"/>
        </w:rPr>
        <w:t>APPENDICES</w:t>
      </w:r>
    </w:p>
    <w:p>
      <w:pPr>
        <w:spacing w:after="20" w:before="20"/>
      </w:pPr>
      <w:r>
        <w:rPr>
          <w:rFonts w:ascii="Calibri" w:hAnsi="Calibri"/>
          <w:color w:val="333333"/>
          <w:sz w:val="20"/>
        </w:rPr>
        <w:t xml:space="preserve">    A. Status Definitions</w:t>
      </w:r>
    </w:p>
    <w:p>
      <w:pPr>
        <w:spacing w:after="20" w:before="20"/>
      </w:pPr>
      <w:r>
        <w:rPr>
          <w:rFonts w:ascii="Calibri" w:hAnsi="Calibri"/>
          <w:color w:val="333333"/>
          <w:sz w:val="20"/>
        </w:rPr>
        <w:t xml:space="preserve">    B. Glossary</w:t>
      </w:r>
    </w:p>
    <w:p>
      <w:r>
        <w:br w:type="page"/>
      </w:r>
    </w:p>
    <w:p>
      <w:pPr>
        <w:pStyle w:val="Heading1"/>
      </w:pPr>
      <w:r>
        <w:rPr>
          <w:rFonts w:ascii="Calibri" w:hAnsi="Calibri"/>
          <w:color w:val="1B3A5C"/>
          <w:sz w:val="36"/>
        </w:rPr>
        <w:t>1. Executive Summary</w:t>
      </w:r>
    </w:p>
    <w:p>
      <w:pPr>
        <w:spacing w:after="120"/>
      </w:pPr>
      <w:r>
        <w:rPr>
          <w:rFonts w:ascii="Calibri" w:hAnsi="Calibri"/>
          <w:sz w:val="20"/>
        </w:rPr>
        <w:t>Kuja is an end-to-end grant management system purpose-built for the Global South. It exists to make Global South non-profits findable by international donors and fundable when they apply — and to make those grants trustworthy, accountable, and easier to deliver for everyone involved. Kuja covers the full grant lifecycle: from organisation onboarding and capacity assessment, through grant discovery and matching, application drafting and submission, donor review and decisioning, compliance and sanctions screening, contract issuance, progress reporting, and ongoing risk and compliance health monitoring.</w:t>
      </w:r>
    </w:p>
    <w:p>
      <w:pPr>
        <w:spacing w:after="120"/>
      </w:pPr>
      <w:r>
        <w:rPr>
          <w:rFonts w:ascii="Calibri" w:hAnsi="Calibri"/>
          <w:sz w:val="20"/>
        </w:rPr>
        <w:t>The system serves four primary user groups: non-governmental organisations (NGOs) seeking funding; donors and foundations deploying capital; independent reviewers evaluating proposals; and platform administrators operating the service. Each group has a dedicated workspace, but the value of Kuja lies in how the workspaces interlock — an NGO's capacity assessment becomes a donor's confidence signal; an AI-assisted application becomes a reviewer's structured evidence summary; a compliance flag becomes a tracked risk with an owner and a due date.</w:t>
      </w:r>
    </w:p>
    <w:p>
      <w:pPr>
        <w:spacing w:after="120"/>
      </w:pPr>
      <w:r>
        <w:rPr>
          <w:rFonts w:ascii="Calibri" w:hAnsi="Calibri"/>
          <w:sz w:val="20"/>
        </w:rPr>
        <w:t>Kuja's strategic differentiation rests on six commitments. First, the platform treats Global South NGOs as first-class participants rather than translated afterthoughts: every workflow is available in six languages (English, Arabic, French, Swahili, Somali, and Spanish) with role-appropriate tone, and the system gracefully handles scanned documents, low-bandwidth connections, and inconsistent data quality typical of grassroots organisations. Second, AI is embedded as a working partner rather than a chatbot — the system drafts applications, predicts donor concerns, surfaces compliance issues before submission, evaluates evidence per criterion, and generates auditable rationales, all grounded in the NGO's own history and the donor's stated criteria.</w:t>
      </w:r>
    </w:p>
    <w:p>
      <w:pPr>
        <w:spacing w:after="120"/>
      </w:pPr>
      <w:r>
        <w:rPr>
          <w:rFonts w:ascii="Calibri" w:hAnsi="Calibri"/>
          <w:sz w:val="20"/>
        </w:rPr>
        <w:t>Third, every organisation on Kuja shall present a two-pillar Organisation Trust Profile that travels with them across applications: a Capacity Profile answering "can this organisation execute?" and a Due Diligence Profile answering "is this organisation safe to fund?". Capacity assessments are completed once and passported across donor frameworks. Due diligence — sanctions screening, registration verification, tax-exempt status, beneficial ownership, and adverse media — runs continuously on the same passporting principle so that NGOs do not repeat the work for every donor.</w:t>
      </w:r>
    </w:p>
    <w:p>
      <w:pPr>
        <w:spacing w:after="120"/>
      </w:pPr>
      <w:r>
        <w:rPr>
          <w:rFonts w:ascii="Calibri" w:hAnsi="Calibri"/>
          <w:sz w:val="20"/>
        </w:rPr>
        <w:t>Fourth, compliance is built in rather than bolted on: AI extracts donor reporting requirements, builds a compliance calendar, prompts for evidence at the right moment, drafts reports from prior data, and pre-assesses every submission from the donor's perspective before the donor sees it. Fifth, every AI claim is traceable to its source, every decision leaves an audit trail in a tamper-evident chain, and the donor–NGO relationship is supported by structured in-band collaboration rather than email threads. Sixth, the entire experience runs on mobile devices and operates offline-first, so field officers in low-connectivity areas can draft, capture evidence, and sync when network returns.</w:t>
      </w:r>
    </w:p>
    <w:p>
      <w:pPr>
        <w:spacing w:after="120"/>
      </w:pPr>
      <w:r>
        <w:rPr>
          <w:rFonts w:ascii="Calibri" w:hAnsi="Calibri"/>
          <w:sz w:val="20"/>
        </w:rPr>
        <w:t>This document specifies the requirements the system shall meet. It is written in requirement form ("the system shall…") so it can serve as the basis for partner integrations, accreditation reviews, and continued product evolution.</w:t>
      </w:r>
    </w:p>
    <w:p>
      <w:pPr>
        <w:pStyle w:val="Heading1"/>
      </w:pPr>
      <w:r>
        <w:rPr>
          <w:rFonts w:ascii="Calibri" w:hAnsi="Calibri"/>
          <w:color w:val="1B3A5C"/>
          <w:sz w:val="36"/>
        </w:rPr>
        <w:t>2. The Problem We Address</w:t>
      </w:r>
    </w:p>
    <w:p>
      <w:pPr>
        <w:spacing w:after="120"/>
      </w:pPr>
      <w:r>
        <w:rPr>
          <w:rFonts w:ascii="Calibri" w:hAnsi="Calibri"/>
          <w:sz w:val="20"/>
        </w:rPr>
        <w:t>Grant funding for Global South non-profits is structurally inefficient. Capital exists; capacity exists; but the matching, evaluation, and compliance machinery sits on infrastructure designed for a different set of users. The result is a market that systematically undervalues smaller, grassroots, non-English-first organisations — even when their programmes are objectively well-designed and well-run. Kuja addresses specific, well-known frictions on each side of the market.</w:t>
      </w:r>
    </w:p>
    <w:p>
      <w:pPr>
        <w:pStyle w:val="Heading2"/>
      </w:pPr>
      <w:r>
        <w:rPr>
          <w:rFonts w:ascii="Calibri" w:hAnsi="Calibri"/>
          <w:color w:val="1B3A5C"/>
          <w:sz w:val="26"/>
        </w:rPr>
        <w:t>2.1 The NGO experience today</w:t>
      </w:r>
    </w:p>
    <w:p>
      <w:pPr>
        <w:pStyle w:val="ListBullet"/>
        <w:spacing w:after="40"/>
        <w:ind w:left="720"/>
      </w:pPr>
      <w:r>
        <w:rPr>
          <w:rFonts w:ascii="Calibri" w:hAnsi="Calibri"/>
          <w:b/>
          <w:sz w:val="20"/>
        </w:rPr>
        <w:t xml:space="preserve">Capacity assessment fatigue. </w:t>
      </w:r>
      <w:r>
        <w:rPr>
          <w:rFonts w:ascii="Calibri" w:hAnsi="Calibri"/>
          <w:sz w:val="20"/>
        </w:rPr>
        <w:t>Every donor wants their own version of the same baseline information. Strong NGOs spend disproportionate time answering the same 80–120 questions across CHS, UN-HACT, NUPAS, STEP, and donor-specific variants — time that could go to programming.</w:t>
      </w:r>
    </w:p>
    <w:p>
      <w:pPr>
        <w:pStyle w:val="ListBullet"/>
        <w:spacing w:after="40"/>
        <w:ind w:left="720"/>
      </w:pPr>
      <w:r>
        <w:rPr>
          <w:rFonts w:ascii="Calibri" w:hAnsi="Calibri"/>
          <w:b/>
          <w:sz w:val="20"/>
        </w:rPr>
        <w:t xml:space="preserve">Application overhead with no help. </w:t>
      </w:r>
      <w:r>
        <w:rPr>
          <w:rFonts w:ascii="Calibri" w:hAnsi="Calibri"/>
          <w:sz w:val="20"/>
        </w:rPr>
        <w:t>Donor portals collect detailed responses, but applicants have no way to know whether their answer is strong, whether they have addressed the criterion, or what evidence the reviewer expects.</w:t>
      </w:r>
    </w:p>
    <w:p>
      <w:pPr>
        <w:pStyle w:val="ListBullet"/>
        <w:spacing w:after="40"/>
        <w:ind w:left="720"/>
      </w:pPr>
      <w:r>
        <w:rPr>
          <w:rFonts w:ascii="Calibri" w:hAnsi="Calibri"/>
          <w:b/>
          <w:sz w:val="20"/>
        </w:rPr>
        <w:t xml:space="preserve">Compliance evidence scattered. </w:t>
      </w:r>
      <w:r>
        <w:rPr>
          <w:rFonts w:ascii="Calibri" w:hAnsi="Calibri"/>
          <w:sz w:val="20"/>
        </w:rPr>
        <w:t>Audits, board minutes, beneficiary data, and registration certificates live across email, drives, and physical binders. Producing them on demand under a tight reporting deadline is expensive.</w:t>
      </w:r>
    </w:p>
    <w:p>
      <w:pPr>
        <w:pStyle w:val="ListBullet"/>
        <w:spacing w:after="40"/>
        <w:ind w:left="720"/>
      </w:pPr>
      <w:r>
        <w:rPr>
          <w:rFonts w:ascii="Calibri" w:hAnsi="Calibri"/>
          <w:b/>
          <w:sz w:val="20"/>
        </w:rPr>
        <w:t xml:space="preserve">Reporting templates that vary by donor. </w:t>
      </w:r>
      <w:r>
        <w:rPr>
          <w:rFonts w:ascii="Calibri" w:hAnsi="Calibri"/>
          <w:sz w:val="20"/>
        </w:rPr>
        <w:t>Each donor has different indicators, periods, and narrative expectations. Reporters rewrite the same programme story five different ways with no help interpreting what each donor cares about.</w:t>
      </w:r>
    </w:p>
    <w:p>
      <w:pPr>
        <w:pStyle w:val="ListBullet"/>
        <w:spacing w:after="40"/>
        <w:ind w:left="720"/>
      </w:pPr>
      <w:r>
        <w:rPr>
          <w:rFonts w:ascii="Calibri" w:hAnsi="Calibri"/>
          <w:b/>
          <w:sz w:val="20"/>
        </w:rPr>
        <w:t xml:space="preserve">Decision opacity. </w:t>
      </w:r>
      <w:r>
        <w:rPr>
          <w:rFonts w:ascii="Calibri" w:hAnsi="Calibri"/>
          <w:sz w:val="20"/>
        </w:rPr>
        <w:t>Most applications are rejected with little or no feedback. There is no learning loop and no way for an NGO to improve over time.</w:t>
      </w:r>
    </w:p>
    <w:p>
      <w:pPr>
        <w:pStyle w:val="ListBullet"/>
        <w:spacing w:after="40"/>
        <w:ind w:left="720"/>
      </w:pPr>
      <w:r>
        <w:rPr>
          <w:rFonts w:ascii="Calibri" w:hAnsi="Calibri"/>
          <w:b/>
          <w:sz w:val="20"/>
        </w:rPr>
        <w:t xml:space="preserve">Language exclusion. </w:t>
      </w:r>
      <w:r>
        <w:rPr>
          <w:rFonts w:ascii="Calibri" w:hAnsi="Calibri"/>
          <w:sz w:val="20"/>
        </w:rPr>
        <w:t>Most donor portals are English-only. Francophone, Arabic, Swahili, and Somali NGOs are forced to write in their second or third language, often at a measurable disadvantage.</w:t>
      </w:r>
    </w:p>
    <w:p>
      <w:pPr>
        <w:pStyle w:val="Heading2"/>
      </w:pPr>
      <w:r>
        <w:rPr>
          <w:rFonts w:ascii="Calibri" w:hAnsi="Calibri"/>
          <w:color w:val="1B3A5C"/>
          <w:sz w:val="26"/>
        </w:rPr>
        <w:t>2.2 The donor experience today</w:t>
      </w:r>
    </w:p>
    <w:p>
      <w:pPr>
        <w:pStyle w:val="ListBullet"/>
        <w:spacing w:after="40"/>
        <w:ind w:left="720"/>
      </w:pPr>
      <w:r>
        <w:rPr>
          <w:rFonts w:ascii="Calibri" w:hAnsi="Calibri"/>
          <w:b/>
          <w:sz w:val="20"/>
        </w:rPr>
        <w:t xml:space="preserve">Sourcing is slow and intuition-driven. </w:t>
      </w:r>
      <w:r>
        <w:rPr>
          <w:rFonts w:ascii="Calibri" w:hAnsi="Calibri"/>
          <w:sz w:val="20"/>
        </w:rPr>
        <w:t>Finding strong NGOs in the Global South requires personal networks, regional intermediaries, or trial-and-error open calls.</w:t>
      </w:r>
    </w:p>
    <w:p>
      <w:pPr>
        <w:pStyle w:val="ListBullet"/>
        <w:spacing w:after="40"/>
        <w:ind w:left="720"/>
      </w:pPr>
      <w:r>
        <w:rPr>
          <w:rFonts w:ascii="Calibri" w:hAnsi="Calibri"/>
          <w:b/>
          <w:sz w:val="20"/>
        </w:rPr>
        <w:t xml:space="preserve">Capacity signal is non-standard. </w:t>
      </w:r>
      <w:r>
        <w:rPr>
          <w:rFonts w:ascii="Calibri" w:hAnsi="Calibri"/>
          <w:sz w:val="20"/>
        </w:rPr>
        <w:t>Each donor maintains their own capacity framework; cross-donor comparison is impossible without manual reconciliation.</w:t>
      </w:r>
    </w:p>
    <w:p>
      <w:pPr>
        <w:pStyle w:val="ListBullet"/>
        <w:spacing w:after="40"/>
        <w:ind w:left="720"/>
      </w:pPr>
      <w:r>
        <w:rPr>
          <w:rFonts w:ascii="Calibri" w:hAnsi="Calibri"/>
          <w:b/>
          <w:sz w:val="20"/>
        </w:rPr>
        <w:t xml:space="preserve">Application quality varies widely. </w:t>
      </w:r>
      <w:r>
        <w:rPr>
          <w:rFonts w:ascii="Calibri" w:hAnsi="Calibri"/>
          <w:sz w:val="20"/>
        </w:rPr>
        <w:t>Variance comes from language proficiency and writing experience, not from programme quality. Reviewers anchor on prose rather than evidence.</w:t>
      </w:r>
    </w:p>
    <w:p>
      <w:pPr>
        <w:pStyle w:val="ListBullet"/>
        <w:spacing w:after="40"/>
        <w:ind w:left="720"/>
      </w:pPr>
      <w:r>
        <w:rPr>
          <w:rFonts w:ascii="Calibri" w:hAnsi="Calibri"/>
          <w:b/>
          <w:sz w:val="20"/>
        </w:rPr>
        <w:t xml:space="preserve">Compliance is reactive. </w:t>
      </w:r>
      <w:r>
        <w:rPr>
          <w:rFonts w:ascii="Calibri" w:hAnsi="Calibri"/>
          <w:sz w:val="20"/>
        </w:rPr>
        <w:t>Sanctions screening, government registry verification, and document validation happen at the last minute — or after award, when problems are expensive to unwind.</w:t>
      </w:r>
    </w:p>
    <w:p>
      <w:pPr>
        <w:pStyle w:val="ListBullet"/>
        <w:spacing w:after="40"/>
        <w:ind w:left="720"/>
      </w:pPr>
      <w:r>
        <w:rPr>
          <w:rFonts w:ascii="Calibri" w:hAnsi="Calibri"/>
          <w:b/>
          <w:sz w:val="20"/>
        </w:rPr>
        <w:t xml:space="preserve">Reports do not roll up. </w:t>
      </w:r>
      <w:r>
        <w:rPr>
          <w:rFonts w:ascii="Calibri" w:hAnsi="Calibri"/>
          <w:sz w:val="20"/>
        </w:rPr>
        <w:t>Each report is written for the donor's template; aggregating outcomes across a portfolio requires manual extraction.</w:t>
      </w:r>
    </w:p>
    <w:p>
      <w:pPr>
        <w:pStyle w:val="ListBullet"/>
        <w:spacing w:after="40"/>
        <w:ind w:left="720"/>
      </w:pPr>
      <w:r>
        <w:rPr>
          <w:rFonts w:ascii="Calibri" w:hAnsi="Calibri"/>
          <w:b/>
          <w:sz w:val="20"/>
        </w:rPr>
        <w:t xml:space="preserve">No early-warning signal. </w:t>
      </w:r>
      <w:r>
        <w:rPr>
          <w:rFonts w:ascii="Calibri" w:hAnsi="Calibri"/>
          <w:sz w:val="20"/>
        </w:rPr>
        <w:t>Grants drift off track without visibility until a missed deadline or a compliance flag forces attention.</w:t>
      </w:r>
    </w:p>
    <w:p>
      <w:pPr>
        <w:pStyle w:val="Heading2"/>
      </w:pPr>
      <w:r>
        <w:rPr>
          <w:rFonts w:ascii="Calibri" w:hAnsi="Calibri"/>
          <w:color w:val="1B3A5C"/>
          <w:sz w:val="26"/>
        </w:rPr>
        <w:t>2.3 The reviewer experience today</w:t>
      </w:r>
    </w:p>
    <w:p>
      <w:pPr>
        <w:pStyle w:val="ListBullet"/>
        <w:spacing w:after="40"/>
        <w:ind w:left="720"/>
      </w:pPr>
      <w:r>
        <w:rPr>
          <w:rFonts w:ascii="Calibri" w:hAnsi="Calibri"/>
          <w:b/>
          <w:sz w:val="20"/>
        </w:rPr>
        <w:t xml:space="preserve">Each application takes hours to read carefully. </w:t>
      </w:r>
      <w:r>
        <w:rPr>
          <w:rFonts w:ascii="Calibri" w:hAnsi="Calibri"/>
          <w:sz w:val="20"/>
        </w:rPr>
        <w:t>Long narratives, embedded attachments, and inconsistent structure make systematic comparison difficult.</w:t>
      </w:r>
    </w:p>
    <w:p>
      <w:pPr>
        <w:pStyle w:val="ListBullet"/>
        <w:spacing w:after="40"/>
        <w:ind w:left="720"/>
      </w:pPr>
      <w:r>
        <w:rPr>
          <w:rFonts w:ascii="Calibri" w:hAnsi="Calibri"/>
          <w:b/>
          <w:sz w:val="20"/>
        </w:rPr>
        <w:t xml:space="preserve">Rationales drift. </w:t>
      </w:r>
      <w:r>
        <w:rPr>
          <w:rFonts w:ascii="Calibri" w:hAnsi="Calibri"/>
          <w:sz w:val="20"/>
        </w:rPr>
        <w:t>Reviewers anchor on each other rather than on the rubric, especially when reviewing in cohorts.</w:t>
      </w:r>
    </w:p>
    <w:p>
      <w:pPr>
        <w:pStyle w:val="ListBullet"/>
        <w:spacing w:after="40"/>
        <w:ind w:left="720"/>
      </w:pPr>
      <w:r>
        <w:rPr>
          <w:rFonts w:ascii="Calibri" w:hAnsi="Calibri"/>
          <w:b/>
          <w:sz w:val="20"/>
        </w:rPr>
        <w:t xml:space="preserve">Patterns across the portfolio are invisible. </w:t>
      </w:r>
      <w:r>
        <w:rPr>
          <w:rFonts w:ascii="Calibri" w:hAnsi="Calibri"/>
          <w:sz w:val="20"/>
        </w:rPr>
        <w:t>Reviewers cannot easily see which criteria are discriminative, which are answered generically, or where applicants systematically underclaim or overclaim.</w:t>
      </w:r>
    </w:p>
    <w:p>
      <w:r>
        <w:br w:type="page"/>
      </w:r>
    </w:p>
    <w:p>
      <w:pPr>
        <w:pStyle w:val="Heading1"/>
      </w:pPr>
      <w:r>
        <w:rPr>
          <w:rFonts w:ascii="Calibri" w:hAnsi="Calibri"/>
          <w:color w:val="1B3A5C"/>
          <w:sz w:val="36"/>
        </w:rPr>
        <w:t>3. Vision and Objectives</w:t>
      </w:r>
    </w:p>
    <w:p>
      <w:pPr>
        <w:spacing w:after="120"/>
      </w:pPr>
      <w:r>
        <w:rPr>
          <w:rFonts w:ascii="Calibri" w:hAnsi="Calibri"/>
          <w:sz w:val="20"/>
        </w:rPr>
        <w:t>Kuja's vision is a grant economy in which Global South non-profits are discoverable, fundable, and accountable on equal footing with their global peers. The system pursues that vision through five concrete objectives.</w:t>
      </w:r>
    </w:p>
    <w:tbl>
      <w:tblPr>
        <w:tblStyle w:val="TableGrid"/>
        <w:tblW w:type="auto" w:w="0"/>
        <w:jc w:val="center"/>
        <w:tblLook w:firstColumn="1" w:firstRow="1" w:lastColumn="0" w:lastRow="0" w:noHBand="0" w:noVBand="1" w:val="04A0"/>
      </w:tblPr>
      <w:tblGrid>
        <w:gridCol w:w="4759"/>
        <w:gridCol w:w="4759"/>
      </w:tblGrid>
      <w:tr>
        <w:tc>
          <w:tcPr>
            <w:tcW w:type="dxa" w:w="2880"/>
            <w:shd w:fill="1B3A5C"/>
          </w:tcPr>
          <w:p>
            <w:pPr>
              <w:jc w:val="left"/>
            </w:pPr>
            <w:r/>
            <w:r>
              <w:rPr>
                <w:rFonts w:ascii="Calibri" w:hAnsi="Calibri"/>
                <w:b/>
                <w:color w:val="FFFFFF"/>
                <w:sz w:val="18"/>
              </w:rPr>
              <w:t>Objective</w:t>
            </w:r>
          </w:p>
        </w:tc>
        <w:tc>
          <w:tcPr>
            <w:tcW w:type="dxa" w:w="6336"/>
            <w:shd w:fill="1B3A5C"/>
          </w:tcPr>
          <w:p>
            <w:pPr>
              <w:jc w:val="left"/>
            </w:pPr>
            <w:r/>
            <w:r>
              <w:rPr>
                <w:rFonts w:ascii="Calibri" w:hAnsi="Calibri"/>
                <w:b/>
                <w:color w:val="FFFFFF"/>
                <w:sz w:val="18"/>
              </w:rPr>
              <w:t>How the system delivers it</w:t>
            </w:r>
          </w:p>
        </w:tc>
      </w:tr>
      <w:tr>
        <w:tc>
          <w:tcPr>
            <w:tcW w:type="dxa" w:w="2880"/>
            <w:shd w:fill="F2F6FA"/>
          </w:tcPr>
          <w:p>
            <w:r/>
            <w:r>
              <w:rPr>
                <w:rFonts w:ascii="Calibri" w:hAnsi="Calibri"/>
                <w:sz w:val="18"/>
              </w:rPr>
              <w:t>O1. Make Global South NGOs findable.</w:t>
            </w:r>
          </w:p>
        </w:tc>
        <w:tc>
          <w:tcPr>
            <w:tcW w:type="dxa" w:w="6336"/>
            <w:shd w:fill="F2F6FA"/>
          </w:tcPr>
          <w:p>
            <w:r/>
            <w:r>
              <w:rPr>
                <w:rFonts w:ascii="Calibri" w:hAnsi="Calibri"/>
                <w:sz w:val="18"/>
              </w:rPr>
              <w:t>Match engine ranks NGOs against grants on capacity, sector, geography, eligibility, and track record. Donors discover qualified applicants without depending on intermediaries.</w:t>
            </w:r>
          </w:p>
        </w:tc>
      </w:tr>
      <w:tr>
        <w:tc>
          <w:tcPr>
            <w:tcW w:type="dxa" w:w="2880"/>
            <w:shd w:fill="FFFFFF"/>
          </w:tcPr>
          <w:p>
            <w:r/>
            <w:r>
              <w:rPr>
                <w:rFonts w:ascii="Calibri" w:hAnsi="Calibri"/>
                <w:sz w:val="18"/>
              </w:rPr>
              <w:t>O2. Make Global South NGOs fundable.</w:t>
            </w:r>
          </w:p>
        </w:tc>
        <w:tc>
          <w:tcPr>
            <w:tcW w:type="dxa" w:w="6336"/>
            <w:shd w:fill="FFFFFF"/>
          </w:tcPr>
          <w:p>
            <w:r/>
            <w:r>
              <w:rPr>
                <w:rFonts w:ascii="Calibri" w:hAnsi="Calibri"/>
                <w:sz w:val="18"/>
              </w:rPr>
              <w:t>Multilingual application drafting, AI co-authoring grounded in the NGO's own evidence, pre-submission gap analysis, and coaching tone for first-time applicants raise the floor on application quality.</w:t>
            </w:r>
          </w:p>
        </w:tc>
      </w:tr>
      <w:tr>
        <w:tc>
          <w:tcPr>
            <w:tcW w:type="dxa" w:w="2880"/>
            <w:shd w:fill="F2F6FA"/>
          </w:tcPr>
          <w:p>
            <w:r/>
            <w:r>
              <w:rPr>
                <w:rFonts w:ascii="Calibri" w:hAnsi="Calibri"/>
                <w:sz w:val="18"/>
              </w:rPr>
              <w:t>O3. Reduce duplicated work.</w:t>
            </w:r>
          </w:p>
        </w:tc>
        <w:tc>
          <w:tcPr>
            <w:tcW w:type="dxa" w:w="6336"/>
            <w:shd w:fill="F2F6FA"/>
          </w:tcPr>
          <w:p>
            <w:r/>
            <w:r>
              <w:rPr>
                <w:rFonts w:ascii="Calibri" w:hAnsi="Calibri"/>
                <w:sz w:val="18"/>
              </w:rPr>
              <w:t>Capacity assessment passporting, organisational memory, and evidence reuse across applications eliminate the rewrite tax NGOs pay today.</w:t>
            </w:r>
          </w:p>
        </w:tc>
      </w:tr>
      <w:tr>
        <w:tc>
          <w:tcPr>
            <w:tcW w:type="dxa" w:w="2880"/>
            <w:shd w:fill="FFFFFF"/>
          </w:tcPr>
          <w:p>
            <w:r/>
            <w:r>
              <w:rPr>
                <w:rFonts w:ascii="Calibri" w:hAnsi="Calibri"/>
                <w:sz w:val="18"/>
              </w:rPr>
              <w:t>O4. Make trust legible.</w:t>
            </w:r>
          </w:p>
        </w:tc>
        <w:tc>
          <w:tcPr>
            <w:tcW w:type="dxa" w:w="6336"/>
            <w:shd w:fill="FFFFFF"/>
          </w:tcPr>
          <w:p>
            <w:r/>
            <w:r>
              <w:rPr>
                <w:rFonts w:ascii="Calibri" w:hAnsi="Calibri"/>
                <w:sz w:val="18"/>
              </w:rPr>
              <w:t>Live sanctions screening, registry verification, hash-chained audit trail, provenance on every AI claim, and a 4-pillar compliance health score give donors a defensible basis for decisions and continued funding.</w:t>
            </w:r>
          </w:p>
        </w:tc>
      </w:tr>
      <w:tr>
        <w:tc>
          <w:tcPr>
            <w:tcW w:type="dxa" w:w="2880"/>
            <w:shd w:fill="F2F6FA"/>
          </w:tcPr>
          <w:p>
            <w:r/>
            <w:r>
              <w:rPr>
                <w:rFonts w:ascii="Calibri" w:hAnsi="Calibri"/>
                <w:sz w:val="18"/>
              </w:rPr>
              <w:t>O5. Make the relationship continuous.</w:t>
            </w:r>
          </w:p>
        </w:tc>
        <w:tc>
          <w:tcPr>
            <w:tcW w:type="dxa" w:w="6336"/>
            <w:shd w:fill="F2F6FA"/>
          </w:tcPr>
          <w:p>
            <w:r/>
            <w:r>
              <w:rPr>
                <w:rFonts w:ascii="Calibri" w:hAnsi="Calibri"/>
                <w:sz w:val="18"/>
              </w:rPr>
              <w:t>Structured comments with @mentions, web push notifications, tracked risks with owners and due dates, and trajectory-based compliance forecasting keep the donor-NGO relationship active between submission and final report.</w:t>
            </w:r>
          </w:p>
        </w:tc>
      </w:tr>
    </w:tbl>
    <w:p>
      <w:r>
        <w:br w:type="page"/>
      </w:r>
    </w:p>
    <w:p>
      <w:pPr>
        <w:pStyle w:val="Heading1"/>
      </w:pPr>
      <w:r>
        <w:rPr>
          <w:rFonts w:ascii="Calibri" w:hAnsi="Calibri"/>
          <w:color w:val="1B3A5C"/>
          <w:sz w:val="36"/>
        </w:rPr>
        <w:t>4. Target Users</w:t>
      </w:r>
    </w:p>
    <w:p>
      <w:pPr>
        <w:spacing w:after="120"/>
      </w:pPr>
      <w:r>
        <w:rPr>
          <w:rFonts w:ascii="Calibri" w:hAnsi="Calibri"/>
          <w:sz w:val="20"/>
        </w:rPr>
        <w:t>The system serves four user roles, each with distinct goals, workflows, and access scopes.</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Role</w:t>
            </w:r>
          </w:p>
        </w:tc>
        <w:tc>
          <w:tcPr>
            <w:tcW w:type="dxa" w:w="2592"/>
            <w:shd w:fill="1B3A5C"/>
          </w:tcPr>
          <w:p>
            <w:pPr>
              <w:jc w:val="left"/>
            </w:pPr>
            <w:r/>
            <w:r>
              <w:rPr>
                <w:rFonts w:ascii="Calibri" w:hAnsi="Calibri"/>
                <w:b/>
                <w:color w:val="FFFFFF"/>
                <w:sz w:val="18"/>
              </w:rPr>
              <w:t>Primary goal</w:t>
            </w:r>
          </w:p>
        </w:tc>
        <w:tc>
          <w:tcPr>
            <w:tcW w:type="dxa" w:w="5184"/>
            <w:shd w:fill="1B3A5C"/>
          </w:tcPr>
          <w:p>
            <w:pPr>
              <w:jc w:val="left"/>
            </w:pPr>
            <w:r/>
            <w:r>
              <w:rPr>
                <w:rFonts w:ascii="Calibri" w:hAnsi="Calibri"/>
                <w:b/>
                <w:color w:val="FFFFFF"/>
                <w:sz w:val="18"/>
              </w:rPr>
              <w:t>Key actions</w:t>
            </w:r>
          </w:p>
        </w:tc>
      </w:tr>
      <w:tr>
        <w:tc>
          <w:tcPr>
            <w:tcW w:type="dxa" w:w="1440"/>
            <w:shd w:fill="F2F6FA"/>
          </w:tcPr>
          <w:p>
            <w:r/>
            <w:r>
              <w:rPr>
                <w:rFonts w:ascii="Calibri" w:hAnsi="Calibri"/>
                <w:sz w:val="18"/>
              </w:rPr>
              <w:t>NGO</w:t>
            </w:r>
          </w:p>
        </w:tc>
        <w:tc>
          <w:tcPr>
            <w:tcW w:type="dxa" w:w="2592"/>
            <w:shd w:fill="F2F6FA"/>
          </w:tcPr>
          <w:p>
            <w:r/>
            <w:r>
              <w:rPr>
                <w:rFonts w:ascii="Calibri" w:hAnsi="Calibri"/>
                <w:sz w:val="18"/>
              </w:rPr>
              <w:t>Secure funding aligned to mission and capacity.</w:t>
            </w:r>
          </w:p>
        </w:tc>
        <w:tc>
          <w:tcPr>
            <w:tcW w:type="dxa" w:w="5184"/>
            <w:shd w:fill="F2F6FA"/>
          </w:tcPr>
          <w:p>
            <w:r/>
            <w:r>
              <w:rPr>
                <w:rFonts w:ascii="Calibri" w:hAnsi="Calibri"/>
                <w:sz w:val="18"/>
              </w:rPr>
              <w:t>Complete capacity passport · discover matching grants · draft and submit applications · respond to clarifications · upload evidence · submit progress reports · monitor compliance health</w:t>
            </w:r>
          </w:p>
        </w:tc>
      </w:tr>
      <w:tr>
        <w:tc>
          <w:tcPr>
            <w:tcW w:type="dxa" w:w="1440"/>
            <w:shd w:fill="FFFFFF"/>
          </w:tcPr>
          <w:p>
            <w:r/>
            <w:r>
              <w:rPr>
                <w:rFonts w:ascii="Calibri" w:hAnsi="Calibri"/>
                <w:sz w:val="18"/>
              </w:rPr>
              <w:t>Donor</w:t>
            </w:r>
          </w:p>
        </w:tc>
        <w:tc>
          <w:tcPr>
            <w:tcW w:type="dxa" w:w="2592"/>
            <w:shd w:fill="FFFFFF"/>
          </w:tcPr>
          <w:p>
            <w:r/>
            <w:r>
              <w:rPr>
                <w:rFonts w:ascii="Calibri" w:hAnsi="Calibri"/>
                <w:sz w:val="18"/>
              </w:rPr>
              <w:t>Deploy capital to highest-impact, lowest-risk programmes.</w:t>
            </w:r>
          </w:p>
        </w:tc>
        <w:tc>
          <w:tcPr>
            <w:tcW w:type="dxa" w:w="5184"/>
            <w:shd w:fill="FFFFFF"/>
          </w:tcPr>
          <w:p>
            <w:r/>
            <w:r>
              <w:rPr>
                <w:rFonts w:ascii="Calibri" w:hAnsi="Calibri"/>
                <w:sz w:val="18"/>
              </w:rPr>
              <w:t>Publish grants · define eligibility and rubric · review applications · score and decide · monitor compliance and trajectory · review reports · flag risks · request clarification</w:t>
            </w:r>
          </w:p>
        </w:tc>
      </w:tr>
      <w:tr>
        <w:tc>
          <w:tcPr>
            <w:tcW w:type="dxa" w:w="1440"/>
            <w:shd w:fill="F2F6FA"/>
          </w:tcPr>
          <w:p>
            <w:r/>
            <w:r>
              <w:rPr>
                <w:rFonts w:ascii="Calibri" w:hAnsi="Calibri"/>
                <w:sz w:val="18"/>
              </w:rPr>
              <w:t>Reviewer</w:t>
            </w:r>
          </w:p>
        </w:tc>
        <w:tc>
          <w:tcPr>
            <w:tcW w:type="dxa" w:w="2592"/>
            <w:shd w:fill="F2F6FA"/>
          </w:tcPr>
          <w:p>
            <w:r/>
            <w:r>
              <w:rPr>
                <w:rFonts w:ascii="Calibri" w:hAnsi="Calibri"/>
                <w:sz w:val="18"/>
              </w:rPr>
              <w:t>Evaluate applications consistently against the rubric.</w:t>
            </w:r>
          </w:p>
        </w:tc>
        <w:tc>
          <w:tcPr>
            <w:tcW w:type="dxa" w:w="5184"/>
            <w:shd w:fill="F2F6FA"/>
          </w:tcPr>
          <w:p>
            <w:r/>
            <w:r>
              <w:rPr>
                <w:rFonts w:ascii="Calibri" w:hAnsi="Calibri"/>
                <w:sz w:val="18"/>
              </w:rPr>
              <w:t>Score per criterion · cite evidence · raise red flags · compare applications · submit decision package</w:t>
            </w:r>
          </w:p>
        </w:tc>
      </w:tr>
      <w:tr>
        <w:tc>
          <w:tcPr>
            <w:tcW w:type="dxa" w:w="1440"/>
            <w:shd w:fill="FFFFFF"/>
          </w:tcPr>
          <w:p>
            <w:r/>
            <w:r>
              <w:rPr>
                <w:rFonts w:ascii="Calibri" w:hAnsi="Calibri"/>
                <w:sz w:val="18"/>
              </w:rPr>
              <w:t>Administrator</w:t>
            </w:r>
          </w:p>
        </w:tc>
        <w:tc>
          <w:tcPr>
            <w:tcW w:type="dxa" w:w="2592"/>
            <w:shd w:fill="FFFFFF"/>
          </w:tcPr>
          <w:p>
            <w:r/>
            <w:r>
              <w:rPr>
                <w:rFonts w:ascii="Calibri" w:hAnsi="Calibri"/>
                <w:sz w:val="18"/>
              </w:rPr>
              <w:t>Operate the platform safely and observably.</w:t>
            </w:r>
          </w:p>
        </w:tc>
        <w:tc>
          <w:tcPr>
            <w:tcW w:type="dxa" w:w="5184"/>
            <w:shd w:fill="FFFFFF"/>
          </w:tcPr>
          <w:p>
            <w:r/>
            <w:r>
              <w:rPr>
                <w:rFonts w:ascii="Calibri" w:hAnsi="Calibri"/>
                <w:sz w:val="18"/>
              </w:rPr>
              <w:t>Manage users and organisations · monitor system health · review AI surface health · manage feature flags · review failed logins · trigger sanctions rescreening · review audit chain</w:t>
            </w:r>
          </w:p>
        </w:tc>
      </w:tr>
    </w:tbl>
    <w:p>
      <w:r>
        <w:br w:type="page"/>
      </w:r>
    </w:p>
    <w:p>
      <w:pPr>
        <w:pStyle w:val="Heading1"/>
      </w:pPr>
      <w:r>
        <w:rPr>
          <w:rFonts w:ascii="Calibri" w:hAnsi="Calibri"/>
          <w:color w:val="1B3A5C"/>
          <w:sz w:val="36"/>
        </w:rPr>
        <w:t>5. Solution Overview</w:t>
      </w:r>
    </w:p>
    <w:p>
      <w:pPr>
        <w:spacing w:after="120"/>
      </w:pPr>
      <w:r>
        <w:rPr>
          <w:rFonts w:ascii="Calibri" w:hAnsi="Calibri"/>
          <w:sz w:val="20"/>
        </w:rPr>
        <w:t>Kuja is a single web-based platform with role-aware workspaces. NGOs, donors, reviewers, and administrators sign in through the same authentication surface and land on a dashboard tailored to their goals for the day. The platform is built around an explicit principle: every workspace is action-driven — users see what they need to do next, not just what data exists.</w:t>
      </w:r>
    </w:p>
    <w:p>
      <w:pPr>
        <w:pStyle w:val="Heading2"/>
      </w:pPr>
      <w:r>
        <w:rPr>
          <w:rFonts w:ascii="Calibri" w:hAnsi="Calibri"/>
          <w:color w:val="1B3A5C"/>
          <w:sz w:val="26"/>
        </w:rPr>
        <w:t>5.1 System Architecture</w:t>
      </w:r>
    </w:p>
    <w:p>
      <w:pPr>
        <w:jc w:val="center"/>
      </w:pPr>
      <w:r>
        <w:drawing>
          <wp:inline xmlns:a="http://schemas.openxmlformats.org/drawingml/2006/main" xmlns:pic="http://schemas.openxmlformats.org/drawingml/2006/picture">
            <wp:extent cx="5943600" cy="3549401"/>
            <wp:docPr id="1" name="Picture 1"/>
            <wp:cNvGraphicFramePr>
              <a:graphicFrameLocks noChangeAspect="1"/>
            </wp:cNvGraphicFramePr>
            <a:graphic>
              <a:graphicData uri="http://schemas.openxmlformats.org/drawingml/2006/picture">
                <pic:pic>
                  <pic:nvPicPr>
                    <pic:cNvPr id="0" name="01_system_overview.png"/>
                    <pic:cNvPicPr/>
                  </pic:nvPicPr>
                  <pic:blipFill>
                    <a:blip r:embed="rId9"/>
                    <a:stretch>
                      <a:fillRect/>
                    </a:stretch>
                  </pic:blipFill>
                  <pic:spPr>
                    <a:xfrm>
                      <a:off x="0" y="0"/>
                      <a:ext cx="5943600" cy="3549401"/>
                    </a:xfrm>
                    <a:prstGeom prst="rect"/>
                  </pic:spPr>
                </pic:pic>
              </a:graphicData>
            </a:graphic>
          </wp:inline>
        </w:drawing>
      </w:r>
    </w:p>
    <w:p>
      <w:pPr>
        <w:jc w:val="center"/>
      </w:pPr>
      <w:r>
        <w:rPr>
          <w:rFonts w:ascii="Calibri" w:hAnsi="Calibri"/>
          <w:i/>
          <w:color w:val="64748B"/>
          <w:sz w:val="17"/>
        </w:rPr>
        <w:t>Figure 1 — User roles, the Kuja platform's capability pillars, and the external services the platform integrates with.</w:t>
      </w:r>
    </w:p>
    <w:p>
      <w:pPr>
        <w:spacing w:after="120"/>
      </w:pPr>
      <w:r>
        <w:rPr>
          <w:rFonts w:ascii="Calibri" w:hAnsi="Calibri"/>
          <w:sz w:val="20"/>
        </w:rPr>
        <w:t>The system shall be delivered as a single web platform with twelve logically separable capability pillars. Each pillar is reachable from any user's workspace where their role permits, and pillars interlock: an NGO's capacity passport informs an AI-co-authored application; that application's score becomes part of the donor's portfolio insights; the resulting grant's compliance health flows from the document analyses underneath the application — all from the same source of record.</w:t>
      </w:r>
    </w:p>
    <w:p>
      <w:pPr>
        <w:pStyle w:val="ListBullet"/>
        <w:spacing w:after="40"/>
        <w:ind w:left="720"/>
      </w:pPr>
      <w:r>
        <w:rPr>
          <w:rFonts w:ascii="Calibri" w:hAnsi="Calibri"/>
          <w:b/>
          <w:sz w:val="20"/>
        </w:rPr>
        <w:t xml:space="preserve">Identity and access. </w:t>
      </w:r>
      <w:r>
        <w:rPr>
          <w:rFonts w:ascii="Calibri" w:hAnsi="Calibri"/>
          <w:sz w:val="20"/>
        </w:rPr>
        <w:t>Multi-tenant organisations; role-based access control; two-factor authentication for administrators; per-organisation data isolation.</w:t>
      </w:r>
    </w:p>
    <w:p>
      <w:pPr>
        <w:pStyle w:val="ListBullet"/>
        <w:spacing w:after="40"/>
        <w:ind w:left="720"/>
      </w:pPr>
      <w:r>
        <w:rPr>
          <w:rFonts w:ascii="Calibri" w:hAnsi="Calibri"/>
          <w:b/>
          <w:sz w:val="20"/>
        </w:rPr>
        <w:t xml:space="preserve">Lifecycle management. </w:t>
      </w:r>
      <w:r>
        <w:rPr>
          <w:rFonts w:ascii="Calibri" w:hAnsi="Calibri"/>
          <w:sz w:val="20"/>
        </w:rPr>
        <w:t>Grants, applications, capacity assessments, and reports follow explicit state machines with audit trails and lifecycle telemetry.</w:t>
      </w:r>
    </w:p>
    <w:p>
      <w:pPr>
        <w:pStyle w:val="ListBullet"/>
        <w:spacing w:after="40"/>
        <w:ind w:left="720"/>
      </w:pPr>
      <w:r>
        <w:rPr>
          <w:rFonts w:ascii="Calibri" w:hAnsi="Calibri"/>
          <w:b/>
          <w:sz w:val="20"/>
        </w:rPr>
        <w:t xml:space="preserve">Document intelligence. </w:t>
      </w:r>
      <w:r>
        <w:rPr>
          <w:rFonts w:ascii="Calibri" w:hAnsi="Calibri"/>
          <w:sz w:val="20"/>
        </w:rPr>
        <w:t>Uploaded documents are extracted, analysed against the grant's evidence requirements, and scored for completeness with clear fallbacks for scanned or low-quality files.</w:t>
      </w:r>
    </w:p>
    <w:p>
      <w:pPr>
        <w:pStyle w:val="ListBullet"/>
        <w:spacing w:after="40"/>
        <w:ind w:left="720"/>
      </w:pPr>
      <w:r>
        <w:rPr>
          <w:rFonts w:ascii="Calibri" w:hAnsi="Calibri"/>
          <w:b/>
          <w:sz w:val="20"/>
        </w:rPr>
        <w:t xml:space="preserve">Embedded AI Intelligence. </w:t>
      </w:r>
      <w:r>
        <w:rPr>
          <w:rFonts w:ascii="Calibri" w:hAnsi="Calibri"/>
          <w:sz w:val="20"/>
        </w:rPr>
        <w:t>Intelligence is woven into every workflow as a working partner — drafting, evaluating, surfacing gaps, generating rationales, translating findings — never as a generic chatbot.</w:t>
      </w:r>
    </w:p>
    <w:p>
      <w:pPr>
        <w:pStyle w:val="ListBullet"/>
        <w:spacing w:after="40"/>
        <w:ind w:left="720"/>
      </w:pPr>
      <w:r>
        <w:rPr>
          <w:rFonts w:ascii="Calibri" w:hAnsi="Calibri"/>
          <w:b/>
          <w:sz w:val="20"/>
        </w:rPr>
        <w:t xml:space="preserve">Compliance and trust. </w:t>
      </w:r>
      <w:r>
        <w:rPr>
          <w:rFonts w:ascii="Calibri" w:hAnsi="Calibri"/>
          <w:sz w:val="20"/>
        </w:rPr>
        <w:t>Live sanctions screening, government registry verification, compliance health scoring, risk register, provenance tracking, and hash-chained audit log.</w:t>
      </w:r>
    </w:p>
    <w:p>
      <w:pPr>
        <w:pStyle w:val="ListBullet"/>
        <w:spacing w:after="40"/>
        <w:ind w:left="720"/>
      </w:pPr>
      <w:r>
        <w:rPr>
          <w:rFonts w:ascii="Calibri" w:hAnsi="Calibri"/>
          <w:b/>
          <w:sz w:val="20"/>
        </w:rPr>
        <w:t xml:space="preserve">Operations and observability. </w:t>
      </w:r>
      <w:r>
        <w:rPr>
          <w:rFonts w:ascii="Calibri" w:hAnsi="Calibri"/>
          <w:sz w:val="20"/>
        </w:rPr>
        <w:t>Admin self-service for system health, AI cost forecasting, demo readiness scanning, flagship AI surface health monitoring, audit retention configuration, and failed-login analytics.</w:t>
      </w:r>
    </w:p>
    <w:p>
      <w:pPr>
        <w:pStyle w:val="Heading2"/>
      </w:pPr>
      <w:r>
        <w:rPr>
          <w:rFonts w:ascii="Calibri" w:hAnsi="Calibri"/>
          <w:color w:val="1B3A5C"/>
          <w:sz w:val="26"/>
        </w:rPr>
        <w:t>5.2 Action-Driven Workspaces</w:t>
      </w:r>
    </w:p>
    <w:p>
      <w:pPr>
        <w:spacing w:after="120"/>
      </w:pPr>
      <w:r>
        <w:rPr>
          <w:rFonts w:ascii="Calibri" w:hAnsi="Calibri"/>
          <w:sz w:val="20"/>
        </w:rPr>
        <w:t>Every role's primary surface shall be a dashboard organised around what the user must do, not just what records the system holds. The system shall surface to-dos, deadlines, blockers, and opportunities the moment the user signs in — the dashboard answers the question "what should I do today?" before the user has to ask.</w:t>
      </w:r>
    </w:p>
    <w:p>
      <w:pPr>
        <w:pStyle w:val="Heading3"/>
      </w:pPr>
      <w:r>
        <w:rPr>
          <w:rFonts w:ascii="Calibri" w:hAnsi="Calibri"/>
          <w:color w:val="2C5F8A"/>
          <w:sz w:val="22"/>
        </w:rPr>
        <w:t>NGO workspace — "This Week"</w:t>
      </w:r>
    </w:p>
    <w:p>
      <w:pPr>
        <w:spacing w:after="120"/>
      </w:pPr>
      <w:r>
        <w:rPr>
          <w:rFonts w:ascii="Calibri" w:hAnsi="Calibri"/>
          <w:sz w:val="20"/>
        </w:rPr>
        <w:t>An NGO's home shall present a single "This Week" surface that consolidates every obligation, opportunity, and decision the user owes attention to. The system shall not require the NGO to navigate across separate screens to discover what is due.</w:t>
      </w:r>
    </w:p>
    <w:p>
      <w:pPr>
        <w:pStyle w:val="ListBullet"/>
        <w:spacing w:after="40"/>
        <w:ind w:left="720"/>
      </w:pPr>
      <w:r>
        <w:rPr>
          <w:rFonts w:ascii="Calibri" w:hAnsi="Calibri"/>
          <w:b/>
          <w:sz w:val="20"/>
        </w:rPr>
        <w:t xml:space="preserve">Upcoming reports due. </w:t>
      </w:r>
      <w:r>
        <w:rPr>
          <w:rFonts w:ascii="Calibri" w:hAnsi="Calibri"/>
          <w:sz w:val="20"/>
        </w:rPr>
        <w:t>Every progress report due within the next four weeks, in date order, with the report draft state and an indication of which ones have AI-prepared draft narratives waiting.</w:t>
      </w:r>
    </w:p>
    <w:p>
      <w:pPr>
        <w:pStyle w:val="ListBullet"/>
        <w:spacing w:after="40"/>
        <w:ind w:left="720"/>
      </w:pPr>
      <w:r>
        <w:rPr>
          <w:rFonts w:ascii="Calibri" w:hAnsi="Calibri"/>
          <w:b/>
          <w:sz w:val="20"/>
        </w:rPr>
        <w:t xml:space="preserve">Applications in progress. </w:t>
      </w:r>
      <w:r>
        <w:rPr>
          <w:rFonts w:ascii="Calibri" w:hAnsi="Calibri"/>
          <w:sz w:val="20"/>
        </w:rPr>
        <w:t>Draft applications grouped by deadline urgency, each with the next action the system recommends (complete section X, upload document Y, address pre-flight finding Z).</w:t>
      </w:r>
    </w:p>
    <w:p>
      <w:pPr>
        <w:pStyle w:val="ListBullet"/>
        <w:spacing w:after="40"/>
        <w:ind w:left="720"/>
      </w:pPr>
      <w:r>
        <w:rPr>
          <w:rFonts w:ascii="Calibri" w:hAnsi="Calibri"/>
          <w:b/>
          <w:sz w:val="20"/>
        </w:rPr>
        <w:t xml:space="preserve">Grants matched but not started. </w:t>
      </w:r>
      <w:r>
        <w:rPr>
          <w:rFonts w:ascii="Calibri" w:hAnsi="Calibri"/>
          <w:sz w:val="20"/>
        </w:rPr>
        <w:t>Newly published grants where the NGO's match score exceeds the threshold, surfaced with top strength and top blocker so the NGO can decide quickly whether to invest the effort.</w:t>
      </w:r>
    </w:p>
    <w:p>
      <w:pPr>
        <w:pStyle w:val="ListBullet"/>
        <w:spacing w:after="40"/>
        <w:ind w:left="720"/>
      </w:pPr>
      <w:r>
        <w:rPr>
          <w:rFonts w:ascii="Calibri" w:hAnsi="Calibri"/>
          <w:b/>
          <w:sz w:val="20"/>
        </w:rPr>
        <w:t xml:space="preserve">Compliance to-dos. </w:t>
      </w:r>
      <w:r>
        <w:rPr>
          <w:rFonts w:ascii="Calibri" w:hAnsi="Calibri"/>
          <w:sz w:val="20"/>
        </w:rPr>
        <w:t>Open clarifications, donor revision requests, risks awaiting response, and capacity passport gaps that, if closed, would improve the NGO's match scoring.</w:t>
      </w:r>
    </w:p>
    <w:p>
      <w:pPr>
        <w:pStyle w:val="ListBullet"/>
        <w:spacing w:after="40"/>
        <w:ind w:left="720"/>
      </w:pPr>
      <w:r>
        <w:rPr>
          <w:rFonts w:ascii="Calibri" w:hAnsi="Calibri"/>
          <w:b/>
          <w:sz w:val="20"/>
        </w:rPr>
        <w:t xml:space="preserve">Recent feedback. </w:t>
      </w:r>
      <w:r>
        <w:rPr>
          <w:rFonts w:ascii="Calibri" w:hAnsi="Calibri"/>
          <w:sz w:val="20"/>
        </w:rPr>
        <w:t>Donor feedback on accepted or revised reports, with AI-translated summaries of what each donor would like to see differently.</w:t>
      </w:r>
    </w:p>
    <w:p>
      <w:pPr>
        <w:pStyle w:val="ListBullet"/>
        <w:spacing w:after="40"/>
        <w:ind w:left="720"/>
      </w:pPr>
      <w:r>
        <w:rPr>
          <w:rFonts w:ascii="Calibri" w:hAnsi="Calibri"/>
          <w:b/>
          <w:sz w:val="20"/>
        </w:rPr>
        <w:t xml:space="preserve">Capacity passport status. </w:t>
      </w:r>
      <w:r>
        <w:rPr>
          <w:rFonts w:ascii="Calibri" w:hAnsi="Calibri"/>
          <w:sz w:val="20"/>
        </w:rPr>
        <w:t>Completion percentage across the embedded frameworks so the NGO knows how application-ready the organisation is.</w:t>
      </w:r>
    </w:p>
    <w:p>
      <w:pPr>
        <w:pStyle w:val="Heading3"/>
      </w:pPr>
      <w:r>
        <w:rPr>
          <w:rFonts w:ascii="Calibri" w:hAnsi="Calibri"/>
          <w:color w:val="2C5F8A"/>
          <w:sz w:val="22"/>
        </w:rPr>
        <w:t>Donor workspace</w:t>
      </w:r>
    </w:p>
    <w:p>
      <w:pPr>
        <w:spacing w:after="120"/>
      </w:pPr>
      <w:r>
        <w:rPr>
          <w:rFonts w:ascii="Calibri" w:hAnsi="Calibri"/>
          <w:sz w:val="20"/>
        </w:rPr>
        <w:t>A donor's home shall present a portfolio-level command centre: applications awaiting decision, grants with overdue reports, compliance health bands across the portfolio, slips-in-N-days warnings, risks awaiting donor response, and recent applicant activity. The system shall also surface a single AI-generated portfolio insights panel with a headline, anomalies, and the next decisions the donor owes.</w:t>
      </w:r>
    </w:p>
    <w:p>
      <w:pPr>
        <w:pStyle w:val="Heading3"/>
      </w:pPr>
      <w:r>
        <w:rPr>
          <w:rFonts w:ascii="Calibri" w:hAnsi="Calibri"/>
          <w:color w:val="2C5F8A"/>
          <w:sz w:val="22"/>
        </w:rPr>
        <w:t>Reviewer workspace</w:t>
      </w:r>
    </w:p>
    <w:p>
      <w:pPr>
        <w:spacing w:after="120"/>
      </w:pPr>
      <w:r>
        <w:rPr>
          <w:rFonts w:ascii="Calibri" w:hAnsi="Calibri"/>
          <w:sz w:val="20"/>
        </w:rPr>
        <w:t>A reviewer's home shall present an action queue of applications assigned, scored, awaiting their second pass, and (where the donor has enabled it) comparable applications they have not yet rated. Every row shall surface whether an AI summary has been produced and whether the reviewer has cited evidence per criterion.</w:t>
      </w:r>
    </w:p>
    <w:p>
      <w:pPr>
        <w:pStyle w:val="Heading3"/>
      </w:pPr>
      <w:r>
        <w:rPr>
          <w:rFonts w:ascii="Calibri" w:hAnsi="Calibri"/>
          <w:color w:val="2C5F8A"/>
          <w:sz w:val="22"/>
        </w:rPr>
        <w:t>Administrator workspace</w:t>
      </w:r>
    </w:p>
    <w:p>
      <w:pPr>
        <w:spacing w:after="120"/>
      </w:pPr>
      <w:r>
        <w:rPr>
          <w:rFonts w:ascii="Calibri" w:hAnsi="Calibri"/>
          <w:sz w:val="20"/>
        </w:rPr>
        <w:t>An administrator's home shall present an operations command centre: system health, AI cost projection vs. budget, AI surface health (the daily probe of every flagship AI surface), demo readiness findings, stuck document extractions, organisations pending verification, and failed-login analytics.</w:t>
      </w:r>
    </w:p>
    <w:p>
      <w:pPr>
        <w:pStyle w:val="Heading2"/>
      </w:pPr>
      <w:r>
        <w:rPr>
          <w:rFonts w:ascii="Calibri" w:hAnsi="Calibri"/>
          <w:color w:val="1B3A5C"/>
          <w:sz w:val="26"/>
        </w:rPr>
        <w:t>5.3 The Organisation Trust Profile</w:t>
      </w:r>
    </w:p>
    <w:p>
      <w:pPr>
        <w:spacing w:after="120"/>
      </w:pPr>
      <w:r>
        <w:rPr>
          <w:rFonts w:ascii="Calibri" w:hAnsi="Calibri"/>
          <w:sz w:val="20"/>
        </w:rPr>
        <w:t>Every organisation on Kuja shall present an Organisation Trust Profile composed of two distinct but complementary pillars. The two pillars answer different questions for different audiences and run on different cadences — but they appear together on the organisation page so donors can see both before committing capital, and they passport together so NGOs do not re-do the work for each donor.</w:t>
      </w:r>
    </w:p>
    <w:p>
      <w:pPr>
        <w:jc w:val="center"/>
      </w:pPr>
      <w:r>
        <w:drawing>
          <wp:inline xmlns:a="http://schemas.openxmlformats.org/drawingml/2006/main" xmlns:pic="http://schemas.openxmlformats.org/drawingml/2006/picture">
            <wp:extent cx="5943600" cy="3215560"/>
            <wp:docPr id="2" name="Picture 2"/>
            <wp:cNvGraphicFramePr>
              <a:graphicFrameLocks noChangeAspect="1"/>
            </wp:cNvGraphicFramePr>
            <a:graphic>
              <a:graphicData uri="http://schemas.openxmlformats.org/drawingml/2006/picture">
                <pic:pic>
                  <pic:nvPicPr>
                    <pic:cNvPr id="0" name="07_trust_profile.png"/>
                    <pic:cNvPicPr/>
                  </pic:nvPicPr>
                  <pic:blipFill>
                    <a:blip r:embed="rId10"/>
                    <a:stretch>
                      <a:fillRect/>
                    </a:stretch>
                  </pic:blipFill>
                  <pic:spPr>
                    <a:xfrm>
                      <a:off x="0" y="0"/>
                      <a:ext cx="5943600" cy="3215560"/>
                    </a:xfrm>
                    <a:prstGeom prst="rect"/>
                  </pic:spPr>
                </pic:pic>
              </a:graphicData>
            </a:graphic>
          </wp:inline>
        </w:drawing>
      </w:r>
    </w:p>
    <w:p>
      <w:pPr>
        <w:jc w:val="center"/>
      </w:pPr>
      <w:r>
        <w:rPr>
          <w:rFonts w:ascii="Calibri" w:hAnsi="Calibri"/>
          <w:i/>
          <w:color w:val="64748B"/>
          <w:sz w:val="17"/>
        </w:rPr>
        <w:t>Figure 7 — The Organisation Trust Profile. Two pillars, one source of truth, travels with the organisation across every application.</w:t>
      </w:r>
    </w:p>
    <w:p>
      <w:pPr>
        <w:pStyle w:val="ListBullet"/>
        <w:spacing w:after="40"/>
        <w:ind w:left="720"/>
      </w:pPr>
      <w:r>
        <w:rPr>
          <w:rFonts w:ascii="Calibri" w:hAnsi="Calibri"/>
          <w:b/>
          <w:sz w:val="20"/>
        </w:rPr>
        <w:t xml:space="preserve">Capacity Profile — "can this organisation execute?". </w:t>
      </w:r>
      <w:r>
        <w:rPr>
          <w:rFonts w:ascii="Calibri" w:hAnsi="Calibri"/>
          <w:sz w:val="20"/>
        </w:rPr>
        <w:t>Sourced from completed capacity assessments across embedded frameworks (Kuja, STEP, UN-HACT, CHS, NUPAS) or donor-defined custom frameworks. Measures capability across governance, finance, monitoring and evaluation, programme design, and sustainability. Maintained primarily by the NGO; updated on a donor- or organisation-defined refresh cadence. Detailed in section 6.4.</w:t>
      </w:r>
    </w:p>
    <w:p>
      <w:pPr>
        <w:pStyle w:val="ListBullet"/>
        <w:spacing w:after="40"/>
        <w:ind w:left="720"/>
      </w:pPr>
      <w:r>
        <w:rPr>
          <w:rFonts w:ascii="Calibri" w:hAnsi="Calibri"/>
          <w:b/>
          <w:sz w:val="20"/>
        </w:rPr>
        <w:t xml:space="preserve">Due Diligence Profile — "is this organisation safe to fund?". </w:t>
      </w:r>
      <w:r>
        <w:rPr>
          <w:rFonts w:ascii="Calibri" w:hAnsi="Calibri"/>
          <w:sz w:val="20"/>
        </w:rPr>
        <w:t>Sourced from continuous external verification against authoritative third-party sources. Combines sanctions screening, registration and standing verification, tax-exempt status, beneficial ownership transparency, and adverse media monitoring. Maintained by the platform; updated continuously or on scheduled cadences appropriate to each source. Detailed in section 6.7.</w:t>
      </w:r>
    </w:p>
    <w:p>
      <w:pPr>
        <w:spacing w:after="120"/>
      </w:pPr>
      <w:r>
        <w:rPr>
          <w:rFonts w:ascii="Calibri" w:hAnsi="Calibri"/>
          <w:sz w:val="20"/>
        </w:rPr>
        <w:t>Both pillars passport across applications: an NGO that has been screened, verified, and assessed for one donor does not repeat the work for the next. Donors see the Trust Profile alongside every application from that organisation and can drill into any specific check that matters to them.</w:t>
      </w:r>
    </w:p>
    <w:p>
      <w:r>
        <w:br w:type="page"/>
      </w:r>
    </w:p>
    <w:p>
      <w:pPr>
        <w:pStyle w:val="Heading1"/>
      </w:pPr>
      <w:r>
        <w:rPr>
          <w:rFonts w:ascii="Calibri" w:hAnsi="Calibri"/>
          <w:color w:val="1B3A5C"/>
          <w:sz w:val="36"/>
        </w:rPr>
        <w:t>6. Functional Requirements</w:t>
      </w:r>
    </w:p>
    <w:p>
      <w:pPr>
        <w:spacing w:after="120"/>
      </w:pPr>
      <w:r>
        <w:rPr>
          <w:rFonts w:ascii="Calibri" w:hAnsi="Calibri"/>
          <w:sz w:val="20"/>
        </w:rPr>
        <w:t>This chapter specifies what the system shall do, organised by capability area. Each section opens with a narrative use case establishing the user context, followed by enumerated requirements in the form "the system shall…". Where AI plays a material role, a dedicated subsection details how AI is leveraged.</w:t>
      </w:r>
    </w:p>
    <w:p>
      <w:pPr>
        <w:pStyle w:val="Heading2"/>
      </w:pPr>
      <w:r>
        <w:rPr>
          <w:rFonts w:ascii="Calibri" w:hAnsi="Calibri"/>
          <w:color w:val="1B3A5C"/>
          <w:sz w:val="26"/>
        </w:rPr>
        <w:t>6.1 Identity, Access and Authentication</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Fatima, a programme officer at an NGO in Kakamega, signs in to apply for a maternal-health grant. She belongs to the Amani Foundation, which her colleague registered last month. She is presented only with applications, grants, and reports that belong to her organisation; an administrator visiting later sees the same organisation in their fuller administrative view.</w:t>
            </w:r>
          </w:p>
        </w:tc>
      </w:tr>
    </w:tbl>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support user registration and authentication via email and password, with bcrypt-hashed credentials stored at rest.</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support four distinct roles (NGO, donor, reviewer, administrator), each with documented permissions and a dedicated dashboard.</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enforce per-organisation data isolation such that users see only records belonging to their organisation, with administrators as the sole cross-organisation exception.</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support time-based one-time password (TOTP) two-factor authentication, with recovery codes issued at enrolment and verified at sign-in.</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support administrator-level enforcement of two-factor authentication on write actions, configurable as a hard gate when the organisation chooses to enforce it.</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throttle authentication attempts per source address and per email account, locking out abusive sources without locking out legitimate users on shared networks.</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log every authentication event into a tamper-evident audit chain so that the sequence of authentication activity is independently verifiable.</w:t>
      </w:r>
    </w:p>
    <w:p>
      <w:pPr>
        <w:spacing w:after="60"/>
        <w:ind w:left="576" w:hanging="576"/>
      </w:pPr>
      <w:r>
        <w:rPr>
          <w:rFonts w:ascii="Calibri" w:hAnsi="Calibri"/>
          <w:b/>
          <w:sz w:val="20"/>
        </w:rPr>
        <w:t xml:space="preserve">8.  </w:t>
      </w:r>
      <w:r>
        <w:rPr>
          <w:rFonts w:ascii="Calibri" w:hAnsi="Calibri"/>
          <w:sz w:val="20"/>
        </w:rPr>
        <w:t xml:space="preserve">The system shall </w:t>
      </w:r>
      <w:r>
        <w:rPr>
          <w:rFonts w:ascii="Calibri" w:hAnsi="Calibri"/>
          <w:sz w:val="20"/>
        </w:rPr>
        <w:t>allow users to change their interface language at any time, persisting the choice on their profile.</w:t>
      </w:r>
    </w:p>
    <w:p>
      <w:pPr>
        <w:pStyle w:val="Heading2"/>
      </w:pPr>
      <w:r>
        <w:rPr>
          <w:rFonts w:ascii="Calibri" w:hAnsi="Calibri"/>
          <w:color w:val="1B3A5C"/>
          <w:sz w:val="26"/>
        </w:rPr>
        <w:t>6.2 Grant Lifecycle Management</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David, a programme director at a donor foundation, wants to publish a new $2 million health-systems grant. He has two equally fast paths: type a two-line brief and let the system draft the full grant, or upload the existing brief document his team has drafted in Word and let the system extract it into the wizard. Either way he lands in the same editable six-step wizard with everything prefilled. He refines a few criteria, runs the burden check (which warns him that one document requirement is unrealistic for small NGOs and proposes an alternative), and publishes.</w:t>
            </w:r>
          </w:p>
        </w:tc>
      </w:tr>
    </w:tbl>
    <w:p>
      <w:pPr>
        <w:spacing w:after="120"/>
      </w:pPr>
      <w:r>
        <w:rPr>
          <w:rFonts w:ascii="Calibri" w:hAnsi="Calibri"/>
          <w:sz w:val="20"/>
        </w:rPr>
        <w:t>Grant creation shall be a wizard-driven experience with two equally supported entry points so donors are never blocked on "start from scratch" friction. Both entry points land the donor in the same six-step wizard, prefilled by AI; the donor refines and publishes.</w:t>
      </w:r>
    </w:p>
    <w:p>
      <w:pPr>
        <w:jc w:val="center"/>
      </w:pPr>
      <w:r>
        <w:drawing>
          <wp:inline xmlns:a="http://schemas.openxmlformats.org/drawingml/2006/main" xmlns:pic="http://schemas.openxmlformats.org/drawingml/2006/picture">
            <wp:extent cx="5943600" cy="2564013"/>
            <wp:docPr id="3" name="Picture 3"/>
            <wp:cNvGraphicFramePr>
              <a:graphicFrameLocks noChangeAspect="1"/>
            </wp:cNvGraphicFramePr>
            <a:graphic>
              <a:graphicData uri="http://schemas.openxmlformats.org/drawingml/2006/picture">
                <pic:pic>
                  <pic:nvPicPr>
                    <pic:cNvPr id="0" name="06_two_grant_paths.png"/>
                    <pic:cNvPicPr/>
                  </pic:nvPicPr>
                  <pic:blipFill>
                    <a:blip r:embed="rId11"/>
                    <a:stretch>
                      <a:fillRect/>
                    </a:stretch>
                  </pic:blipFill>
                  <pic:spPr>
                    <a:xfrm>
                      <a:off x="0" y="0"/>
                      <a:ext cx="5943600" cy="2564013"/>
                    </a:xfrm>
                    <a:prstGeom prst="rect"/>
                  </pic:spPr>
                </pic:pic>
              </a:graphicData>
            </a:graphic>
          </wp:inline>
        </w:drawing>
      </w:r>
    </w:p>
    <w:p>
      <w:pPr>
        <w:jc w:val="center"/>
      </w:pPr>
      <w:r>
        <w:rPr>
          <w:rFonts w:ascii="Calibri" w:hAnsi="Calibri"/>
          <w:i/>
          <w:color w:val="64748B"/>
          <w:sz w:val="17"/>
        </w:rPr>
        <w:t>Figure 2 — Two paths to start a grant. Both deposit the donor into the same editable wizard with AI prefill.</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represent a grant as a structured entity with title, description, sector tags, geographic scope, total funding, currency, deadline, eligibility requirements, evaluation criteria with weights, required document types with specific requirements, reporting requirements, and status.</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support a six-step grant publication wizard covering basic information, eligibility, criteria, document requirements, reporting configuration, and review-and-publish.</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offer two entry points into the wizard: (a) provide a short donor prompt and let the system draft a complete grant scaffold, or (b) upload an existing grant brief in PDF, DOCX, or plain text and let the system extract its content into the wizard.</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allow the donor to modify, add to, or remove anything the AI prefilled at any step of the wizard before publishing, treating AI output as a starting point rather than a final answer.</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track each grant through a documented lifecycle of draft, open, review, closed, and awarded, with state transitions audited.</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allow donors to update grants prior to publication and to amend reporting requirements post-award where contractually permitted.</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support live drafting visibility, so donors can see how many NGOs are actively preparing applications without identifying the NGOs themselves.</w:t>
      </w:r>
    </w:p>
    <w:p>
      <w:pPr>
        <w:spacing w:after="60"/>
        <w:ind w:left="576" w:hanging="576"/>
      </w:pPr>
      <w:r>
        <w:rPr>
          <w:rFonts w:ascii="Calibri" w:hAnsi="Calibri"/>
          <w:b/>
          <w:sz w:val="20"/>
        </w:rPr>
        <w:t xml:space="preserve">8.  </w:t>
      </w:r>
      <w:r>
        <w:rPr>
          <w:rFonts w:ascii="Calibri" w:hAnsi="Calibri"/>
          <w:sz w:val="20"/>
        </w:rPr>
        <w:t xml:space="preserve">The system shall </w:t>
      </w:r>
      <w:r>
        <w:rPr>
          <w:rFonts w:ascii="Calibri" w:hAnsi="Calibri"/>
          <w:sz w:val="20"/>
        </w:rPr>
        <w:t>support a grant-level question-and-answer thread allowing NGOs to ask clarifying questions and donors to publish responses visible to all applicants.</w:t>
      </w:r>
    </w:p>
    <w:p>
      <w:pPr>
        <w:pStyle w:val="Heading3"/>
      </w:pPr>
      <w:r>
        <w:rPr>
          <w:rFonts w:ascii="Calibri" w:hAnsi="Calibri"/>
          <w:color w:val="2C5F8A"/>
          <w:sz w:val="22"/>
        </w:rPr>
        <w:t>AI integration</w:t>
      </w:r>
    </w:p>
    <w:p>
      <w:pPr>
        <w:pStyle w:val="ListBullet"/>
        <w:spacing w:after="40"/>
        <w:ind w:left="720"/>
      </w:pPr>
      <w:r>
        <w:rPr>
          <w:rFonts w:ascii="Calibri" w:hAnsi="Calibri"/>
          <w:b/>
          <w:sz w:val="20"/>
        </w:rPr>
        <w:t xml:space="preserve">Path A — Grant brief generation from prompt. </w:t>
      </w:r>
      <w:r>
        <w:rPr>
          <w:rFonts w:ascii="Calibri" w:hAnsi="Calibri"/>
          <w:sz w:val="20"/>
        </w:rPr>
        <w:t>The system shall draft a complete grant scaffold — title, description, criteria with weights, eligibility, document requirements, reporting cadence, recommended deadline — from a short donor prompt, producing an editable starting point in seconds. Every field shall be modifiable in the wizard.</w:t>
      </w:r>
    </w:p>
    <w:p>
      <w:pPr>
        <w:pStyle w:val="ListBullet"/>
        <w:spacing w:after="40"/>
        <w:ind w:left="720"/>
      </w:pPr>
      <w:r>
        <w:rPr>
          <w:rFonts w:ascii="Calibri" w:hAnsi="Calibri"/>
          <w:b/>
          <w:sz w:val="20"/>
        </w:rPr>
        <w:t xml:space="preserve">Path B — Grant import from uploaded document. </w:t>
      </w:r>
      <w:r>
        <w:rPr>
          <w:rFonts w:ascii="Calibri" w:hAnsi="Calibri"/>
          <w:sz w:val="20"/>
        </w:rPr>
        <w:t>The system shall extract the structured content of an existing grant brief uploaded as PDF, DOCX, or plain text, mapping the extracted content into the wizard's six steps. The donor reviews each step, refines, adds, or removes content, and publishes. Where the source document is scanned or image-only, the system shall fall back to vision-based extraction rather than rejecting the upload.</w:t>
      </w:r>
    </w:p>
    <w:p>
      <w:pPr>
        <w:pStyle w:val="ListBullet"/>
        <w:spacing w:after="40"/>
        <w:ind w:left="720"/>
      </w:pPr>
      <w:r>
        <w:rPr>
          <w:rFonts w:ascii="Calibri" w:hAnsi="Calibri"/>
          <w:b/>
          <w:sz w:val="20"/>
        </w:rPr>
        <w:t xml:space="preserve">Applicant burden critique. </w:t>
      </w:r>
      <w:r>
        <w:rPr>
          <w:rFonts w:ascii="Calibri" w:hAnsi="Calibri"/>
          <w:sz w:val="20"/>
        </w:rPr>
        <w:t>Before publishing, the system shall analyse the grant for applicant burden, identifying vague criteria any answer could satisfy, criteria asking for evidence small NGOs cannot realistically produce, and document requirements likely to depress submission quality. It shall propose specific, less burdensome alternatives.</w:t>
      </w:r>
    </w:p>
    <w:p>
      <w:pPr>
        <w:pStyle w:val="ListBullet"/>
        <w:spacing w:after="40"/>
        <w:ind w:left="720"/>
      </w:pPr>
      <w:r>
        <w:rPr>
          <w:rFonts w:ascii="Calibri" w:hAnsi="Calibri"/>
          <w:b/>
          <w:sz w:val="20"/>
        </w:rPr>
        <w:t xml:space="preserve">Median-NGO preview. </w:t>
      </w:r>
      <w:r>
        <w:rPr>
          <w:rFonts w:ascii="Calibri" w:hAnsi="Calibri"/>
          <w:sz w:val="20"/>
        </w:rPr>
        <w:t>The system shall predict what the median qualifying NGO will submit against each criterion and rate how well the criterion will discriminate strong from weak applicants, allowing donors to tighten the rubric before opening submissions.</w:t>
      </w:r>
    </w:p>
    <w:p>
      <w:pPr>
        <w:pStyle w:val="ListBullet"/>
        <w:spacing w:after="40"/>
        <w:ind w:left="720"/>
      </w:pPr>
      <w:r>
        <w:rPr>
          <w:rFonts w:ascii="Calibri" w:hAnsi="Calibri"/>
          <w:b/>
          <w:sz w:val="20"/>
        </w:rPr>
        <w:t xml:space="preserve">Reporting requirements auto-population. </w:t>
      </w:r>
      <w:r>
        <w:rPr>
          <w:rFonts w:ascii="Calibri" w:hAnsi="Calibri"/>
          <w:sz w:val="20"/>
        </w:rPr>
        <w:t>Where the donor uploads a draft grant agreement (rather than a shorter brief), the system shall extract the reporting cadence, indicator definitions, narrative section template, and budget reporting format from the document and use them to populate the grant's reporting configuration.</w:t>
      </w:r>
    </w:p>
    <w:p>
      <w:pPr>
        <w:spacing w:after="120"/>
      </w:pPr>
      <w:r>
        <w:rPr>
          <w:rFonts w:ascii="Calibri" w:hAnsi="Calibri"/>
          <w:sz w:val="20"/>
        </w:rPr>
        <w:t>After the grant is published, the system shall surface it through the match engine to NGOs whose capacity passport, sector, geography, and track record align — the same end-to-end lifecycle illustrated below.</w:t>
      </w:r>
    </w:p>
    <w:p>
      <w:pPr>
        <w:jc w:val="center"/>
      </w:pPr>
      <w:r>
        <w:drawing>
          <wp:inline xmlns:a="http://schemas.openxmlformats.org/drawingml/2006/main" xmlns:pic="http://schemas.openxmlformats.org/drawingml/2006/picture">
            <wp:extent cx="5943600" cy="2779499"/>
            <wp:docPr id="4" name="Picture 4"/>
            <wp:cNvGraphicFramePr>
              <a:graphicFrameLocks noChangeAspect="1"/>
            </wp:cNvGraphicFramePr>
            <a:graphic>
              <a:graphicData uri="http://schemas.openxmlformats.org/drawingml/2006/picture">
                <pic:pic>
                  <pic:nvPicPr>
                    <pic:cNvPr id="0" name="02_grant_lifecycle.png"/>
                    <pic:cNvPicPr/>
                  </pic:nvPicPr>
                  <pic:blipFill>
                    <a:blip r:embed="rId12"/>
                    <a:stretch>
                      <a:fillRect/>
                    </a:stretch>
                  </pic:blipFill>
                  <pic:spPr>
                    <a:xfrm>
                      <a:off x="0" y="0"/>
                      <a:ext cx="5943600" cy="2779499"/>
                    </a:xfrm>
                    <a:prstGeom prst="rect"/>
                  </pic:spPr>
                </pic:pic>
              </a:graphicData>
            </a:graphic>
          </wp:inline>
        </w:drawing>
      </w:r>
    </w:p>
    <w:p>
      <w:pPr>
        <w:jc w:val="center"/>
      </w:pPr>
      <w:r>
        <w:rPr>
          <w:rFonts w:ascii="Calibri" w:hAnsi="Calibri"/>
          <w:i/>
          <w:color w:val="64748B"/>
          <w:sz w:val="17"/>
        </w:rPr>
        <w:t>Figure 3 — The complete grant lifecycle from publication through compliance monitoring, with Embedded AI Intelligence (clay) and compliance checkpoints (sky) at every stage.</w:t>
      </w:r>
    </w:p>
    <w:p>
      <w:pPr>
        <w:pStyle w:val="Heading2"/>
      </w:pPr>
      <w:r>
        <w:rPr>
          <w:rFonts w:ascii="Calibri" w:hAnsi="Calibri"/>
          <w:color w:val="1B3A5C"/>
          <w:sz w:val="26"/>
        </w:rPr>
        <w:t>6.3 Application Lifecycle Management</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Fatima at Amani Foundation finds the maternal-health grant. The system has pre-scored Amani as an 87% match. She opens the application; the system has prefilled the eligibility section from her organisation profile, drafted initial responses to each criterion drawing on her capacity passport, prior applications, and her uploaded annual report, and flagged a single piece of missing evidence (last year's audited financials). She refines two responses, uploads the missing audit, and submits. Before submission the system runs a pre-flight check, surfaces no blockers, and confirms her application is ready.</w:t>
            </w:r>
          </w:p>
        </w:tc>
      </w:tr>
    </w:tbl>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represent an application as a structured entity with grant reference, applicant organisation, per-criterion responses, eligibility responses, attached documents, total funding requested, status, and lifecycle timestamps.</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support a four-step application wizard covering eligibility check, proposal responses, document upload, and review-and-submit.</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track each application through a documented lifecycle of draft, submitted, under-review, scored, accepted, and rejected, with state transitions audited.</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allow NGOs to save draft applications and return to them later, preserving partial work and the AI-drafted state.</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auto-save applicant input at regular intervals so that connection drops do not lose work.</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support reassignment of applications to alternate reviewers by administrators.</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allow donors to issue clarification requests to applicants, with structured responses returned in-band rather than via email.</w:t>
      </w:r>
    </w:p>
    <w:p>
      <w:pPr>
        <w:pStyle w:val="Heading3"/>
      </w:pPr>
      <w:r>
        <w:rPr>
          <w:rFonts w:ascii="Calibri" w:hAnsi="Calibri"/>
          <w:color w:val="2C5F8A"/>
          <w:sz w:val="22"/>
        </w:rPr>
        <w:t>AI integration</w:t>
      </w:r>
    </w:p>
    <w:p>
      <w:pPr>
        <w:pStyle w:val="ListBullet"/>
        <w:spacing w:after="40"/>
        <w:ind w:left="720"/>
      </w:pPr>
      <w:r>
        <w:rPr>
          <w:rFonts w:ascii="Calibri" w:hAnsi="Calibri"/>
          <w:b/>
          <w:sz w:val="20"/>
        </w:rPr>
        <w:t xml:space="preserve">Application co-authoring. </w:t>
      </w:r>
      <w:r>
        <w:rPr>
          <w:rFonts w:ascii="Calibri" w:hAnsi="Calibri"/>
          <w:sz w:val="20"/>
        </w:rPr>
        <w:t>When an NGO begins an application, the system shall generate a first draft of each response by drawing on the NGO's organisation profile, capacity passport, prior applications, uploaded documents, and organisational memory. Every draft claim shall be linked to its source so the applicant can verify and refine.</w:t>
      </w:r>
    </w:p>
    <w:p>
      <w:pPr>
        <w:pStyle w:val="ListBullet"/>
        <w:spacing w:after="40"/>
        <w:ind w:left="720"/>
      </w:pPr>
      <w:r>
        <w:rPr>
          <w:rFonts w:ascii="Calibri" w:hAnsi="Calibri"/>
          <w:b/>
          <w:sz w:val="20"/>
        </w:rPr>
        <w:t xml:space="preserve">Pre-submission readiness check. </w:t>
      </w:r>
      <w:r>
        <w:rPr>
          <w:rFonts w:ascii="Calibri" w:hAnsi="Calibri"/>
          <w:sz w:val="20"/>
        </w:rPr>
        <w:t>Before submission the system shall run a structured gap analysis identifying missing evidence per criterion, overclaims lacking supporting data, generic answers that any applicant could give, and weak passages where a one-click rewrite is available. Each finding shall be classified blocker, weak, or polish.</w:t>
      </w:r>
    </w:p>
    <w:p>
      <w:pPr>
        <w:pStyle w:val="ListBullet"/>
        <w:spacing w:after="40"/>
        <w:ind w:left="720"/>
      </w:pPr>
      <w:r>
        <w:rPr>
          <w:rFonts w:ascii="Calibri" w:hAnsi="Calibri"/>
          <w:b/>
          <w:sz w:val="20"/>
        </w:rPr>
        <w:t xml:space="preserve">Compliance pre-emption. </w:t>
      </w:r>
      <w:r>
        <w:rPr>
          <w:rFonts w:ascii="Calibri" w:hAnsi="Calibri"/>
          <w:sz w:val="20"/>
        </w:rPr>
        <w:t>Before submission the system shall scan the application for compliance risks — eligibility gaps, missing required documents, financial inconsistencies, narrative-versus-data contradictions — and propose specific fixes.</w:t>
      </w:r>
    </w:p>
    <w:p>
      <w:pPr>
        <w:pStyle w:val="ListBullet"/>
        <w:spacing w:after="40"/>
        <w:ind w:left="720"/>
      </w:pPr>
      <w:r>
        <w:rPr>
          <w:rFonts w:ascii="Calibri" w:hAnsi="Calibri"/>
          <w:b/>
          <w:sz w:val="20"/>
        </w:rPr>
        <w:t xml:space="preserve">Match scoring. </w:t>
      </w:r>
      <w:r>
        <w:rPr>
          <w:rFonts w:ascii="Calibri" w:hAnsi="Calibri"/>
          <w:sz w:val="20"/>
        </w:rPr>
        <w:t>The system shall compute an alignment score between each NGO and each open grant on eligibility, sector, geography, capacity, and track record, surfacing top strengths and top blockers so the NGO knows where to focus.</w:t>
      </w:r>
    </w:p>
    <w:p>
      <w:pPr>
        <w:pStyle w:val="ListBullet"/>
        <w:spacing w:after="40"/>
        <w:ind w:left="720"/>
      </w:pPr>
      <w:r>
        <w:rPr>
          <w:rFonts w:ascii="Calibri" w:hAnsi="Calibri"/>
          <w:b/>
          <w:sz w:val="20"/>
        </w:rPr>
        <w:t xml:space="preserve">Pattern intelligence across applications. </w:t>
      </w:r>
      <w:r>
        <w:rPr>
          <w:rFonts w:ascii="Calibri" w:hAnsi="Calibri"/>
          <w:sz w:val="20"/>
        </w:rPr>
        <w:t>The system shall identify cross-application patterns the donor would otherwise miss, including criteria that fail to discriminate, common applicant misunderstandings, and systematic gaps.</w:t>
      </w:r>
    </w:p>
    <w:p>
      <w:pPr>
        <w:pStyle w:val="Heading2"/>
      </w:pPr>
      <w:r>
        <w:rPr>
          <w:rFonts w:ascii="Calibri" w:hAnsi="Calibri"/>
          <w:color w:val="1B3A5C"/>
          <w:sz w:val="26"/>
        </w:rPr>
        <w:t>6.4 Capacity Assessment and Passporting</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Aisha runs the Sahel Women's Network. Two years ago she completed the Kuja capacity framework. This month she applies to three grants: one accepting Kuja, one requiring UN-HACT, and one with a donor-defined custom framework. The system passports her existing assessment to all three: the Kuja grant accepts it as-is; the UN-HACT grant is prefilled from the mapped equivalents in her Kuja passport with provenance shown on each prefilled answer; the custom framework is prefilled where mappings exist and clearly marks the donor-specific questions she still needs to answer. Aisha finishes all three capacity sections in under an hour rather than re-doing twelve hours of work.</w:t>
            </w:r>
          </w:p>
        </w:tc>
      </w:tr>
    </w:tbl>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support five embedded capacity assessment frameworks: Kuja Capacity Framework, STEP (Standard Tool for the Evaluation of Performance), UN-HACT (Harmonised Approach to Cash Transfers), CHS (Core Humanitarian Standard), and NUPAS (Non-U.S. Organisation Pre-Award Survey).</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represent each framework as a configurable collection of question groups, individual questions, weighting, scoring rubric, and required supporting evidence.</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treat each NGO's completed assessments as a capacity passport — a versioned, persistent record attached to the organisation profile and reusable across applications.</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allow donors to specify which framework or frameworks they accept for a given grant, including the option to require a single specific framework.</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allow donors to define a custom capacity framework tailored to their portfolio, composed from a question bank with configurable weights, evidence requirements, and scoring rubric.</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passport an NGO's existing capacity assessment to any new application by mapping equivalent questions across frameworks via maintained translation tables, prefilling matching responses, and clearly marking provenance on each prefilled answer (source assessment, framework, completion date).</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allow NGOs to override or augment prefilled responses before submission, with the override clearly distinguished from the prefilled baseline.</w:t>
      </w:r>
    </w:p>
    <w:p>
      <w:pPr>
        <w:spacing w:after="60"/>
        <w:ind w:left="576" w:hanging="576"/>
      </w:pPr>
      <w:r>
        <w:rPr>
          <w:rFonts w:ascii="Calibri" w:hAnsi="Calibri"/>
          <w:b/>
          <w:sz w:val="20"/>
        </w:rPr>
        <w:t xml:space="preserve">8.  </w:t>
      </w:r>
      <w:r>
        <w:rPr>
          <w:rFonts w:ascii="Calibri" w:hAnsi="Calibri"/>
          <w:sz w:val="20"/>
        </w:rPr>
        <w:t xml:space="preserve">The system shall </w:t>
      </w:r>
      <w:r>
        <w:rPr>
          <w:rFonts w:ascii="Calibri" w:hAnsi="Calibri"/>
          <w:sz w:val="20"/>
        </w:rPr>
        <w:t>score completed assessments automatically against the framework rubric and surface gaps where evidence is missing or weak.</w:t>
      </w:r>
    </w:p>
    <w:p>
      <w:pPr>
        <w:spacing w:after="60"/>
        <w:ind w:left="576" w:hanging="576"/>
      </w:pPr>
      <w:r>
        <w:rPr>
          <w:rFonts w:ascii="Calibri" w:hAnsi="Calibri"/>
          <w:b/>
          <w:sz w:val="20"/>
        </w:rPr>
        <w:t xml:space="preserve">9.  </w:t>
      </w:r>
      <w:r>
        <w:rPr>
          <w:rFonts w:ascii="Calibri" w:hAnsi="Calibri"/>
          <w:sz w:val="20"/>
        </w:rPr>
        <w:t xml:space="preserve">The system shall </w:t>
      </w:r>
      <w:r>
        <w:rPr>
          <w:rFonts w:ascii="Calibri" w:hAnsi="Calibri"/>
          <w:sz w:val="20"/>
        </w:rPr>
        <w:t>allow NGOs to update their passport at any time; subsequent prefills shall reflect the latest answers without disturbing previously submitted applications.</w:t>
      </w:r>
    </w:p>
    <w:p>
      <w:pPr>
        <w:spacing w:after="60"/>
        <w:ind w:left="576" w:hanging="576"/>
      </w:pPr>
      <w:r>
        <w:rPr>
          <w:rFonts w:ascii="Calibri" w:hAnsi="Calibri"/>
          <w:b/>
          <w:sz w:val="20"/>
        </w:rPr>
        <w:t xml:space="preserve">10.  </w:t>
      </w:r>
      <w:r>
        <w:rPr>
          <w:rFonts w:ascii="Calibri" w:hAnsi="Calibri"/>
          <w:sz w:val="20"/>
        </w:rPr>
        <w:t xml:space="preserve">The system shall </w:t>
      </w:r>
      <w:r>
        <w:rPr>
          <w:rFonts w:ascii="Calibri" w:hAnsi="Calibri"/>
          <w:sz w:val="20"/>
        </w:rPr>
        <w:t>surface a passport completion percentage on the NGO dashboard, indicating how application-ready the organisation is across the major frameworks.</w:t>
      </w:r>
    </w:p>
    <w:p>
      <w:pPr>
        <w:pStyle w:val="Heading3"/>
      </w:pPr>
      <w:r>
        <w:rPr>
          <w:rFonts w:ascii="Calibri" w:hAnsi="Calibri"/>
          <w:color w:val="2C5F8A"/>
          <w:sz w:val="22"/>
        </w:rPr>
        <w:t>AI integration</w:t>
      </w:r>
    </w:p>
    <w:p>
      <w:pPr>
        <w:pStyle w:val="ListBullet"/>
        <w:spacing w:after="40"/>
        <w:ind w:left="720"/>
      </w:pPr>
      <w:r>
        <w:rPr>
          <w:rFonts w:ascii="Calibri" w:hAnsi="Calibri"/>
          <w:b/>
          <w:sz w:val="20"/>
        </w:rPr>
        <w:t xml:space="preserve">Cross-framework mapping. </w:t>
      </w:r>
      <w:r>
        <w:rPr>
          <w:rFonts w:ascii="Calibri" w:hAnsi="Calibri"/>
          <w:sz w:val="20"/>
        </w:rPr>
        <w:t>Where no curated translation exists between a passported answer and a target framework question, the system shall use AI to propose a mapping and shall flag the proposal for human confirmation. Confirmed mappings shall enrich the translation table over time.</w:t>
      </w:r>
    </w:p>
    <w:p>
      <w:pPr>
        <w:pStyle w:val="ListBullet"/>
        <w:spacing w:after="40"/>
        <w:ind w:left="720"/>
      </w:pPr>
      <w:r>
        <w:rPr>
          <w:rFonts w:ascii="Calibri" w:hAnsi="Calibri"/>
          <w:b/>
          <w:sz w:val="20"/>
        </w:rPr>
        <w:t xml:space="preserve">Drafted responses. </w:t>
      </w:r>
      <w:r>
        <w:rPr>
          <w:rFonts w:ascii="Calibri" w:hAnsi="Calibri"/>
          <w:sz w:val="20"/>
        </w:rPr>
        <w:t>The system shall use AI to draft initial responses to assessment questions by drawing on prior assessments, uploaded supporting documents, and organisational memory, presenting each draft with traceable source attribution.</w:t>
      </w:r>
    </w:p>
    <w:p>
      <w:pPr>
        <w:pStyle w:val="ListBullet"/>
        <w:spacing w:after="40"/>
        <w:ind w:left="720"/>
      </w:pPr>
      <w:r>
        <w:rPr>
          <w:rFonts w:ascii="Calibri" w:hAnsi="Calibri"/>
          <w:b/>
          <w:sz w:val="20"/>
        </w:rPr>
        <w:t xml:space="preserve">Gap prioritisation. </w:t>
      </w:r>
      <w:r>
        <w:rPr>
          <w:rFonts w:ascii="Calibri" w:hAnsi="Calibri"/>
          <w:sz w:val="20"/>
        </w:rPr>
        <w:t>The system shall use AI to predict which capacity gaps are most likely to disqualify the NGO from a specific grant, helping them prioritise where to invest improvement effort.</w:t>
      </w:r>
    </w:p>
    <w:p>
      <w:pPr>
        <w:pStyle w:val="ListBullet"/>
        <w:spacing w:after="40"/>
        <w:ind w:left="720"/>
      </w:pPr>
      <w:r>
        <w:rPr>
          <w:rFonts w:ascii="Calibri" w:hAnsi="Calibri"/>
          <w:b/>
          <w:sz w:val="20"/>
        </w:rPr>
        <w:t xml:space="preserve">Custom framework drafting. </w:t>
      </w:r>
      <w:r>
        <w:rPr>
          <w:rFonts w:ascii="Calibri" w:hAnsi="Calibri"/>
          <w:sz w:val="20"/>
        </w:rPr>
        <w:t>When a donor defines a custom framework, the system shall propose a complete question bank, weights, evidence requirements, and scoring rubric derived from the grant's focus area, which the donor then refines.</w:t>
      </w:r>
    </w:p>
    <w:p/>
    <w:p>
      <w:pPr>
        <w:jc w:val="center"/>
      </w:pPr>
      <w:r>
        <w:drawing>
          <wp:inline xmlns:a="http://schemas.openxmlformats.org/drawingml/2006/main" xmlns:pic="http://schemas.openxmlformats.org/drawingml/2006/picture">
            <wp:extent cx="5943600" cy="2810678"/>
            <wp:docPr id="5" name="Picture 5"/>
            <wp:cNvGraphicFramePr>
              <a:graphicFrameLocks noChangeAspect="1"/>
            </wp:cNvGraphicFramePr>
            <a:graphic>
              <a:graphicData uri="http://schemas.openxmlformats.org/drawingml/2006/picture">
                <pic:pic>
                  <pic:nvPicPr>
                    <pic:cNvPr id="0" name="04_capacity_passporting.png"/>
                    <pic:cNvPicPr/>
                  </pic:nvPicPr>
                  <pic:blipFill>
                    <a:blip r:embed="rId13"/>
                    <a:stretch>
                      <a:fillRect/>
                    </a:stretch>
                  </pic:blipFill>
                  <pic:spPr>
                    <a:xfrm>
                      <a:off x="0" y="0"/>
                      <a:ext cx="5943600" cy="2810678"/>
                    </a:xfrm>
                    <a:prstGeom prst="rect"/>
                  </pic:spPr>
                </pic:pic>
              </a:graphicData>
            </a:graphic>
          </wp:inline>
        </w:drawing>
      </w:r>
    </w:p>
    <w:p>
      <w:pPr>
        <w:jc w:val="center"/>
      </w:pPr>
      <w:r>
        <w:rPr>
          <w:rFonts w:ascii="Calibri" w:hAnsi="Calibri"/>
          <w:i/>
          <w:color w:val="64748B"/>
          <w:sz w:val="17"/>
        </w:rPr>
        <w:t>Figure 5 — Capacity assessment passporting. The NGO completes the work once; the system carries it forward across every donor's framework with traceable provenance.</w:t>
      </w:r>
    </w:p>
    <w:p>
      <w:pPr>
        <w:pStyle w:val="Heading2"/>
      </w:pPr>
      <w:r>
        <w:rPr>
          <w:rFonts w:ascii="Calibri" w:hAnsi="Calibri"/>
          <w:color w:val="1B3A5C"/>
          <w:sz w:val="26"/>
        </w:rPr>
        <w:t>6.5 Document Management and Real-Time Analysis</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Peter is applying to a maternal-health grant and uploads his organisation's audited financial statements. Before the upload even completes, the system tells him what it's looking for: two years of audited data with auditor signature and a breakdown of grants received. As soon as extraction finishes, the dashboard shows a score of 78 percent — the auditor signature is on page 4 and the prior-year comparable is included, but the donor asked for three years and Peter only has two. The system suggests either uploading the missing year or, if unavailable, attaching a clarification note explaining why. Peter chooses the clarification path, types two sentences, and his score rises to 92 percent — all without leaving the page.</w:t>
            </w:r>
          </w:p>
        </w:tc>
      </w:tr>
    </w:tbl>
    <w:p>
      <w:pPr>
        <w:pStyle w:val="Heading3"/>
      </w:pPr>
      <w:r>
        <w:rPr>
          <w:rFonts w:ascii="Calibri" w:hAnsi="Calibri"/>
          <w:color w:val="2C5F8A"/>
          <w:sz w:val="22"/>
        </w:rPr>
        <w:t>Supported file types</w:t>
      </w:r>
    </w:p>
    <w:p>
      <w:pPr>
        <w:spacing w:after="120"/>
      </w:pPr>
      <w:r>
        <w:rPr>
          <w:rFonts w:ascii="Calibri" w:hAnsi="Calibri"/>
          <w:sz w:val="20"/>
        </w:rPr>
        <w:t>The system shall accept the document formats real NGOs actually produce in the field — including the messy ones. Every supported format shall receive equivalent AI analysis; no format is second-class.</w:t>
      </w:r>
    </w:p>
    <w:tbl>
      <w:tblPr>
        <w:tblStyle w:val="TableGrid"/>
        <w:tblW w:type="auto" w:w="0"/>
        <w:jc w:val="center"/>
        <w:tblLook w:firstColumn="1" w:firstRow="1" w:lastColumn="0" w:lastRow="0" w:noHBand="0" w:noVBand="1" w:val="04A0"/>
      </w:tblPr>
      <w:tblGrid>
        <w:gridCol w:w="3173"/>
        <w:gridCol w:w="3173"/>
        <w:gridCol w:w="3173"/>
      </w:tblGrid>
      <w:tr>
        <w:tc>
          <w:tcPr>
            <w:tcW w:type="dxa" w:w="2016"/>
            <w:shd w:fill="1B3A5C"/>
          </w:tcPr>
          <w:p>
            <w:pPr>
              <w:jc w:val="left"/>
            </w:pPr>
            <w:r/>
            <w:r>
              <w:rPr>
                <w:rFonts w:ascii="Calibri" w:hAnsi="Calibri"/>
                <w:b/>
                <w:color w:val="FFFFFF"/>
                <w:sz w:val="18"/>
              </w:rPr>
              <w:t>Format</w:t>
            </w:r>
          </w:p>
        </w:tc>
        <w:tc>
          <w:tcPr>
            <w:tcW w:type="dxa" w:w="3600"/>
            <w:shd w:fill="1B3A5C"/>
          </w:tcPr>
          <w:p>
            <w:pPr>
              <w:jc w:val="left"/>
            </w:pPr>
            <w:r/>
            <w:r>
              <w:rPr>
                <w:rFonts w:ascii="Calibri" w:hAnsi="Calibri"/>
                <w:b/>
                <w:color w:val="FFFFFF"/>
                <w:sz w:val="18"/>
              </w:rPr>
              <w:t>Use</w:t>
            </w:r>
          </w:p>
        </w:tc>
        <w:tc>
          <w:tcPr>
            <w:tcW w:type="dxa" w:w="3600"/>
            <w:shd w:fill="1B3A5C"/>
          </w:tcPr>
          <w:p>
            <w:pPr>
              <w:jc w:val="left"/>
            </w:pPr>
            <w:r/>
            <w:r>
              <w:rPr>
                <w:rFonts w:ascii="Calibri" w:hAnsi="Calibri"/>
                <w:b/>
                <w:color w:val="FFFFFF"/>
                <w:sz w:val="18"/>
              </w:rPr>
              <w:t>Extraction</w:t>
            </w:r>
          </w:p>
        </w:tc>
      </w:tr>
      <w:tr>
        <w:tc>
          <w:tcPr>
            <w:tcW w:type="dxa" w:w="2016"/>
            <w:shd w:fill="F2F6FA"/>
          </w:tcPr>
          <w:p>
            <w:r/>
            <w:r>
              <w:rPr>
                <w:rFonts w:ascii="Calibri" w:hAnsi="Calibri"/>
                <w:sz w:val="18"/>
              </w:rPr>
              <w:t>PDF (text)</w:t>
            </w:r>
          </w:p>
        </w:tc>
        <w:tc>
          <w:tcPr>
            <w:tcW w:type="dxa" w:w="3600"/>
            <w:shd w:fill="F2F6FA"/>
          </w:tcPr>
          <w:p>
            <w:r/>
            <w:r>
              <w:rPr>
                <w:rFonts w:ascii="Calibri" w:hAnsi="Calibri"/>
                <w:sz w:val="18"/>
              </w:rPr>
              <w:t>Audited financials, formal reports, signed agreements</w:t>
            </w:r>
          </w:p>
        </w:tc>
        <w:tc>
          <w:tcPr>
            <w:tcW w:type="dxa" w:w="3600"/>
            <w:shd w:fill="F2F6FA"/>
          </w:tcPr>
          <w:p>
            <w:r/>
            <w:r>
              <w:rPr>
                <w:rFonts w:ascii="Calibri" w:hAnsi="Calibri"/>
                <w:sz w:val="18"/>
              </w:rPr>
              <w:t>Direct text extraction with structure preservation</w:t>
            </w:r>
          </w:p>
        </w:tc>
      </w:tr>
      <w:tr>
        <w:tc>
          <w:tcPr>
            <w:tcW w:type="dxa" w:w="2016"/>
            <w:shd w:fill="FFFFFF"/>
          </w:tcPr>
          <w:p>
            <w:r/>
            <w:r>
              <w:rPr>
                <w:rFonts w:ascii="Calibri" w:hAnsi="Calibri"/>
                <w:sz w:val="18"/>
              </w:rPr>
              <w:t>PDF (scanned / image)</w:t>
            </w:r>
          </w:p>
        </w:tc>
        <w:tc>
          <w:tcPr>
            <w:tcW w:type="dxa" w:w="3600"/>
            <w:shd w:fill="FFFFFF"/>
          </w:tcPr>
          <w:p>
            <w:r/>
            <w:r>
              <w:rPr>
                <w:rFonts w:ascii="Calibri" w:hAnsi="Calibri"/>
                <w:sz w:val="18"/>
              </w:rPr>
              <w:t>Photographed registration certificates, hand-scanned audits, MoUs photographed in the field</w:t>
            </w:r>
          </w:p>
        </w:tc>
        <w:tc>
          <w:tcPr>
            <w:tcW w:type="dxa" w:w="3600"/>
            <w:shd w:fill="FFFFFF"/>
          </w:tcPr>
          <w:p>
            <w:r/>
            <w:r>
              <w:rPr>
                <w:rFonts w:ascii="Calibri" w:hAnsi="Calibri"/>
                <w:sz w:val="18"/>
              </w:rPr>
              <w:t>Vision-based extraction fallback — no silent failure</w:t>
            </w:r>
          </w:p>
        </w:tc>
      </w:tr>
      <w:tr>
        <w:tc>
          <w:tcPr>
            <w:tcW w:type="dxa" w:w="2016"/>
            <w:shd w:fill="F2F6FA"/>
          </w:tcPr>
          <w:p>
            <w:r/>
            <w:r>
              <w:rPr>
                <w:rFonts w:ascii="Calibri" w:hAnsi="Calibri"/>
                <w:sz w:val="18"/>
              </w:rPr>
              <w:t>DOCX</w:t>
            </w:r>
          </w:p>
        </w:tc>
        <w:tc>
          <w:tcPr>
            <w:tcW w:type="dxa" w:w="3600"/>
            <w:shd w:fill="F2F6FA"/>
          </w:tcPr>
          <w:p>
            <w:r/>
            <w:r>
              <w:rPr>
                <w:rFonts w:ascii="Calibri" w:hAnsi="Calibri"/>
                <w:sz w:val="18"/>
              </w:rPr>
              <w:t>Narrative reports, M&amp;E plans, organisation profiles</w:t>
            </w:r>
          </w:p>
        </w:tc>
        <w:tc>
          <w:tcPr>
            <w:tcW w:type="dxa" w:w="3600"/>
            <w:shd w:fill="F2F6FA"/>
          </w:tcPr>
          <w:p>
            <w:r/>
            <w:r>
              <w:rPr>
                <w:rFonts w:ascii="Calibri" w:hAnsi="Calibri"/>
                <w:sz w:val="18"/>
              </w:rPr>
              <w:t>Native Word parser with table and list preservation</w:t>
            </w:r>
          </w:p>
        </w:tc>
      </w:tr>
      <w:tr>
        <w:tc>
          <w:tcPr>
            <w:tcW w:type="dxa" w:w="2016"/>
            <w:shd w:fill="FFFFFF"/>
          </w:tcPr>
          <w:p>
            <w:r/>
            <w:r>
              <w:rPr>
                <w:rFonts w:ascii="Calibri" w:hAnsi="Calibri"/>
                <w:sz w:val="18"/>
              </w:rPr>
              <w:t>XLSX</w:t>
            </w:r>
          </w:p>
        </w:tc>
        <w:tc>
          <w:tcPr>
            <w:tcW w:type="dxa" w:w="3600"/>
            <w:shd w:fill="FFFFFF"/>
          </w:tcPr>
          <w:p>
            <w:r/>
            <w:r>
              <w:rPr>
                <w:rFonts w:ascii="Calibri" w:hAnsi="Calibri"/>
                <w:sz w:val="18"/>
              </w:rPr>
              <w:t>Budget actuals, indicator data, beneficiary lists</w:t>
            </w:r>
          </w:p>
        </w:tc>
        <w:tc>
          <w:tcPr>
            <w:tcW w:type="dxa" w:w="3600"/>
            <w:shd w:fill="FFFFFF"/>
          </w:tcPr>
          <w:p>
            <w:r/>
            <w:r>
              <w:rPr>
                <w:rFonts w:ascii="Calibri" w:hAnsi="Calibri"/>
                <w:sz w:val="18"/>
              </w:rPr>
              <w:t>Sheet-by-sheet parsing; numeric values preserved</w:t>
            </w:r>
          </w:p>
        </w:tc>
      </w:tr>
      <w:tr>
        <w:tc>
          <w:tcPr>
            <w:tcW w:type="dxa" w:w="2016"/>
            <w:shd w:fill="F2F6FA"/>
          </w:tcPr>
          <w:p>
            <w:r/>
            <w:r>
              <w:rPr>
                <w:rFonts w:ascii="Calibri" w:hAnsi="Calibri"/>
                <w:sz w:val="18"/>
              </w:rPr>
              <w:t>Plain text (TXT)</w:t>
            </w:r>
          </w:p>
        </w:tc>
        <w:tc>
          <w:tcPr>
            <w:tcW w:type="dxa" w:w="3600"/>
            <w:shd w:fill="F2F6FA"/>
          </w:tcPr>
          <w:p>
            <w:r/>
            <w:r>
              <w:rPr>
                <w:rFonts w:ascii="Calibri" w:hAnsi="Calibri"/>
                <w:sz w:val="18"/>
              </w:rPr>
              <w:t>Quick notes, exported logs, simple narratives</w:t>
            </w:r>
          </w:p>
        </w:tc>
        <w:tc>
          <w:tcPr>
            <w:tcW w:type="dxa" w:w="3600"/>
            <w:shd w:fill="F2F6FA"/>
          </w:tcPr>
          <w:p>
            <w:r/>
            <w:r>
              <w:rPr>
                <w:rFonts w:ascii="Calibri" w:hAnsi="Calibri"/>
                <w:sz w:val="18"/>
              </w:rPr>
              <w:t>Direct read with encoding detection</w:t>
            </w:r>
          </w:p>
        </w:tc>
      </w:tr>
      <w:tr>
        <w:tc>
          <w:tcPr>
            <w:tcW w:type="dxa" w:w="2016"/>
            <w:shd w:fill="FFFFFF"/>
          </w:tcPr>
          <w:p>
            <w:r/>
            <w:r>
              <w:rPr>
                <w:rFonts w:ascii="Calibri" w:hAnsi="Calibri"/>
                <w:sz w:val="18"/>
              </w:rPr>
              <w:t>Images (JPG, PNG)</w:t>
            </w:r>
          </w:p>
        </w:tc>
        <w:tc>
          <w:tcPr>
            <w:tcW w:type="dxa" w:w="3600"/>
            <w:shd w:fill="FFFFFF"/>
          </w:tcPr>
          <w:p>
            <w:r/>
            <w:r>
              <w:rPr>
                <w:rFonts w:ascii="Calibri" w:hAnsi="Calibri"/>
                <w:sz w:val="18"/>
              </w:rPr>
              <w:t>Photographs of beneficiaries, before/after evidence, signed forms</w:t>
            </w:r>
          </w:p>
        </w:tc>
        <w:tc>
          <w:tcPr>
            <w:tcW w:type="dxa" w:w="3600"/>
            <w:shd w:fill="FFFFFF"/>
          </w:tcPr>
          <w:p>
            <w:r/>
            <w:r>
              <w:rPr>
                <w:rFonts w:ascii="Calibri" w:hAnsi="Calibri"/>
                <w:sz w:val="18"/>
              </w:rPr>
              <w:t>Vision-based content description and OCR where text is present</w:t>
            </w:r>
          </w:p>
        </w:tc>
      </w:tr>
    </w:tbl>
    <w:p>
      <w:pPr>
        <w:pStyle w:val="Heading3"/>
      </w:pPr>
      <w:r>
        <w:rPr>
          <w:rFonts w:ascii="Calibri" w:hAnsi="Calibri"/>
          <w:color w:val="2C5F8A"/>
          <w:sz w:val="22"/>
        </w:rPr>
        <w:t>Functional requirements</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accept document uploads in PDF (text and scanned), DOCX, XLSX, plain text, JPG, and PNG formats, up to a configured per-file size limit, with clear error responses on oversized or unsupported files.</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treat scanned PDFs and image-only documents as first-class inputs by falling back to vision-based extraction rather than rejecting low-quality field-collected evidence.</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extract text and structure from each uploaded document using a format-appropriate parser, preserving tables, lists, signatures, and numeric values where present.</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auto-detect the document type (audited financials, MoU, M&amp;E plan, organisation profile, registration certificate, budget actuals, beneficiary list) from the document's content rather than relying solely on the user's classification.</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analyse each document against the donor's specific requirements for that document type, producing a real-time score, classified findings, and specific actionable recommendations.</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version uploaded documents per application or report so that re-uploading the same document type produces a new version with prior versions retained for audit.</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perform analysis asynchronously where extraction is non-trivial, returning the document immediately and surfacing the analysis result to the user as soon as it completes.</w:t>
      </w:r>
    </w:p>
    <w:p>
      <w:pPr>
        <w:spacing w:after="60"/>
        <w:ind w:left="576" w:hanging="576"/>
      </w:pPr>
      <w:r>
        <w:rPr>
          <w:rFonts w:ascii="Calibri" w:hAnsi="Calibri"/>
          <w:b/>
          <w:sz w:val="20"/>
        </w:rPr>
        <w:t xml:space="preserve">8.  </w:t>
      </w:r>
      <w:r>
        <w:rPr>
          <w:rFonts w:ascii="Calibri" w:hAnsi="Calibri"/>
          <w:sz w:val="20"/>
        </w:rPr>
        <w:t xml:space="preserve">The system shall </w:t>
      </w:r>
      <w:r>
        <w:rPr>
          <w:rFonts w:ascii="Calibri" w:hAnsi="Calibri"/>
          <w:sz w:val="20"/>
        </w:rPr>
        <w:t>track the extraction lifecycle of each document (pending, running, completed, failed) with timing and error code so administrators can diagnose stuck extractions.</w:t>
      </w:r>
    </w:p>
    <w:p>
      <w:pPr>
        <w:spacing w:after="60"/>
        <w:ind w:left="576" w:hanging="576"/>
      </w:pPr>
      <w:r>
        <w:rPr>
          <w:rFonts w:ascii="Calibri" w:hAnsi="Calibri"/>
          <w:b/>
          <w:sz w:val="20"/>
        </w:rPr>
        <w:t xml:space="preserve">9.  </w:t>
      </w:r>
      <w:r>
        <w:rPr>
          <w:rFonts w:ascii="Calibri" w:hAnsi="Calibri"/>
          <w:sz w:val="20"/>
        </w:rPr>
        <w:t xml:space="preserve">The system shall </w:t>
      </w:r>
      <w:r>
        <w:rPr>
          <w:rFonts w:ascii="Calibri" w:hAnsi="Calibri"/>
          <w:sz w:val="20"/>
        </w:rPr>
        <w:t>allow NGO uploaders to attach clarification notes to AI document findings so that contested or context-specific findings can be explained to reviewers without removing the AI signal.</w:t>
      </w:r>
    </w:p>
    <w:p>
      <w:pPr>
        <w:pStyle w:val="Heading3"/>
      </w:pPr>
      <w:r>
        <w:rPr>
          <w:rFonts w:ascii="Calibri" w:hAnsi="Calibri"/>
          <w:color w:val="2C5F8A"/>
          <w:sz w:val="22"/>
        </w:rPr>
        <w:t>AI integration — real-time support during upload</w:t>
      </w:r>
    </w:p>
    <w:p>
      <w:pPr>
        <w:pStyle w:val="ListBullet"/>
        <w:spacing w:after="40"/>
        <w:ind w:left="720"/>
      </w:pPr>
      <w:r>
        <w:rPr>
          <w:rFonts w:ascii="Calibri" w:hAnsi="Calibri"/>
          <w:b/>
          <w:sz w:val="20"/>
        </w:rPr>
        <w:t xml:space="preserve">Pre-upload guidance. </w:t>
      </w:r>
      <w:r>
        <w:rPr>
          <w:rFonts w:ascii="Calibri" w:hAnsi="Calibri"/>
          <w:sz w:val="20"/>
        </w:rPr>
        <w:t>Before the user uploads a document, the system shall display what the donor is asking for: the periods, signatures, sections, and structure that document type needs to satisfy the requirement. The NGO sees the success criteria before they spend time uploading.</w:t>
      </w:r>
    </w:p>
    <w:p>
      <w:pPr>
        <w:pStyle w:val="ListBullet"/>
        <w:spacing w:after="40"/>
        <w:ind w:left="720"/>
      </w:pPr>
      <w:r>
        <w:rPr>
          <w:rFonts w:ascii="Calibri" w:hAnsi="Calibri"/>
          <w:b/>
          <w:sz w:val="20"/>
        </w:rPr>
        <w:t xml:space="preserve">Inline scoring as soon as extraction completes. </w:t>
      </w:r>
      <w:r>
        <w:rPr>
          <w:rFonts w:ascii="Calibri" w:hAnsi="Calibri"/>
          <w:sz w:val="20"/>
        </w:rPr>
        <w:t>As soon as the document is parsed, the system shall display a score against the donor's specific requirements with classified findings (positive, neutral, concern) and a specific recommendation for each concern. The score shall update in place as the NGO uploads supplementary documents or adds clarification notes.</w:t>
      </w:r>
    </w:p>
    <w:p>
      <w:pPr>
        <w:pStyle w:val="ListBullet"/>
        <w:spacing w:after="40"/>
        <w:ind w:left="720"/>
      </w:pPr>
      <w:r>
        <w:rPr>
          <w:rFonts w:ascii="Calibri" w:hAnsi="Calibri"/>
          <w:b/>
          <w:sz w:val="20"/>
        </w:rPr>
        <w:t xml:space="preserve">Donor-aware analysis. </w:t>
      </w:r>
      <w:r>
        <w:rPr>
          <w:rFonts w:ascii="Calibri" w:hAnsi="Calibri"/>
          <w:sz w:val="20"/>
        </w:rPr>
        <w:t>The system shall analyse each document against the donor's stated requirements for that document type, not a generic completeness rubric. A financial statement is evaluated for the periods, signatures, and breakdowns this donor asked for; an MoU for the parties, dates, and scope this donor named.</w:t>
      </w:r>
    </w:p>
    <w:p>
      <w:pPr>
        <w:pStyle w:val="ListBullet"/>
        <w:spacing w:after="40"/>
        <w:ind w:left="720"/>
      </w:pPr>
      <w:r>
        <w:rPr>
          <w:rFonts w:ascii="Calibri" w:hAnsi="Calibri"/>
          <w:b/>
          <w:sz w:val="20"/>
        </w:rPr>
        <w:t xml:space="preserve">One-click clarifications. </w:t>
      </w:r>
      <w:r>
        <w:rPr>
          <w:rFonts w:ascii="Calibri" w:hAnsi="Calibri"/>
          <w:sz w:val="20"/>
        </w:rPr>
        <w:t>Where a finding is contested or context-specific ("only one year of audit available because the organisation was founded in 2024"), the NGO shall be able to attach a clarification note in-place. The system shall incorporate the clarification into the displayed score without removing the underlying signal, so reviewers see both the finding and the explanation.</w:t>
      </w:r>
    </w:p>
    <w:p>
      <w:pPr>
        <w:pStyle w:val="ListBullet"/>
        <w:spacing w:after="40"/>
        <w:ind w:left="720"/>
      </w:pPr>
      <w:r>
        <w:rPr>
          <w:rFonts w:ascii="Calibri" w:hAnsi="Calibri"/>
          <w:b/>
          <w:sz w:val="20"/>
        </w:rPr>
        <w:t xml:space="preserve">Reporting requirements extraction. </w:t>
      </w:r>
      <w:r>
        <w:rPr>
          <w:rFonts w:ascii="Calibri" w:hAnsi="Calibri"/>
          <w:sz w:val="20"/>
        </w:rPr>
        <w:t>Where a donor uploads a draft grant agreement, the system shall extract the reporting cadence, indicators, narrative sections, and budget reporting format from the document and use them to populate the grant's reporting configuration in the wizard.</w:t>
      </w:r>
    </w:p>
    <w:p>
      <w:pPr>
        <w:pStyle w:val="Heading2"/>
      </w:pPr>
      <w:r>
        <w:rPr>
          <w:rFonts w:ascii="Calibri" w:hAnsi="Calibri"/>
          <w:color w:val="1B3A5C"/>
          <w:sz w:val="26"/>
        </w:rPr>
        <w:t>6.6 Embedded AI Intelligence Across the Workflow</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Across every workspace, the system embeds an action-oriented AI working partner. For an NGO programme officer it drafts narrative responses grounded in their evidence. For a donor it predicts how the median applicant will respond and warns where criteria are vague. For a reviewer it produces a one-screen summary with evidence cited per criterion and a draft rationale. For an administrator it explains compliance findings in plain language. In every case the assistance is grounded in the actual data the user is looking at, every claim is sourced, and every output is an editable starting point rather than a fait accompli.</w:t>
            </w:r>
          </w:p>
        </w:tc>
      </w:tr>
    </w:tbl>
    <w:p>
      <w:pPr>
        <w:pStyle w:val="Heading3"/>
      </w:pPr>
      <w:r>
        <w:rPr>
          <w:rFonts w:ascii="Calibri" w:hAnsi="Calibri"/>
          <w:color w:val="2C5F8A"/>
          <w:sz w:val="22"/>
        </w:rPr>
        <w:t>6.6.1 Design principles for AI use</w:t>
      </w:r>
    </w:p>
    <w:p>
      <w:pPr>
        <w:spacing w:after="120"/>
      </w:pPr>
      <w:r>
        <w:rPr>
          <w:rFonts w:ascii="Calibri" w:hAnsi="Calibri"/>
          <w:sz w:val="20"/>
        </w:rPr>
        <w:t>The system applies embedded AI intelligence under a small number of explicit design principles, which together distinguish a working AI partner from a surface-level chatbot. The system shall enforce these principles for every AI feature it ships.</w:t>
      </w:r>
    </w:p>
    <w:p>
      <w:pPr>
        <w:pStyle w:val="ListBullet"/>
        <w:spacing w:after="40"/>
        <w:ind w:left="720"/>
      </w:pPr>
      <w:r>
        <w:rPr>
          <w:rFonts w:ascii="Calibri" w:hAnsi="Calibri"/>
          <w:b/>
          <w:sz w:val="20"/>
        </w:rPr>
        <w:t xml:space="preserve">Grounded, not generic. </w:t>
      </w:r>
      <w:r>
        <w:rPr>
          <w:rFonts w:ascii="Calibri" w:hAnsi="Calibri"/>
          <w:sz w:val="20"/>
        </w:rPr>
        <w:t>AI output shall draw on the user's actual data — their organisation profile, capacity passport, prior submissions, uploaded documents, the grant they are looking at — rather than producing generic prose. Where the system cannot find evidence, it shall say so rather than invent.</w:t>
      </w:r>
    </w:p>
    <w:p>
      <w:pPr>
        <w:pStyle w:val="ListBullet"/>
        <w:spacing w:after="40"/>
        <w:ind w:left="720"/>
      </w:pPr>
      <w:r>
        <w:rPr>
          <w:rFonts w:ascii="Calibri" w:hAnsi="Calibri"/>
          <w:b/>
          <w:sz w:val="20"/>
        </w:rPr>
        <w:t xml:space="preserve">Action-oriented. </w:t>
      </w:r>
      <w:r>
        <w:rPr>
          <w:rFonts w:ascii="Calibri" w:hAnsi="Calibri"/>
          <w:sz w:val="20"/>
        </w:rPr>
        <w:t>AI output shall be an editable starting point or a structured decision aid (gap list, evidence list, rewrite, score with rationale) rather than a paragraph the user must re-read and interpret.</w:t>
      </w:r>
    </w:p>
    <w:p>
      <w:pPr>
        <w:pStyle w:val="ListBullet"/>
        <w:spacing w:after="40"/>
        <w:ind w:left="720"/>
      </w:pPr>
      <w:r>
        <w:rPr>
          <w:rFonts w:ascii="Calibri" w:hAnsi="Calibri"/>
          <w:b/>
          <w:sz w:val="20"/>
        </w:rPr>
        <w:t xml:space="preserve">Traceable. </w:t>
      </w:r>
      <w:r>
        <w:rPr>
          <w:rFonts w:ascii="Calibri" w:hAnsi="Calibri"/>
          <w:sz w:val="20"/>
        </w:rPr>
        <w:t>Every AI claim shall be linked to its source. Reviewers and applicants alike shall be able to see which document, which memory item, which prior application a claim drew on.</w:t>
      </w:r>
    </w:p>
    <w:p>
      <w:pPr>
        <w:pStyle w:val="ListBullet"/>
        <w:spacing w:after="40"/>
        <w:ind w:left="720"/>
      </w:pPr>
      <w:r>
        <w:rPr>
          <w:rFonts w:ascii="Calibri" w:hAnsi="Calibri"/>
          <w:b/>
          <w:sz w:val="20"/>
        </w:rPr>
        <w:t xml:space="preserve">Honest about uncertainty. </w:t>
      </w:r>
      <w:r>
        <w:rPr>
          <w:rFonts w:ascii="Calibri" w:hAnsi="Calibri"/>
          <w:sz w:val="20"/>
        </w:rPr>
        <w:t>AI output shall surface its own confidence — high, medium, low — and shall fall back to deterministic templates or rule-based logic when the AI service is unavailable or returns malformed output. Users shall always see a usable interface.</w:t>
      </w:r>
    </w:p>
    <w:p>
      <w:pPr>
        <w:pStyle w:val="ListBullet"/>
        <w:spacing w:after="40"/>
        <w:ind w:left="720"/>
      </w:pPr>
      <w:r>
        <w:rPr>
          <w:rFonts w:ascii="Calibri" w:hAnsi="Calibri"/>
          <w:b/>
          <w:sz w:val="20"/>
        </w:rPr>
        <w:t xml:space="preserve">Multilingual and role-aware. </w:t>
      </w:r>
      <w:r>
        <w:rPr>
          <w:rFonts w:ascii="Calibri" w:hAnsi="Calibri"/>
          <w:sz w:val="20"/>
        </w:rPr>
        <w:t>AI output shall be produced in the user's preferred language with tone appropriate to their role: warm, coaching, supportive for NGO-facing surfaces; precise, decision-oriented for donor-facing and reviewer-facing surfaces.</w:t>
      </w:r>
    </w:p>
    <w:p>
      <w:pPr>
        <w:pStyle w:val="ListBullet"/>
        <w:spacing w:after="40"/>
        <w:ind w:left="720"/>
      </w:pPr>
      <w:r>
        <w:rPr>
          <w:rFonts w:ascii="Calibri" w:hAnsi="Calibri"/>
          <w:b/>
          <w:sz w:val="20"/>
        </w:rPr>
        <w:t xml:space="preserve">Auditable. </w:t>
      </w:r>
      <w:r>
        <w:rPr>
          <w:rFonts w:ascii="Calibri" w:hAnsi="Calibri"/>
          <w:sz w:val="20"/>
        </w:rPr>
        <w:t>Every AI call shall produce a telemetry record (endpoint, model, input tokens, output tokens, latency, success or failure, user, language, role) retrievable by administrators.</w:t>
      </w:r>
    </w:p>
    <w:p>
      <w:pPr>
        <w:pStyle w:val="ListBullet"/>
        <w:spacing w:after="40"/>
        <w:ind w:left="720"/>
      </w:pPr>
      <w:r>
        <w:rPr>
          <w:rFonts w:ascii="Calibri" w:hAnsi="Calibri"/>
          <w:b/>
          <w:sz w:val="20"/>
        </w:rPr>
        <w:t xml:space="preserve">Cost-aware. </w:t>
      </w:r>
      <w:r>
        <w:rPr>
          <w:rFonts w:ascii="Calibri" w:hAnsi="Calibri"/>
          <w:sz w:val="20"/>
        </w:rPr>
        <w:t>Heavy AI work shall execute asynchronously so that the user's request returns immediately and the model is given the time it needs without blocking the user interface. Costs shall be forecastable on a thirty-day horizon.</w:t>
      </w:r>
    </w:p>
    <w:p>
      <w:pPr>
        <w:pStyle w:val="Heading3"/>
      </w:pPr>
      <w:r>
        <w:rPr>
          <w:rFonts w:ascii="Calibri" w:hAnsi="Calibri"/>
          <w:color w:val="2C5F8A"/>
          <w:sz w:val="22"/>
        </w:rPr>
        <w:t>6.6.2 AI surfaces the system shall provide</w:t>
      </w:r>
    </w:p>
    <w:tbl>
      <w:tblPr>
        <w:tblStyle w:val="TableGrid"/>
        <w:tblW w:type="auto" w:w="0"/>
        <w:jc w:val="center"/>
        <w:tblLook w:firstColumn="1" w:firstRow="1" w:lastColumn="0" w:lastRow="0" w:noHBand="0" w:noVBand="1" w:val="04A0"/>
      </w:tblPr>
      <w:tblGrid>
        <w:gridCol w:w="3173"/>
        <w:gridCol w:w="3173"/>
        <w:gridCol w:w="3173"/>
      </w:tblGrid>
      <w:tr>
        <w:tc>
          <w:tcPr>
            <w:tcW w:type="dxa" w:w="2304"/>
            <w:shd w:fill="1B3A5C"/>
          </w:tcPr>
          <w:p>
            <w:pPr>
              <w:jc w:val="left"/>
            </w:pPr>
            <w:r/>
            <w:r>
              <w:rPr>
                <w:rFonts w:ascii="Calibri" w:hAnsi="Calibri"/>
                <w:b/>
                <w:color w:val="FFFFFF"/>
                <w:sz w:val="18"/>
              </w:rPr>
              <w:t>Surface</w:t>
            </w:r>
          </w:p>
        </w:tc>
        <w:tc>
          <w:tcPr>
            <w:tcW w:type="dxa" w:w="1584"/>
            <w:shd w:fill="1B3A5C"/>
          </w:tcPr>
          <w:p>
            <w:pPr>
              <w:jc w:val="left"/>
            </w:pPr>
            <w:r/>
            <w:r>
              <w:rPr>
                <w:rFonts w:ascii="Calibri" w:hAnsi="Calibri"/>
                <w:b/>
                <w:color w:val="FFFFFF"/>
                <w:sz w:val="18"/>
              </w:rPr>
              <w:t>Workspace</w:t>
            </w:r>
          </w:p>
        </w:tc>
        <w:tc>
          <w:tcPr>
            <w:tcW w:type="dxa" w:w="5328"/>
            <w:shd w:fill="1B3A5C"/>
          </w:tcPr>
          <w:p>
            <w:pPr>
              <w:jc w:val="left"/>
            </w:pPr>
            <w:r/>
            <w:r>
              <w:rPr>
                <w:rFonts w:ascii="Calibri" w:hAnsi="Calibri"/>
                <w:b/>
                <w:color w:val="FFFFFF"/>
                <w:sz w:val="18"/>
              </w:rPr>
              <w:t>What the system does</w:t>
            </w:r>
          </w:p>
        </w:tc>
      </w:tr>
      <w:tr>
        <w:tc>
          <w:tcPr>
            <w:tcW w:type="dxa" w:w="2304"/>
            <w:shd w:fill="F2F6FA"/>
          </w:tcPr>
          <w:p>
            <w:r/>
            <w:r>
              <w:rPr>
                <w:rFonts w:ascii="Calibri" w:hAnsi="Calibri"/>
                <w:sz w:val="18"/>
              </w:rPr>
              <w:t>Match scoring</w:t>
            </w:r>
          </w:p>
        </w:tc>
        <w:tc>
          <w:tcPr>
            <w:tcW w:type="dxa" w:w="1584"/>
            <w:shd w:fill="F2F6FA"/>
          </w:tcPr>
          <w:p>
            <w:r/>
            <w:r>
              <w:rPr>
                <w:rFonts w:ascii="Calibri" w:hAnsi="Calibri"/>
                <w:sz w:val="18"/>
              </w:rPr>
              <w:t>NGO and donor</w:t>
            </w:r>
          </w:p>
        </w:tc>
        <w:tc>
          <w:tcPr>
            <w:tcW w:type="dxa" w:w="5328"/>
            <w:shd w:fill="F2F6FA"/>
          </w:tcPr>
          <w:p>
            <w:r/>
            <w:r>
              <w:rPr>
                <w:rFonts w:ascii="Calibri" w:hAnsi="Calibri"/>
                <w:sz w:val="18"/>
              </w:rPr>
              <w:t>Score every NGO-grant pair on eligibility, sector, geography, capacity, and track record; surface top strength and top blocker.</w:t>
            </w:r>
          </w:p>
        </w:tc>
      </w:tr>
      <w:tr>
        <w:tc>
          <w:tcPr>
            <w:tcW w:type="dxa" w:w="2304"/>
            <w:shd w:fill="FFFFFF"/>
          </w:tcPr>
          <w:p>
            <w:r/>
            <w:r>
              <w:rPr>
                <w:rFonts w:ascii="Calibri" w:hAnsi="Calibri"/>
                <w:sz w:val="18"/>
              </w:rPr>
              <w:t>Application co-authoring</w:t>
            </w:r>
          </w:p>
        </w:tc>
        <w:tc>
          <w:tcPr>
            <w:tcW w:type="dxa" w:w="1584"/>
            <w:shd w:fill="FFFFFF"/>
          </w:tcPr>
          <w:p>
            <w:r/>
            <w:r>
              <w:rPr>
                <w:rFonts w:ascii="Calibri" w:hAnsi="Calibri"/>
                <w:sz w:val="18"/>
              </w:rPr>
              <w:t>NGO</w:t>
            </w:r>
          </w:p>
        </w:tc>
        <w:tc>
          <w:tcPr>
            <w:tcW w:type="dxa" w:w="5328"/>
            <w:shd w:fill="FFFFFF"/>
          </w:tcPr>
          <w:p>
            <w:r/>
            <w:r>
              <w:rPr>
                <w:rFonts w:ascii="Calibri" w:hAnsi="Calibri"/>
                <w:sz w:val="18"/>
              </w:rPr>
              <w:t>Draft a complete first-pass application by drawing on the NGO's passport, prior submissions, and uploaded documents; track provenance on every claim.</w:t>
            </w:r>
          </w:p>
        </w:tc>
      </w:tr>
      <w:tr>
        <w:tc>
          <w:tcPr>
            <w:tcW w:type="dxa" w:w="2304"/>
            <w:shd w:fill="F2F6FA"/>
          </w:tcPr>
          <w:p>
            <w:r/>
            <w:r>
              <w:rPr>
                <w:rFonts w:ascii="Calibri" w:hAnsi="Calibri"/>
                <w:sz w:val="18"/>
              </w:rPr>
              <w:t>Submission readiness</w:t>
            </w:r>
          </w:p>
        </w:tc>
        <w:tc>
          <w:tcPr>
            <w:tcW w:type="dxa" w:w="1584"/>
            <w:shd w:fill="F2F6FA"/>
          </w:tcPr>
          <w:p>
            <w:r/>
            <w:r>
              <w:rPr>
                <w:rFonts w:ascii="Calibri" w:hAnsi="Calibri"/>
                <w:sz w:val="18"/>
              </w:rPr>
              <w:t>NGO</w:t>
            </w:r>
          </w:p>
        </w:tc>
        <w:tc>
          <w:tcPr>
            <w:tcW w:type="dxa" w:w="5328"/>
            <w:shd w:fill="F2F6FA"/>
          </w:tcPr>
          <w:p>
            <w:r/>
            <w:r>
              <w:rPr>
                <w:rFonts w:ascii="Calibri" w:hAnsi="Calibri"/>
                <w:sz w:val="18"/>
              </w:rPr>
              <w:t>Run a pre-submission gap analysis identifying missing evidence, overclaims, generic answers, and weak passages with one-click rewrites.</w:t>
            </w:r>
          </w:p>
        </w:tc>
      </w:tr>
      <w:tr>
        <w:tc>
          <w:tcPr>
            <w:tcW w:type="dxa" w:w="2304"/>
            <w:shd w:fill="FFFFFF"/>
          </w:tcPr>
          <w:p>
            <w:r/>
            <w:r>
              <w:rPr>
                <w:rFonts w:ascii="Calibri" w:hAnsi="Calibri"/>
                <w:sz w:val="18"/>
              </w:rPr>
              <w:t>Compliance pre-empt</w:t>
            </w:r>
          </w:p>
        </w:tc>
        <w:tc>
          <w:tcPr>
            <w:tcW w:type="dxa" w:w="1584"/>
            <w:shd w:fill="FFFFFF"/>
          </w:tcPr>
          <w:p>
            <w:r/>
            <w:r>
              <w:rPr>
                <w:rFonts w:ascii="Calibri" w:hAnsi="Calibri"/>
                <w:sz w:val="18"/>
              </w:rPr>
              <w:t>NGO</w:t>
            </w:r>
          </w:p>
        </w:tc>
        <w:tc>
          <w:tcPr>
            <w:tcW w:type="dxa" w:w="5328"/>
            <w:shd w:fill="FFFFFF"/>
          </w:tcPr>
          <w:p>
            <w:r/>
            <w:r>
              <w:rPr>
                <w:rFonts w:ascii="Calibri" w:hAnsi="Calibri"/>
                <w:sz w:val="18"/>
              </w:rPr>
              <w:t>Scan the application for compliance risks before submission (eligibility gaps, missing documents, financial inconsistencies, narrative-data contradictions); propose specific fixes.</w:t>
            </w:r>
          </w:p>
        </w:tc>
      </w:tr>
      <w:tr>
        <w:tc>
          <w:tcPr>
            <w:tcW w:type="dxa" w:w="2304"/>
            <w:shd w:fill="F2F6FA"/>
          </w:tcPr>
          <w:p>
            <w:r/>
            <w:r>
              <w:rPr>
                <w:rFonts w:ascii="Calibri" w:hAnsi="Calibri"/>
                <w:sz w:val="18"/>
              </w:rPr>
              <w:t>Reviewer summary</w:t>
            </w:r>
          </w:p>
        </w:tc>
        <w:tc>
          <w:tcPr>
            <w:tcW w:type="dxa" w:w="1584"/>
            <w:shd w:fill="F2F6FA"/>
          </w:tcPr>
          <w:p>
            <w:r/>
            <w:r>
              <w:rPr>
                <w:rFonts w:ascii="Calibri" w:hAnsi="Calibri"/>
                <w:sz w:val="18"/>
              </w:rPr>
              <w:t>Reviewer</w:t>
            </w:r>
          </w:p>
        </w:tc>
        <w:tc>
          <w:tcPr>
            <w:tcW w:type="dxa" w:w="5328"/>
            <w:shd w:fill="F2F6FA"/>
          </w:tcPr>
          <w:p>
            <w:r/>
            <w:r>
              <w:rPr>
                <w:rFonts w:ascii="Calibri" w:hAnsi="Calibri"/>
                <w:sz w:val="18"/>
              </w:rPr>
              <w:t>Generate a one-screen summary per application with evidence for and against each criterion, decision-changers, comparable signal across the cohort, and a draft rationale.</w:t>
            </w:r>
          </w:p>
        </w:tc>
      </w:tr>
      <w:tr>
        <w:tc>
          <w:tcPr>
            <w:tcW w:type="dxa" w:w="2304"/>
            <w:shd w:fill="FFFFFF"/>
          </w:tcPr>
          <w:p>
            <w:r/>
            <w:r>
              <w:rPr>
                <w:rFonts w:ascii="Calibri" w:hAnsi="Calibri"/>
                <w:sz w:val="18"/>
              </w:rPr>
              <w:t>Evidence extraction</w:t>
            </w:r>
          </w:p>
        </w:tc>
        <w:tc>
          <w:tcPr>
            <w:tcW w:type="dxa" w:w="1584"/>
            <w:shd w:fill="FFFFFF"/>
          </w:tcPr>
          <w:p>
            <w:r/>
            <w:r>
              <w:rPr>
                <w:rFonts w:ascii="Calibri" w:hAnsi="Calibri"/>
                <w:sz w:val="18"/>
              </w:rPr>
              <w:t>Reviewer</w:t>
            </w:r>
          </w:p>
        </w:tc>
        <w:tc>
          <w:tcPr>
            <w:tcW w:type="dxa" w:w="5328"/>
            <w:shd w:fill="FFFFFF"/>
          </w:tcPr>
          <w:p>
            <w:r/>
            <w:r>
              <w:rPr>
                <w:rFonts w:ascii="Calibri" w:hAnsi="Calibri"/>
                <w:sz w:val="18"/>
              </w:rPr>
              <w:t>Pull verbatim supporting, contradicting, and neutral quotes from the application against each rubric criterion so the reviewer cites evidence rather than writing from memory.</w:t>
            </w:r>
          </w:p>
        </w:tc>
      </w:tr>
      <w:tr>
        <w:tc>
          <w:tcPr>
            <w:tcW w:type="dxa" w:w="2304"/>
            <w:shd w:fill="F2F6FA"/>
          </w:tcPr>
          <w:p>
            <w:r/>
            <w:r>
              <w:rPr>
                <w:rFonts w:ascii="Calibri" w:hAnsi="Calibri"/>
                <w:sz w:val="18"/>
              </w:rPr>
              <w:t>Criteria suggestion</w:t>
            </w:r>
          </w:p>
        </w:tc>
        <w:tc>
          <w:tcPr>
            <w:tcW w:type="dxa" w:w="1584"/>
            <w:shd w:fill="F2F6FA"/>
          </w:tcPr>
          <w:p>
            <w:r/>
            <w:r>
              <w:rPr>
                <w:rFonts w:ascii="Calibri" w:hAnsi="Calibri"/>
                <w:sz w:val="18"/>
              </w:rPr>
              <w:t>Reviewer and donor</w:t>
            </w:r>
          </w:p>
        </w:tc>
        <w:tc>
          <w:tcPr>
            <w:tcW w:type="dxa" w:w="5328"/>
            <w:shd w:fill="F2F6FA"/>
          </w:tcPr>
          <w:p>
            <w:r/>
            <w:r>
              <w:rPr>
                <w:rFonts w:ascii="Calibri" w:hAnsi="Calibri"/>
                <w:sz w:val="18"/>
              </w:rPr>
              <w:t>When a grant has no evaluation criteria defined, propose a calibrated rubric with labels, descriptions, weights summing to 100, and per-criterion rationale.</w:t>
            </w:r>
          </w:p>
        </w:tc>
      </w:tr>
      <w:tr>
        <w:tc>
          <w:tcPr>
            <w:tcW w:type="dxa" w:w="2304"/>
            <w:shd w:fill="FFFFFF"/>
          </w:tcPr>
          <w:p>
            <w:r/>
            <w:r>
              <w:rPr>
                <w:rFonts w:ascii="Calibri" w:hAnsi="Calibri"/>
                <w:sz w:val="18"/>
              </w:rPr>
              <w:t>Grant brief generator</w:t>
            </w:r>
          </w:p>
        </w:tc>
        <w:tc>
          <w:tcPr>
            <w:tcW w:type="dxa" w:w="1584"/>
            <w:shd w:fill="FFFFFF"/>
          </w:tcPr>
          <w:p>
            <w:r/>
            <w:r>
              <w:rPr>
                <w:rFonts w:ascii="Calibri" w:hAnsi="Calibri"/>
                <w:sz w:val="18"/>
              </w:rPr>
              <w:t>Donor</w:t>
            </w:r>
          </w:p>
        </w:tc>
        <w:tc>
          <w:tcPr>
            <w:tcW w:type="dxa" w:w="5328"/>
            <w:shd w:fill="FFFFFF"/>
          </w:tcPr>
          <w:p>
            <w:r/>
            <w:r>
              <w:rPr>
                <w:rFonts w:ascii="Calibri" w:hAnsi="Calibri"/>
                <w:sz w:val="18"/>
              </w:rPr>
              <w:t>Draft a complete grant scaffold from a two-line donor prompt: title, description, criteria, eligibility, document and reporting requirements, recommended deadline.</w:t>
            </w:r>
          </w:p>
        </w:tc>
      </w:tr>
      <w:tr>
        <w:tc>
          <w:tcPr>
            <w:tcW w:type="dxa" w:w="2304"/>
            <w:shd w:fill="F2F6FA"/>
          </w:tcPr>
          <w:p>
            <w:r/>
            <w:r>
              <w:rPr>
                <w:rFonts w:ascii="Calibri" w:hAnsi="Calibri"/>
                <w:sz w:val="18"/>
              </w:rPr>
              <w:t>Median-NGO preview</w:t>
            </w:r>
          </w:p>
        </w:tc>
        <w:tc>
          <w:tcPr>
            <w:tcW w:type="dxa" w:w="1584"/>
            <w:shd w:fill="F2F6FA"/>
          </w:tcPr>
          <w:p>
            <w:r/>
            <w:r>
              <w:rPr>
                <w:rFonts w:ascii="Calibri" w:hAnsi="Calibri"/>
                <w:sz w:val="18"/>
              </w:rPr>
              <w:t>Donor</w:t>
            </w:r>
          </w:p>
        </w:tc>
        <w:tc>
          <w:tcPr>
            <w:tcW w:type="dxa" w:w="5328"/>
            <w:shd w:fill="F2F6FA"/>
          </w:tcPr>
          <w:p>
            <w:r/>
            <w:r>
              <w:rPr>
                <w:rFonts w:ascii="Calibri" w:hAnsi="Calibri"/>
                <w:sz w:val="18"/>
              </w:rPr>
              <w:t>Predict how the median qualifying NGO will respond per criterion and rate criterion discrimination strength, so the donor can tighten the rubric pre-publish.</w:t>
            </w:r>
          </w:p>
        </w:tc>
      </w:tr>
      <w:tr>
        <w:tc>
          <w:tcPr>
            <w:tcW w:type="dxa" w:w="2304"/>
            <w:shd w:fill="FFFFFF"/>
          </w:tcPr>
          <w:p>
            <w:r/>
            <w:r>
              <w:rPr>
                <w:rFonts w:ascii="Calibri" w:hAnsi="Calibri"/>
                <w:sz w:val="18"/>
              </w:rPr>
              <w:t>Burden estimator</w:t>
            </w:r>
          </w:p>
        </w:tc>
        <w:tc>
          <w:tcPr>
            <w:tcW w:type="dxa" w:w="1584"/>
            <w:shd w:fill="FFFFFF"/>
          </w:tcPr>
          <w:p>
            <w:r/>
            <w:r>
              <w:rPr>
                <w:rFonts w:ascii="Calibri" w:hAnsi="Calibri"/>
                <w:sz w:val="18"/>
              </w:rPr>
              <w:t>Donor</w:t>
            </w:r>
          </w:p>
        </w:tc>
        <w:tc>
          <w:tcPr>
            <w:tcW w:type="dxa" w:w="5328"/>
            <w:shd w:fill="FFFFFF"/>
          </w:tcPr>
          <w:p>
            <w:r/>
            <w:r>
              <w:rPr>
                <w:rFonts w:ascii="Calibri" w:hAnsi="Calibri"/>
                <w:sz w:val="18"/>
              </w:rPr>
              <w:t>Critique a grant draft for applicant burden; surface vague criteria, over-demanding evidence asks, and propose simplifications.</w:t>
            </w:r>
          </w:p>
        </w:tc>
      </w:tr>
      <w:tr>
        <w:tc>
          <w:tcPr>
            <w:tcW w:type="dxa" w:w="2304"/>
            <w:shd w:fill="F2F6FA"/>
          </w:tcPr>
          <w:p>
            <w:r/>
            <w:r>
              <w:rPr>
                <w:rFonts w:ascii="Calibri" w:hAnsi="Calibri"/>
                <w:sz w:val="18"/>
              </w:rPr>
              <w:t>Report co-authoring</w:t>
            </w:r>
          </w:p>
        </w:tc>
        <w:tc>
          <w:tcPr>
            <w:tcW w:type="dxa" w:w="1584"/>
            <w:shd w:fill="F2F6FA"/>
          </w:tcPr>
          <w:p>
            <w:r/>
            <w:r>
              <w:rPr>
                <w:rFonts w:ascii="Calibri" w:hAnsi="Calibri"/>
                <w:sz w:val="18"/>
              </w:rPr>
              <w:t>NGO</w:t>
            </w:r>
          </w:p>
        </w:tc>
        <w:tc>
          <w:tcPr>
            <w:tcW w:type="dxa" w:w="5328"/>
            <w:shd w:fill="F2F6FA"/>
          </w:tcPr>
          <w:p>
            <w:r/>
            <w:r>
              <w:rPr>
                <w:rFonts w:ascii="Calibri" w:hAnsi="Calibri"/>
                <w:sz w:val="18"/>
              </w:rPr>
              <w:t>Draft a progress report narrative from prior reports, the current period's data, and uploaded evidence; surface gaps.</w:t>
            </w:r>
          </w:p>
        </w:tc>
      </w:tr>
      <w:tr>
        <w:tc>
          <w:tcPr>
            <w:tcW w:type="dxa" w:w="2304"/>
            <w:shd w:fill="FFFFFF"/>
          </w:tcPr>
          <w:p>
            <w:r/>
            <w:r>
              <w:rPr>
                <w:rFonts w:ascii="Calibri" w:hAnsi="Calibri"/>
                <w:sz w:val="18"/>
              </w:rPr>
              <w:t>Report pre-flight</w:t>
            </w:r>
          </w:p>
        </w:tc>
        <w:tc>
          <w:tcPr>
            <w:tcW w:type="dxa" w:w="1584"/>
            <w:shd w:fill="FFFFFF"/>
          </w:tcPr>
          <w:p>
            <w:r/>
            <w:r>
              <w:rPr>
                <w:rFonts w:ascii="Calibri" w:hAnsi="Calibri"/>
                <w:sz w:val="18"/>
              </w:rPr>
              <w:t>NGO</w:t>
            </w:r>
          </w:p>
        </w:tc>
        <w:tc>
          <w:tcPr>
            <w:tcW w:type="dxa" w:w="5328"/>
            <w:shd w:fill="FFFFFF"/>
          </w:tcPr>
          <w:p>
            <w:r/>
            <w:r>
              <w:rPr>
                <w:rFonts w:ascii="Calibri" w:hAnsi="Calibri"/>
                <w:sz w:val="18"/>
              </w:rPr>
              <w:t>Predict donor concerns about the report before submission; identify vague claims, unexplained budget variance, missing evidence, with the donor concern each fix resolves.</w:t>
            </w:r>
          </w:p>
        </w:tc>
      </w:tr>
      <w:tr>
        <w:tc>
          <w:tcPr>
            <w:tcW w:type="dxa" w:w="2304"/>
            <w:shd w:fill="F2F6FA"/>
          </w:tcPr>
          <w:p>
            <w:r/>
            <w:r>
              <w:rPr>
                <w:rFonts w:ascii="Calibri" w:hAnsi="Calibri"/>
                <w:sz w:val="18"/>
              </w:rPr>
              <w:t>Compliance explanation</w:t>
            </w:r>
          </w:p>
        </w:tc>
        <w:tc>
          <w:tcPr>
            <w:tcW w:type="dxa" w:w="1584"/>
            <w:shd w:fill="F2F6FA"/>
          </w:tcPr>
          <w:p>
            <w:r/>
            <w:r>
              <w:rPr>
                <w:rFonts w:ascii="Calibri" w:hAnsi="Calibri"/>
                <w:sz w:val="18"/>
              </w:rPr>
              <w:t>Donor and administrator</w:t>
            </w:r>
          </w:p>
        </w:tc>
        <w:tc>
          <w:tcPr>
            <w:tcW w:type="dxa" w:w="5328"/>
            <w:shd w:fill="F2F6FA"/>
          </w:tcPr>
          <w:p>
            <w:r/>
            <w:r>
              <w:rPr>
                <w:rFonts w:ascii="Calibri" w:hAnsi="Calibri"/>
                <w:sz w:val="18"/>
              </w:rPr>
              <w:t>Translate verification and sanctions findings into plain language with concrete follow-up actions.</w:t>
            </w:r>
          </w:p>
        </w:tc>
      </w:tr>
      <w:tr>
        <w:tc>
          <w:tcPr>
            <w:tcW w:type="dxa" w:w="2304"/>
            <w:shd w:fill="FFFFFF"/>
          </w:tcPr>
          <w:p>
            <w:r/>
            <w:r>
              <w:rPr>
                <w:rFonts w:ascii="Calibri" w:hAnsi="Calibri"/>
                <w:sz w:val="18"/>
              </w:rPr>
              <w:t>Portfolio insights</w:t>
            </w:r>
          </w:p>
        </w:tc>
        <w:tc>
          <w:tcPr>
            <w:tcW w:type="dxa" w:w="1584"/>
            <w:shd w:fill="FFFFFF"/>
          </w:tcPr>
          <w:p>
            <w:r/>
            <w:r>
              <w:rPr>
                <w:rFonts w:ascii="Calibri" w:hAnsi="Calibri"/>
                <w:sz w:val="18"/>
              </w:rPr>
              <w:t>Donor</w:t>
            </w:r>
          </w:p>
        </w:tc>
        <w:tc>
          <w:tcPr>
            <w:tcW w:type="dxa" w:w="5328"/>
            <w:shd w:fill="FFFFFF"/>
          </w:tcPr>
          <w:p>
            <w:r/>
            <w:r>
              <w:rPr>
                <w:rFonts w:ascii="Calibri" w:hAnsi="Calibri"/>
                <w:sz w:val="18"/>
              </w:rPr>
              <w:t>Summarise the donor's portfolio with headline, anomalies, and next decisions tied to specific applications and grants.</w:t>
            </w:r>
          </w:p>
        </w:tc>
      </w:tr>
      <w:tr>
        <w:tc>
          <w:tcPr>
            <w:tcW w:type="dxa" w:w="2304"/>
            <w:shd w:fill="F2F6FA"/>
          </w:tcPr>
          <w:p>
            <w:r/>
            <w:r>
              <w:rPr>
                <w:rFonts w:ascii="Calibri" w:hAnsi="Calibri"/>
                <w:sz w:val="18"/>
              </w:rPr>
              <w:t>Cross-grant patterns</w:t>
            </w:r>
          </w:p>
        </w:tc>
        <w:tc>
          <w:tcPr>
            <w:tcW w:type="dxa" w:w="1584"/>
            <w:shd w:fill="F2F6FA"/>
          </w:tcPr>
          <w:p>
            <w:r/>
            <w:r>
              <w:rPr>
                <w:rFonts w:ascii="Calibri" w:hAnsi="Calibri"/>
                <w:sz w:val="18"/>
              </w:rPr>
              <w:t>Donor</w:t>
            </w:r>
          </w:p>
        </w:tc>
        <w:tc>
          <w:tcPr>
            <w:tcW w:type="dxa" w:w="5328"/>
            <w:shd w:fill="F2F6FA"/>
          </w:tcPr>
          <w:p>
            <w:r/>
            <w:r>
              <w:rPr>
                <w:rFonts w:ascii="Calibri" w:hAnsi="Calibri"/>
                <w:sz w:val="18"/>
              </w:rPr>
              <w:t>Identify patterns across declined applications — common shortfalls, systematic misalignment — that suggest rubric tightening or eligibility refinement.</w:t>
            </w:r>
          </w:p>
        </w:tc>
      </w:tr>
      <w:tr>
        <w:tc>
          <w:tcPr>
            <w:tcW w:type="dxa" w:w="2304"/>
            <w:shd w:fill="FFFFFF"/>
          </w:tcPr>
          <w:p>
            <w:r/>
            <w:r>
              <w:rPr>
                <w:rFonts w:ascii="Calibri" w:hAnsi="Calibri"/>
                <w:sz w:val="18"/>
              </w:rPr>
              <w:t>Insight narration</w:t>
            </w:r>
          </w:p>
        </w:tc>
        <w:tc>
          <w:tcPr>
            <w:tcW w:type="dxa" w:w="1584"/>
            <w:shd w:fill="FFFFFF"/>
          </w:tcPr>
          <w:p>
            <w:r/>
            <w:r>
              <w:rPr>
                <w:rFonts w:ascii="Calibri" w:hAnsi="Calibri"/>
                <w:sz w:val="18"/>
              </w:rPr>
              <w:t>All</w:t>
            </w:r>
          </w:p>
        </w:tc>
        <w:tc>
          <w:tcPr>
            <w:tcW w:type="dxa" w:w="5328"/>
            <w:shd w:fill="FFFFFF"/>
          </w:tcPr>
          <w:p>
            <w:r/>
            <w:r>
              <w:rPr>
                <w:rFonts w:ascii="Calibri" w:hAnsi="Calibri"/>
                <w:sz w:val="18"/>
              </w:rPr>
              <w:t>Generate plain-language captions for dashboard charts so numbers carry their meaning to non-analyst readers.</w:t>
            </w:r>
          </w:p>
        </w:tc>
      </w:tr>
      <w:tr>
        <w:tc>
          <w:tcPr>
            <w:tcW w:type="dxa" w:w="2304"/>
            <w:shd w:fill="F2F6FA"/>
          </w:tcPr>
          <w:p>
            <w:r/>
            <w:r>
              <w:rPr>
                <w:rFonts w:ascii="Calibri" w:hAnsi="Calibri"/>
                <w:sz w:val="18"/>
              </w:rPr>
              <w:t>Page-aware suggestions</w:t>
            </w:r>
          </w:p>
        </w:tc>
        <w:tc>
          <w:tcPr>
            <w:tcW w:type="dxa" w:w="1584"/>
            <w:shd w:fill="F2F6FA"/>
          </w:tcPr>
          <w:p>
            <w:r/>
            <w:r>
              <w:rPr>
                <w:rFonts w:ascii="Calibri" w:hAnsi="Calibri"/>
                <w:sz w:val="18"/>
              </w:rPr>
              <w:t>All</w:t>
            </w:r>
          </w:p>
        </w:tc>
        <w:tc>
          <w:tcPr>
            <w:tcW w:type="dxa" w:w="5328"/>
            <w:shd w:fill="F2F6FA"/>
          </w:tcPr>
          <w:p>
            <w:r/>
            <w:r>
              <w:rPr>
                <w:rFonts w:ascii="Calibri" w:hAnsi="Calibri"/>
                <w:sz w:val="18"/>
              </w:rPr>
              <w:t>Surface a small list of context-appropriate next actions on every workspace page, scoped to the user's role and current scope (a grant, an application, an organisation).</w:t>
            </w:r>
          </w:p>
        </w:tc>
      </w:tr>
      <w:tr>
        <w:tc>
          <w:tcPr>
            <w:tcW w:type="dxa" w:w="2304"/>
            <w:shd w:fill="FFFFFF"/>
          </w:tcPr>
          <w:p>
            <w:r/>
            <w:r>
              <w:rPr>
                <w:rFonts w:ascii="Calibri" w:hAnsi="Calibri"/>
                <w:sz w:val="18"/>
              </w:rPr>
              <w:t>Ask Kuja</w:t>
            </w:r>
          </w:p>
        </w:tc>
        <w:tc>
          <w:tcPr>
            <w:tcW w:type="dxa" w:w="1584"/>
            <w:shd w:fill="FFFFFF"/>
          </w:tcPr>
          <w:p>
            <w:r/>
            <w:r>
              <w:rPr>
                <w:rFonts w:ascii="Calibri" w:hAnsi="Calibri"/>
                <w:sz w:val="18"/>
              </w:rPr>
              <w:t>All</w:t>
            </w:r>
          </w:p>
        </w:tc>
        <w:tc>
          <w:tcPr>
            <w:tcW w:type="dxa" w:w="5328"/>
            <w:shd w:fill="FFFFFF"/>
          </w:tcPr>
          <w:p>
            <w:r/>
            <w:r>
              <w:rPr>
                <w:rFonts w:ascii="Calibri" w:hAnsi="Calibri"/>
                <w:sz w:val="18"/>
              </w:rPr>
              <w:t>Conversational agent that answers operational questions by querying a registry of read-only data tools, role-checked and organisation-scoped, with three-step maximum iteration.</w:t>
            </w:r>
          </w:p>
        </w:tc>
      </w:tr>
    </w:tbl>
    <w:p/>
    <w:p>
      <w:pPr>
        <w:jc w:val="center"/>
      </w:pPr>
      <w:r>
        <w:drawing>
          <wp:inline xmlns:a="http://schemas.openxmlformats.org/drawingml/2006/main" xmlns:pic="http://schemas.openxmlformats.org/drawingml/2006/picture">
            <wp:extent cx="5943600" cy="3590970"/>
            <wp:docPr id="6" name="Picture 6"/>
            <wp:cNvGraphicFramePr>
              <a:graphicFrameLocks noChangeAspect="1"/>
            </wp:cNvGraphicFramePr>
            <a:graphic>
              <a:graphicData uri="http://schemas.openxmlformats.org/drawingml/2006/picture">
                <pic:pic>
                  <pic:nvPicPr>
                    <pic:cNvPr id="0" name="05_ai_integration_map.png"/>
                    <pic:cNvPicPr/>
                  </pic:nvPicPr>
                  <pic:blipFill>
                    <a:blip r:embed="rId14"/>
                    <a:stretch>
                      <a:fillRect/>
                    </a:stretch>
                  </pic:blipFill>
                  <pic:spPr>
                    <a:xfrm>
                      <a:off x="0" y="0"/>
                      <a:ext cx="5943600" cy="3590970"/>
                    </a:xfrm>
                    <a:prstGeom prst="rect"/>
                  </pic:spPr>
                </pic:pic>
              </a:graphicData>
            </a:graphic>
          </wp:inline>
        </w:drawing>
      </w:r>
    </w:p>
    <w:p>
      <w:pPr>
        <w:jc w:val="center"/>
      </w:pPr>
      <w:r>
        <w:rPr>
          <w:rFonts w:ascii="Calibri" w:hAnsi="Calibri"/>
          <w:i/>
          <w:color w:val="64748B"/>
          <w:sz w:val="17"/>
        </w:rPr>
        <w:t>Figure 4 — AI integration map across the three primary user workspaces. Every surface is grounded, traceable, action-oriented, and falls back gracefully when AI is unavailable.</w:t>
      </w:r>
    </w:p>
    <w:p>
      <w:pPr>
        <w:pStyle w:val="Heading2"/>
      </w:pPr>
      <w:r>
        <w:rPr>
          <w:rFonts w:ascii="Calibri" w:hAnsi="Calibri"/>
          <w:color w:val="1B3A5C"/>
          <w:sz w:val="26"/>
        </w:rPr>
        <w:t>6.7 Due Diligence and Trust Verification</w:t>
      </w:r>
    </w:p>
    <w:p>
      <w:pPr>
        <w:spacing w:after="120"/>
      </w:pPr>
      <w:r>
        <w:rPr>
          <w:rFonts w:ascii="Calibri" w:hAnsi="Calibri"/>
          <w:sz w:val="20"/>
        </w:rPr>
        <w:t>Due diligence is the second pillar of the Organisation Trust Profile. Where capacity assessment answers "can this organisation execute?", due diligence answers "is this organisation safe to fund?". The system shall verify the legal, reputational, and ownership standing of every organisation through continuous external checks against authoritative third-party sources, translate the technical findings into plain language donors and compliance officers can act on, and passport the result so verified organisations do not repeat the work for each donor.</w:t>
      </w:r>
    </w:p>
    <w:p>
      <w:pPr>
        <w:spacing w:after="120"/>
      </w:pPr>
      <w:r>
        <w:rPr>
          <w:rFonts w:ascii="Calibri" w:hAnsi="Calibri"/>
          <w:sz w:val="20"/>
        </w:rPr>
        <w:t>Due diligence on Kuja comprises five sub-pillars: sanctions, AML, and counter-terrorism financing screening; registration and standing verification; tax-exempt status verification; beneficial ownership transparency; and adverse media monitoring. Each is described below; section 6.7.6 covers the mechanics shared across all five.</w:t>
      </w:r>
    </w:p>
    <w:p>
      <w:pPr>
        <w:pStyle w:val="Heading3"/>
      </w:pPr>
      <w:r>
        <w:rPr>
          <w:rFonts w:ascii="Calibri" w:hAnsi="Calibri"/>
          <w:color w:val="2C5F8A"/>
          <w:sz w:val="22"/>
        </w:rPr>
        <w:t>6.7.1 Sanctions, AML and CTF Screening</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Maria, a compliance officer at a donor foundation, opens an application from an NGO new to her portfolio. The Due Diligence Profile shows sanctions status as clear (last verified four hours ago against UN, OFAC, and EU), with explicit checks for the organisation, its named directors, and its declared beneficial owners. A separate amber indicator shows one director flagged for AML review — the system has plain-language context: the director shares a name with a listed entity but the date of birth differs. Maria reviews the comparison and marks the match as a false positive with a note; the determination is recorded in the audit chain. The screening result passports to every application from this organisation.</w:t>
            </w:r>
          </w:p>
        </w:tc>
      </w:tr>
    </w:tbl>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screen every organisation, its named principals, and its declared beneficial owners against UN, OFAC, and EU sanctions lists at onboarding, at application submission, at award, and on a continuous schedule for organisations with active grants.</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extend screening to include anti-money-laundering watchlists and counter-terrorism financing designations beyond the headline sanctions lists, so that the platform's coverage matches what a donor compliance officer would expect of a procurement-grade due-diligence service.</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use a live screening service as the primary feed and shall gracefully fall back to direct downloads of the underlying authority lists when the primary service is unavailable, so that screening is never silently skipped.</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compute a structured screening result per organisation including overall status (clear, flagged, error), per-check-type breakdown, matched entity details where applicable, and the timestamp of the last refresh.</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deduplicate against persona matches using country, name variants, and date-of-birth when supplied, to reduce false positives on common names — and shall surface the dedup logic transparently so compliance officers see why a match was discarded.</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persist every screening result with timestamps for audit and shall raise a notification to administrators when a new flag is detected on an organisation with active grants.</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translate technical screening findings into plain-language explanations with suggested follow-up actions, in the language and tone appropriate to the reader's role.</w:t>
      </w:r>
    </w:p>
    <w:p>
      <w:pPr>
        <w:spacing w:after="60"/>
        <w:ind w:left="576" w:hanging="576"/>
      </w:pPr>
      <w:r>
        <w:rPr>
          <w:rFonts w:ascii="Calibri" w:hAnsi="Calibri"/>
          <w:b/>
          <w:sz w:val="20"/>
        </w:rPr>
        <w:t xml:space="preserve">8.  </w:t>
      </w:r>
      <w:r>
        <w:rPr>
          <w:rFonts w:ascii="Calibri" w:hAnsi="Calibri"/>
          <w:sz w:val="20"/>
        </w:rPr>
        <w:t xml:space="preserve">The system shall </w:t>
      </w:r>
      <w:r>
        <w:rPr>
          <w:rFonts w:ascii="Calibri" w:hAnsi="Calibri"/>
          <w:sz w:val="20"/>
        </w:rPr>
        <w:t>allow administrators to trigger an immediate rescreening run across all organisations with active grants.</w:t>
      </w:r>
    </w:p>
    <w:p>
      <w:pPr>
        <w:pStyle w:val="Heading3"/>
      </w:pPr>
      <w:r>
        <w:rPr>
          <w:rFonts w:ascii="Calibri" w:hAnsi="Calibri"/>
          <w:color w:val="2C5F8A"/>
          <w:sz w:val="22"/>
        </w:rPr>
        <w:t>6.7.2 Registration and Standing Verification</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An NGO applies to a grant claiming registration in Kenya under OP.218/051/2017/0/3001. The system queries Kenya's NGO Coordination Board registry, verifies the registration is current and the legal name matches the claim, and stamps the organisation profile with a verified badge dated today, valid for twelve months. Twenty-three months later, the system's scheduled re-verification detects that the registration has lapsed (the NGO failed to file an annual return). The system flags the change on the next donor's review and prompts the NGO to update.</w:t>
            </w:r>
          </w:p>
        </w:tc>
      </w:tr>
    </w:tbl>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support live registration verification against government registries for organisations claiming registration in Kenya, Nigeria, South Africa, Uganda, Tanzania, Somalia, and Ethiopia at launch, with a documented roadmap for extending coverage to additional jurisdictions.</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compare the registered legal name, status, registration number, and (where available) principal officer names against the values claimed by the organisation on the platform.</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stamp organisation profiles with a verification status (verified, unverified, AI-reviewed, expired) and timestamp, plus the validity window through which the stamp may be relied upon without re-verification.</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raise a verification finding for administrative review where registry data and claimed data diverge, rather than treating divergence as a soft warning the user can ignore.</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support periodic re-verification on a configurable cadence per registry, escalating to active alerts when a previously verified registration lapses, is suspended, or changes status.</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verify tax-exempt or charitable-status certification per country where the platform has access to the authoritative registry, treating tax status as a distinct check from registration itself.</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expose a verification dashboard for administrators showing organisations grouped by verification status, expiry urgency, and pending administrative review.</w:t>
      </w:r>
    </w:p>
    <w:p>
      <w:pPr>
        <w:pStyle w:val="Heading3"/>
      </w:pPr>
      <w:r>
        <w:rPr>
          <w:rFonts w:ascii="Calibri" w:hAnsi="Calibri"/>
          <w:color w:val="2C5F8A"/>
          <w:sz w:val="22"/>
        </w:rPr>
        <w:t>6.7.3 Beneficial Ownership Transparency</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 donor is finalising a $5M grant to a partner consortium with three NGOs. The system has captured each organisation's declared beneficial ownership and key officer disclosures, and has run an internal cross-check against the donor's own staff directory. The system surfaces one match: the legal director of one NGO is married to a programme manager on the donor's team. The conflict-of-interest finding is raised before award; the donor's compliance team is notified, the donor staff member is recused, and the determination is recorded in the audit chain — all before any funds move.</w:t>
            </w:r>
          </w:p>
        </w:tc>
      </w:tr>
    </w:tbl>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capture and verify the declared beneficial owners, board officers, and key principals of every organisation on the platform, with each declaration timestamped and signed by an authorised representative.</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support periodic refresh of beneficial-ownership disclosures with prompts to organisations whose disclosures are approaching the donor-required refresh window.</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cross-check beneficial owners and officers against donor staff directories where the donor has provided one, surfacing potential conflicts of interest for compliance review before award.</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support beneficial-ownership chain disclosure for organisations with parent or affiliate entities, so that ownership transparency extends beyond the immediately filing entity.</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screen all named beneficial owners and officers against the same sanctions, AML, and CTF lists applied to the organisation itself.</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preserve the historical beneficial-ownership record so that retrospective audits can reconstruct who owned or controlled the organisation at the time of any grant.</w:t>
      </w:r>
    </w:p>
    <w:p>
      <w:pPr>
        <w:pStyle w:val="Heading3"/>
      </w:pPr>
      <w:r>
        <w:rPr>
          <w:rFonts w:ascii="Calibri" w:hAnsi="Calibri"/>
          <w:color w:val="2C5F8A"/>
          <w:sz w:val="22"/>
        </w:rPr>
        <w:t>6.7.4 Adverse Media Monitoring</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 regional news outlet publishes an investigative piece alleging financial mismanagement at a previously-funded NGO. Within 24 hours, Kuja's adverse media scan picks up the article, classifies the signal severity, and raises a risk register entry on the organisation with a context summary in plain language. The donor receives a notification with the article reference, an AI-generated summary of what is alleged, and a suggested next-step (request clarification, pause disbursement, refer for external investigation). The donor is informed before the issue escalates publicly.</w:t>
            </w:r>
          </w:p>
        </w:tc>
      </w:tr>
    </w:tbl>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scan a curated set of news sources (regional and international) for adverse media mentions referencing organisations on the platform on at least a daily cadence.</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classify each potential match by relevance (does this article actually reference the organisation in question?) and severity (allegation kind, source credibility, recency).</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raise a risk register entry automatically when an adverse-media match crosses configured severity and relevance thresholds, with a context summary, source link, and suggested follow-up.</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suppress adverse-media noise for organisations that share names with unrelated entities, using country, sector, and prior context to disambiguate.</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preserve the historical adverse-media trail so that donors evaluating a future application from the organisation can see what has surfaced over time and how each finding was resolved.</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respect press-freedom and defamation considerations: adverse-media findings shall be presented as signals for review, not as judgments, and shall be removable on confirmed false-match grounds.</w:t>
      </w:r>
    </w:p>
    <w:p>
      <w:pPr>
        <w:pStyle w:val="Heading3"/>
      </w:pPr>
      <w:r>
        <w:rPr>
          <w:rFonts w:ascii="Calibri" w:hAnsi="Calibri"/>
          <w:color w:val="2C5F8A"/>
          <w:sz w:val="22"/>
        </w:rPr>
        <w:t>6.7.5 AI integration across due diligence</w:t>
      </w:r>
    </w:p>
    <w:p>
      <w:pPr>
        <w:pStyle w:val="ListBullet"/>
        <w:spacing w:after="40"/>
        <w:ind w:left="720"/>
      </w:pPr>
      <w:r>
        <w:rPr>
          <w:rFonts w:ascii="Calibri" w:hAnsi="Calibri"/>
          <w:b/>
          <w:sz w:val="20"/>
        </w:rPr>
        <w:t xml:space="preserve">Plain-language explanation of every finding. </w:t>
      </w:r>
      <w:r>
        <w:rPr>
          <w:rFonts w:ascii="Calibri" w:hAnsi="Calibri"/>
          <w:sz w:val="20"/>
        </w:rPr>
        <w:t>The system shall translate every sanctions match, registry discrepancy, beneficial-ownership conflict, and adverse-media signal into plain language with the context a non-specialist reader needs to act on it. The donor compliance officer should not need a glossary to triage the daily queue.</w:t>
      </w:r>
    </w:p>
    <w:p>
      <w:pPr>
        <w:pStyle w:val="ListBullet"/>
        <w:spacing w:after="40"/>
        <w:ind w:left="720"/>
      </w:pPr>
      <w:r>
        <w:rPr>
          <w:rFonts w:ascii="Calibri" w:hAnsi="Calibri"/>
          <w:b/>
          <w:sz w:val="20"/>
        </w:rPr>
        <w:t xml:space="preserve">False-positive triage. </w:t>
      </w:r>
      <w:r>
        <w:rPr>
          <w:rFonts w:ascii="Calibri" w:hAnsi="Calibri"/>
          <w:sz w:val="20"/>
        </w:rPr>
        <w:t>The system shall use AI to assess the likelihood of false-match on near-name sanctions hits, weighing the available disambiguators (country, sector, date of birth, address) and recommending the determination — which a compliance officer then confirms.</w:t>
      </w:r>
    </w:p>
    <w:p>
      <w:pPr>
        <w:pStyle w:val="ListBullet"/>
        <w:spacing w:after="40"/>
        <w:ind w:left="720"/>
      </w:pPr>
      <w:r>
        <w:rPr>
          <w:rFonts w:ascii="Calibri" w:hAnsi="Calibri"/>
          <w:b/>
          <w:sz w:val="20"/>
        </w:rPr>
        <w:t xml:space="preserve">Adverse media disambiguation and summarisation. </w:t>
      </w:r>
      <w:r>
        <w:rPr>
          <w:rFonts w:ascii="Calibri" w:hAnsi="Calibri"/>
          <w:sz w:val="20"/>
        </w:rPr>
        <w:t>When a news article surfaces, the system shall determine whether it actually references the organisation in question (versus a namesake) and shall generate a 1–2 sentence summary of the allegation, the source, and its credibility.</w:t>
      </w:r>
    </w:p>
    <w:p>
      <w:pPr>
        <w:pStyle w:val="ListBullet"/>
        <w:spacing w:after="40"/>
        <w:ind w:left="720"/>
      </w:pPr>
      <w:r>
        <w:rPr>
          <w:rFonts w:ascii="Calibri" w:hAnsi="Calibri"/>
          <w:b/>
          <w:sz w:val="20"/>
        </w:rPr>
        <w:t xml:space="preserve">Re-verification scheduling. </w:t>
      </w:r>
      <w:r>
        <w:rPr>
          <w:rFonts w:ascii="Calibri" w:hAnsi="Calibri"/>
          <w:sz w:val="20"/>
        </w:rPr>
        <w:t>The system shall use AI to propose appropriate re-verification cadences per organisation based on risk profile, jurisdiction, and prior findings, rather than applying a flat schedule that either over-checks low-risk organisations or under-checks high-risk ones.</w:t>
      </w:r>
    </w:p>
    <w:p>
      <w:pPr>
        <w:pStyle w:val="ListBullet"/>
        <w:spacing w:after="40"/>
        <w:ind w:left="720"/>
      </w:pPr>
      <w:r>
        <w:rPr>
          <w:rFonts w:ascii="Calibri" w:hAnsi="Calibri"/>
          <w:b/>
          <w:sz w:val="20"/>
        </w:rPr>
        <w:t xml:space="preserve">Beneficial-ownership disclosure drafting. </w:t>
      </w:r>
      <w:r>
        <w:rPr>
          <w:rFonts w:ascii="Calibri" w:hAnsi="Calibri"/>
          <w:sz w:val="20"/>
        </w:rPr>
        <w:t>Where an organisation owes a beneficial-ownership refresh, the system shall prefill the disclosure form from prior submissions, registry data, and grant agreements, with the organisation confirming or correcting the prefill.</w:t>
      </w:r>
    </w:p>
    <w:p>
      <w:pPr>
        <w:pStyle w:val="Heading3"/>
      </w:pPr>
      <w:r>
        <w:rPr>
          <w:rFonts w:ascii="Calibri" w:hAnsi="Calibri"/>
          <w:color w:val="2C5F8A"/>
          <w:sz w:val="22"/>
        </w:rPr>
        <w:t>6.7.6 Shared mechanics</w:t>
      </w:r>
    </w:p>
    <w:p>
      <w:pPr>
        <w:pStyle w:val="ListBullet"/>
        <w:spacing w:after="40"/>
        <w:ind w:left="720"/>
      </w:pPr>
      <w:r>
        <w:rPr>
          <w:rFonts w:ascii="Calibri" w:hAnsi="Calibri"/>
          <w:b/>
          <w:sz w:val="20"/>
        </w:rPr>
        <w:t xml:space="preserve">Trust Profile passporting. </w:t>
      </w:r>
      <w:r>
        <w:rPr>
          <w:rFonts w:ascii="Calibri" w:hAnsi="Calibri"/>
          <w:sz w:val="20"/>
        </w:rPr>
        <w:t>Every due-diligence verification shall be reusable across applications without repeating the underlying check. The donor sees the verification stamp with its validity window; the system re-verifies on schedule or on change without burdening the NGO with re-submission.</w:t>
      </w:r>
    </w:p>
    <w:p>
      <w:pPr>
        <w:pStyle w:val="ListBullet"/>
        <w:spacing w:after="40"/>
        <w:ind w:left="720"/>
      </w:pPr>
      <w:r>
        <w:rPr>
          <w:rFonts w:ascii="Calibri" w:hAnsi="Calibri"/>
          <w:b/>
          <w:sz w:val="20"/>
        </w:rPr>
        <w:t xml:space="preserve">Audit chain. </w:t>
      </w:r>
      <w:r>
        <w:rPr>
          <w:rFonts w:ascii="Calibri" w:hAnsi="Calibri"/>
          <w:sz w:val="20"/>
        </w:rPr>
        <w:t>Every screening result, verification stamp, beneficial-ownership disclosure, adverse-media finding, and compliance-officer determination shall be recorded in the tamper-evident audit chain so that the sequence of events is independently verifiable for downstream audit, regulatory, or contractual review.</w:t>
      </w:r>
    </w:p>
    <w:p>
      <w:pPr>
        <w:pStyle w:val="ListBullet"/>
        <w:spacing w:after="40"/>
        <w:ind w:left="720"/>
      </w:pPr>
      <w:r>
        <w:rPr>
          <w:rFonts w:ascii="Calibri" w:hAnsi="Calibri"/>
          <w:b/>
          <w:sz w:val="20"/>
        </w:rPr>
        <w:t xml:space="preserve">Donor-side override transparency. </w:t>
      </w:r>
      <w:r>
        <w:rPr>
          <w:rFonts w:ascii="Calibri" w:hAnsi="Calibri"/>
          <w:sz w:val="20"/>
        </w:rPr>
        <w:t>A donor compliance officer may classify a flag as a false positive or as risk-accepted; the determination, its rationale, and the officer's identity shall be recorded so the override itself is auditable.</w:t>
      </w:r>
    </w:p>
    <w:p>
      <w:pPr>
        <w:pStyle w:val="ListBullet"/>
        <w:spacing w:after="40"/>
        <w:ind w:left="720"/>
      </w:pPr>
      <w:r>
        <w:rPr>
          <w:rFonts w:ascii="Calibri" w:hAnsi="Calibri"/>
          <w:b/>
          <w:sz w:val="20"/>
        </w:rPr>
        <w:t xml:space="preserve">Cross-organisation propagation. </w:t>
      </w:r>
      <w:r>
        <w:rPr>
          <w:rFonts w:ascii="Calibri" w:hAnsi="Calibri"/>
          <w:sz w:val="20"/>
        </w:rPr>
        <w:t>When a sanctions list update, a registry change, or an adverse media item affects a director or beneficial owner who appears on multiple organisations, the system shall propagate the finding to every affected organisation.</w:t>
      </w:r>
    </w:p>
    <w:p>
      <w:pPr>
        <w:pStyle w:val="Heading2"/>
      </w:pPr>
      <w:r>
        <w:rPr>
          <w:rFonts w:ascii="Calibri" w:hAnsi="Calibri"/>
          <w:color w:val="1B3A5C"/>
          <w:sz w:val="26"/>
        </w:rPr>
        <w:t>6.8 Reporting and Outcome Tracking</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Six months into a grant, Amani Foundation's first quarterly report is due. The system reminds Fatima two weeks in advance, drafts the narrative from the prior quarter's report and the indicator data Amani has logged, and runs a pre-flight check from the donor's perspective. The pre-flight flags two unexplained budget variances and an impact claim with no supporting data. Fatima addresses both and submits.</w:t>
            </w:r>
          </w:p>
        </w:tc>
      </w:tr>
    </w:tbl>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represent a progress report as a structured entity with grant reference, reporting period, report type, narrative sections, indicator values, budget actuals, milestone progress, uploaded evidence, and lifecycle status.</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track reports through a documented lifecycle of draft, submitted, accepted, and revision-requested.</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support the cadence and structure each donor specifies — quarterly, semi-annual, annual, custom — and the narrative and indicator template each donor specifies.</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remind reporters in advance of due dates, escalating reminders as deadlines approach.</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allow donors to request revisions with structured feedback, returning the report to the NGO with the donor's concerns clearly attached to specific sections.</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support evidence uploads attached to reports (photographs, beneficiary lists, financial documents, third-party verifications), analysed against the relevant requirement type.</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compute a compliance score for each accepted report combining narrative completeness, indicator coverage, budget reconciliation, and evidence sufficiency.</w:t>
      </w:r>
    </w:p>
    <w:p>
      <w:pPr>
        <w:pStyle w:val="Heading3"/>
      </w:pPr>
      <w:r>
        <w:rPr>
          <w:rFonts w:ascii="Calibri" w:hAnsi="Calibri"/>
          <w:color w:val="2C5F8A"/>
          <w:sz w:val="22"/>
        </w:rPr>
        <w:t>AI integration</w:t>
      </w:r>
    </w:p>
    <w:p>
      <w:pPr>
        <w:pStyle w:val="ListBullet"/>
        <w:spacing w:after="40"/>
        <w:ind w:left="720"/>
      </w:pPr>
      <w:r>
        <w:rPr>
          <w:rFonts w:ascii="Calibri" w:hAnsi="Calibri"/>
          <w:b/>
          <w:sz w:val="20"/>
        </w:rPr>
        <w:t xml:space="preserve">Report co-authoring. </w:t>
      </w:r>
      <w:r>
        <w:rPr>
          <w:rFonts w:ascii="Calibri" w:hAnsi="Calibri"/>
          <w:sz w:val="20"/>
        </w:rPr>
        <w:t>The system shall draft a progress report narrative by drawing on prior reports, the indicator data the NGO has already captured, and uploaded evidence, producing a first-pass narrative the reporter refines.</w:t>
      </w:r>
    </w:p>
    <w:p>
      <w:pPr>
        <w:pStyle w:val="ListBullet"/>
        <w:spacing w:after="40"/>
        <w:ind w:left="720"/>
      </w:pPr>
      <w:r>
        <w:rPr>
          <w:rFonts w:ascii="Calibri" w:hAnsi="Calibri"/>
          <w:b/>
          <w:sz w:val="20"/>
        </w:rPr>
        <w:t xml:space="preserve">Donor-perspective pre-flight. </w:t>
      </w:r>
      <w:r>
        <w:rPr>
          <w:rFonts w:ascii="Calibri" w:hAnsi="Calibri"/>
          <w:sz w:val="20"/>
        </w:rPr>
        <w:t>Before submission the system shall predict donor concerns about the report — vague claims without data, unexplained budget variance, missing evidence — and surface each fix mapped to the donor concern it resolves.</w:t>
      </w:r>
    </w:p>
    <w:p>
      <w:pPr>
        <w:pStyle w:val="Heading2"/>
      </w:pPr>
      <w:r>
        <w:rPr>
          <w:rFonts w:ascii="Calibri" w:hAnsi="Calibri"/>
          <w:color w:val="1B3A5C"/>
          <w:sz w:val="26"/>
        </w:rPr>
        <w:t>6.9 Compliance and Risk — Simplified for Both Sides</w:t>
      </w:r>
    </w:p>
    <w:p>
      <w:pPr>
        <w:spacing w:after="120"/>
      </w:pPr>
      <w:r>
        <w:rPr>
          <w:rFonts w:ascii="Calibri" w:hAnsi="Calibri"/>
          <w:sz w:val="20"/>
        </w:rPr>
        <w:t>Compliance is the most expensive friction in the grant relationship today. For NGOs, it means tracking obligations across donors, interpreting reporting requirements written for someone else, drafting reports under deadline, and proving evidence under audit. For donors, it means trusting that funds are well-spent, that risks are surfaced early, and that the portfolio's compliance health is legible at a glance rather than hidden in PDFs.</w:t>
      </w:r>
    </w:p>
    <w:p>
      <w:pPr>
        <w:spacing w:after="120"/>
      </w:pPr>
      <w:r>
        <w:rPr>
          <w:rFonts w:ascii="Calibri" w:hAnsi="Calibri"/>
          <w:sz w:val="20"/>
        </w:rPr>
        <w:t>The system shall simplify compliance and risk for both sides of the relationship — not by adding more rules but by carrying the work for the NGO and presenting the result, pre-assessed and scored, to the donor. This is the platform's central commitment.</w:t>
      </w:r>
    </w:p>
    <w:p>
      <w:pPr>
        <w:jc w:val="center"/>
      </w:pPr>
      <w:r>
        <w:drawing>
          <wp:inline xmlns:a="http://schemas.openxmlformats.org/drawingml/2006/main" xmlns:pic="http://schemas.openxmlformats.org/drawingml/2006/picture">
            <wp:extent cx="5943600" cy="3537004"/>
            <wp:docPr id="7" name="Picture 7"/>
            <wp:cNvGraphicFramePr>
              <a:graphicFrameLocks noChangeAspect="1"/>
            </wp:cNvGraphicFramePr>
            <a:graphic>
              <a:graphicData uri="http://schemas.openxmlformats.org/drawingml/2006/picture">
                <pic:pic>
                  <pic:nvPicPr>
                    <pic:cNvPr id="0" name="03_ngo_compliance_journey.png"/>
                    <pic:cNvPicPr/>
                  </pic:nvPicPr>
                  <pic:blipFill>
                    <a:blip r:embed="rId15"/>
                    <a:stretch>
                      <a:fillRect/>
                    </a:stretch>
                  </pic:blipFill>
                  <pic:spPr>
                    <a:xfrm>
                      <a:off x="0" y="0"/>
                      <a:ext cx="5943600" cy="3537004"/>
                    </a:xfrm>
                    <a:prstGeom prst="rect"/>
                  </pic:spPr>
                </pic:pic>
              </a:graphicData>
            </a:graphic>
          </wp:inline>
        </w:drawing>
      </w:r>
    </w:p>
    <w:p>
      <w:pPr>
        <w:jc w:val="center"/>
      </w:pPr>
      <w:r>
        <w:rPr>
          <w:rFonts w:ascii="Calibri" w:hAnsi="Calibri"/>
          <w:i/>
          <w:color w:val="64748B"/>
          <w:sz w:val="17"/>
        </w:rPr>
        <w:t>Figure 6 — How the system supports the NGO at every stage of the compliance journey, from application pre-flight to ongoing delivery, reporting, and health monitoring.</w:t>
      </w:r>
    </w:p>
    <w:p>
      <w:pPr>
        <w:pStyle w:val="Heading3"/>
      </w:pPr>
      <w:r>
        <w:rPr>
          <w:rFonts w:ascii="Calibri" w:hAnsi="Calibri"/>
          <w:color w:val="2C5F8A"/>
          <w:sz w:val="22"/>
        </w:rPr>
        <w:t>6.9.1 For NGOs — embedded AI as compliance working partner</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Fatima's first quarterly report is due in three weeks. The system has already extracted the donor's reporting requirements from the grant agreement (cadence, indicators, narrative sections, budget format), added each one to her compliance calendar, and surfaced the upcoming due date on her dashboard. Two weeks out, the system drafts a first-pass narrative from her prior reports and the indicator data she has logged, flags one missing evidence file, and sends her a gentle web push reminder. Fatima opens the report, refines two paragraphs, uploads the missing audit, runs the donor pre-flight (which scores her at 87 percent and surfaces one vague claim with a sharper rewrite), accepts the rewrite, and submits. The whole report took 90 minutes; the previous donor's equivalent report would have taken twelve.</w:t>
            </w:r>
          </w:p>
        </w:tc>
      </w:tr>
    </w:tbl>
    <w:p>
      <w:pPr>
        <w:spacing w:after="120"/>
      </w:pPr>
      <w:r>
        <w:rPr>
          <w:rFonts w:ascii="Calibri" w:hAnsi="Calibri"/>
          <w:sz w:val="20"/>
        </w:rPr>
        <w:t>The system shall act as the NGO's embedded AI compliance working partner across the entire grant — from the moment the requirements are agreed to the moment the final report is accepted. The system shall:</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extract structured compliance obligations from the grant agreement and any supporting documents the donor uploaded — reporting cadence, indicator definitions, narrative sections, budget format, document-of-record requirements — and present them to the NGO as a structured obligation list, not a PDF to re-read.</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translate donor-specific language into clear NGO-side action items: "submit a Q1 progress report by 30 June including indicator data on visits completed and CHW retention, with a budget reconciliation showing variance against approved".</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maintain a compliance calendar per NGO showing every upcoming obligation across every active grant, with date, type, status, and grant attribution.</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send proactive reminders ahead of each obligation, escalating as deadlines approach — in-app notifications, email, and (when subscribed) web push to the NGO's mobile devices.</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draft a first-pass narrative for each progress report by drawing on prior reports, the indicator data the NGO has captured, the documents they have uploaded, and their organisational memory.</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prompt the NGO to upload the right evidence at the right time: "your indicator data shows 88 percent CHW retention this quarter — attach the training attendance records that support this number".</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score every uploaded document against the donor's specific requirements in real time, with classified findings and one-click clarifications where context is needed.</w:t>
      </w:r>
    </w:p>
    <w:p>
      <w:pPr>
        <w:spacing w:after="60"/>
        <w:ind w:left="576" w:hanging="576"/>
      </w:pPr>
      <w:r>
        <w:rPr>
          <w:rFonts w:ascii="Calibri" w:hAnsi="Calibri"/>
          <w:b/>
          <w:sz w:val="20"/>
        </w:rPr>
        <w:t xml:space="preserve">8.  </w:t>
      </w:r>
      <w:r>
        <w:rPr>
          <w:rFonts w:ascii="Calibri" w:hAnsi="Calibri"/>
          <w:sz w:val="20"/>
        </w:rPr>
        <w:t xml:space="preserve">The system shall </w:t>
      </w:r>
      <w:r>
        <w:rPr>
          <w:rFonts w:ascii="Calibri" w:hAnsi="Calibri"/>
          <w:sz w:val="20"/>
        </w:rPr>
        <w:t>run a donor-perspective pre-flight check before submission, predicting the specific concerns the donor will raise (vague claims without data, unexplained budget variance, missing evidence) and offering specific fixes for each — each fix mapped to the donor concern it resolves.</w:t>
      </w:r>
    </w:p>
    <w:p>
      <w:pPr>
        <w:spacing w:after="60"/>
        <w:ind w:left="576" w:hanging="576"/>
      </w:pPr>
      <w:r>
        <w:rPr>
          <w:rFonts w:ascii="Calibri" w:hAnsi="Calibri"/>
          <w:b/>
          <w:sz w:val="20"/>
        </w:rPr>
        <w:t xml:space="preserve">9.  </w:t>
      </w:r>
      <w:r>
        <w:rPr>
          <w:rFonts w:ascii="Calibri" w:hAnsi="Calibri"/>
          <w:sz w:val="20"/>
        </w:rPr>
        <w:t xml:space="preserve">The system shall </w:t>
      </w:r>
      <w:r>
        <w:rPr>
          <w:rFonts w:ascii="Calibri" w:hAnsi="Calibri"/>
          <w:sz w:val="20"/>
        </w:rPr>
        <w:t>guide the NGO through donor revision requests by translating the donor's structured feedback into specific section-level actions the NGO can take, with AI-drafted updates the NGO can accept, edit, or override.</w:t>
      </w:r>
    </w:p>
    <w:p>
      <w:pPr>
        <w:spacing w:after="60"/>
        <w:ind w:left="576" w:hanging="576"/>
      </w:pPr>
      <w:r>
        <w:rPr>
          <w:rFonts w:ascii="Calibri" w:hAnsi="Calibri"/>
          <w:b/>
          <w:sz w:val="20"/>
        </w:rPr>
        <w:t xml:space="preserve">10.  </w:t>
      </w:r>
      <w:r>
        <w:rPr>
          <w:rFonts w:ascii="Calibri" w:hAnsi="Calibri"/>
          <w:sz w:val="20"/>
        </w:rPr>
        <w:t xml:space="preserve">The system shall </w:t>
      </w:r>
      <w:r>
        <w:rPr>
          <w:rFonts w:ascii="Calibri" w:hAnsi="Calibri"/>
          <w:sz w:val="20"/>
        </w:rPr>
        <w:t>score the report as a whole and the NGO's overall compliance health, so the NGO sees what the donor will see before the donor sees it.</w:t>
      </w:r>
    </w:p>
    <w:p>
      <w:pPr>
        <w:pStyle w:val="Heading3"/>
      </w:pPr>
      <w:r>
        <w:rPr>
          <w:rFonts w:ascii="Calibri" w:hAnsi="Calibri"/>
          <w:color w:val="2C5F8A"/>
          <w:sz w:val="22"/>
        </w:rPr>
        <w:t>6.9.2 For donors — pre-assessed, scored, monitored</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Sarah, a donor managing twelve active grants, opens her compliance dashboard. Eleven grants show as on-track. One has a slips badge: "Slips in 14 days", meaning the system's trajectory model predicts this grant will drop below the at-risk threshold within two weeks if nothing changes. Sarah opens the grant, sees that report completion is trending down and one report is approaching overdue. She raises a risk, assigns it to her programme officer with a due date, and sends a structured comment to the NGO. The NGO is notified by web push and responds in-band. The whole exchange takes five minutes and is preserved in the grant's audit chain.</w:t>
            </w:r>
          </w:p>
        </w:tc>
      </w:tr>
    </w:tbl>
    <w:p>
      <w:pPr>
        <w:spacing w:after="120"/>
      </w:pPr>
      <w:r>
        <w:rPr>
          <w:rFonts w:ascii="Calibri" w:hAnsi="Calibri"/>
          <w:sz w:val="20"/>
        </w:rPr>
        <w:t>The system shall present every donor with a portfolio-level compliance command centre. Reports arrive pre-assessed and scored; compliance health is visible at a glance; risks are tracked with owners and due dates; trajectory forecasts surface degradation before grants slip. The donor shall not be surprised.</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deliver every progress report to the donor with an AI-pre-assessment already attached: section-level summary, indicator validation, budget reconciliation status, evidence coverage, and a composite quality score.</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compute a four-pillar compliance health score for every active grant combining completion (30 percent weight), timeliness (30 percent), workflow status (20 percent), and importance (20 percent).</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classify each grant as on-track, at-risk, or high-risk based on the composite score, with each pillar inspectable so the donor can see why the score is what it is.</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write a daily compliance health snapshot per active grant so that change over time is observable.</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compute a linear-regression forecast over the trailing 60 days of snapshots and project when (if ever) the grant is likely to drop below the at-risk threshold.</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surface a slips badge on grants forecast to slip within 30 days, colour-coded by urgency (within 7 days, within 14 days, within 30 days).</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maintain a risk register as a structured entity per organisation, application, or grant, with kind, severity, title, description, status, response, owner, due date, source (AI detection or human-raised), and lifecycle.</w:t>
      </w:r>
    </w:p>
    <w:p>
      <w:pPr>
        <w:spacing w:after="60"/>
        <w:ind w:left="576" w:hanging="576"/>
      </w:pPr>
      <w:r>
        <w:rPr>
          <w:rFonts w:ascii="Calibri" w:hAnsi="Calibri"/>
          <w:b/>
          <w:sz w:val="20"/>
        </w:rPr>
        <w:t xml:space="preserve">8.  </w:t>
      </w:r>
      <w:r>
        <w:rPr>
          <w:rFonts w:ascii="Calibri" w:hAnsi="Calibri"/>
          <w:sz w:val="20"/>
        </w:rPr>
        <w:t xml:space="preserve">The system shall </w:t>
      </w:r>
      <w:r>
        <w:rPr>
          <w:rFonts w:ascii="Calibri" w:hAnsi="Calibri"/>
          <w:sz w:val="20"/>
        </w:rPr>
        <w:t>track each risk through a documented lifecycle of open, mitigating, mitigated, accepted, and dismissed.</w:t>
      </w:r>
    </w:p>
    <w:p>
      <w:pPr>
        <w:spacing w:after="60"/>
        <w:ind w:left="576" w:hanging="576"/>
      </w:pPr>
      <w:r>
        <w:rPr>
          <w:rFonts w:ascii="Calibri" w:hAnsi="Calibri"/>
          <w:b/>
          <w:sz w:val="20"/>
        </w:rPr>
        <w:t xml:space="preserve">9.  </w:t>
      </w:r>
      <w:r>
        <w:rPr>
          <w:rFonts w:ascii="Calibri" w:hAnsi="Calibri"/>
          <w:sz w:val="20"/>
        </w:rPr>
        <w:t xml:space="preserve">The system shall </w:t>
      </w:r>
      <w:r>
        <w:rPr>
          <w:rFonts w:ascii="Calibri" w:hAnsi="Calibri"/>
          <w:sz w:val="20"/>
        </w:rPr>
        <w:t>surface risks awaiting donor response on the donor dashboard, prioritised by severity and age.</w:t>
      </w:r>
    </w:p>
    <w:p>
      <w:pPr>
        <w:spacing w:after="60"/>
        <w:ind w:left="576" w:hanging="576"/>
      </w:pPr>
      <w:r>
        <w:rPr>
          <w:rFonts w:ascii="Calibri" w:hAnsi="Calibri"/>
          <w:b/>
          <w:sz w:val="20"/>
        </w:rPr>
        <w:t xml:space="preserve">10.  </w:t>
      </w:r>
      <w:r>
        <w:rPr>
          <w:rFonts w:ascii="Calibri" w:hAnsi="Calibri"/>
          <w:sz w:val="20"/>
        </w:rPr>
        <w:t xml:space="preserve">The system shall </w:t>
      </w:r>
      <w:r>
        <w:rPr>
          <w:rFonts w:ascii="Calibri" w:hAnsi="Calibri"/>
          <w:sz w:val="20"/>
        </w:rPr>
        <w:t>summarise the donor's portfolio with an AI-generated insights panel: headline, anomalies (grants drifting, organisations under-performing), and the next decisions the donor owes.</w:t>
      </w:r>
    </w:p>
    <w:p>
      <w:pPr>
        <w:pStyle w:val="Heading3"/>
      </w:pPr>
      <w:r>
        <w:rPr>
          <w:rFonts w:ascii="Calibri" w:hAnsi="Calibri"/>
          <w:color w:val="2C5F8A"/>
          <w:sz w:val="22"/>
        </w:rPr>
        <w:t>6.9.3 Shared mechanics</w:t>
      </w:r>
    </w:p>
    <w:p>
      <w:pPr>
        <w:pStyle w:val="ListBullet"/>
        <w:spacing w:after="40"/>
        <w:ind w:left="720"/>
      </w:pPr>
      <w:r>
        <w:rPr>
          <w:rFonts w:ascii="Calibri" w:hAnsi="Calibri"/>
          <w:b/>
          <w:sz w:val="20"/>
        </w:rPr>
        <w:t xml:space="preserve">Plain-language explanations of every finding. </w:t>
      </w:r>
      <w:r>
        <w:rPr>
          <w:rFonts w:ascii="Calibri" w:hAnsi="Calibri"/>
          <w:sz w:val="20"/>
        </w:rPr>
        <w:t>Whether the audience is an NGO programme officer or a donor programme manager, the system shall translate technical findings (sanctions matches, document gaps, indicator variances) into plain language with specific follow-up actions.</w:t>
      </w:r>
    </w:p>
    <w:p>
      <w:pPr>
        <w:pStyle w:val="ListBullet"/>
        <w:spacing w:after="40"/>
        <w:ind w:left="720"/>
      </w:pPr>
      <w:r>
        <w:rPr>
          <w:rFonts w:ascii="Calibri" w:hAnsi="Calibri"/>
          <w:b/>
          <w:sz w:val="20"/>
        </w:rPr>
        <w:t xml:space="preserve">Structured collaboration in-band. </w:t>
      </w:r>
      <w:r>
        <w:rPr>
          <w:rFonts w:ascii="Calibri" w:hAnsi="Calibri"/>
          <w:sz w:val="20"/>
        </w:rPr>
        <w:t>Donor and NGO shall collaborate on every clarification, revision request, and risk response through threaded comments with @-mentions and (where subscribed) web push, rather than through email threads that escape the record.</w:t>
      </w:r>
    </w:p>
    <w:p>
      <w:pPr>
        <w:pStyle w:val="ListBullet"/>
        <w:spacing w:after="40"/>
        <w:ind w:left="720"/>
      </w:pPr>
      <w:r>
        <w:rPr>
          <w:rFonts w:ascii="Calibri" w:hAnsi="Calibri"/>
          <w:b/>
          <w:sz w:val="20"/>
        </w:rPr>
        <w:t xml:space="preserve">Tamper-evident audit chain. </w:t>
      </w:r>
      <w:r>
        <w:rPr>
          <w:rFonts w:ascii="Calibri" w:hAnsi="Calibri"/>
          <w:sz w:val="20"/>
        </w:rPr>
        <w:t>Every compliance-relevant event — sanctions screening result, verification stamp, document analysis, report submission, decision, risk lifecycle transition — shall be recorded in a hash-chained audit log so that the sequence of events is independently verifiable.</w:t>
      </w:r>
    </w:p>
    <w:p>
      <w:pPr>
        <w:pStyle w:val="ListBullet"/>
        <w:spacing w:after="40"/>
        <w:ind w:left="720"/>
      </w:pPr>
      <w:r>
        <w:rPr>
          <w:rFonts w:ascii="Calibri" w:hAnsi="Calibri"/>
          <w:b/>
          <w:sz w:val="20"/>
        </w:rPr>
        <w:t xml:space="preserve">AI-driven risk detection. </w:t>
      </w:r>
      <w:r>
        <w:rPr>
          <w:rFonts w:ascii="Calibri" w:hAnsi="Calibri"/>
          <w:sz w:val="20"/>
        </w:rPr>
        <w:t>The system shall use AI to detect risks during compliance screening, document analysis, application review, and report pre-flight, raising risk register entries with proposed severity and rationale rather than only surfacing them to the user who happens to be looking.</w:t>
      </w:r>
    </w:p>
    <w:p>
      <w:pPr>
        <w:pStyle w:val="ListBullet"/>
        <w:spacing w:after="40"/>
        <w:ind w:left="720"/>
      </w:pPr>
      <w:r>
        <w:rPr>
          <w:rFonts w:ascii="Calibri" w:hAnsi="Calibri"/>
          <w:b/>
          <w:sz w:val="20"/>
        </w:rPr>
        <w:t xml:space="preserve">Health narrative. </w:t>
      </w:r>
      <w:r>
        <w:rPr>
          <w:rFonts w:ascii="Calibri" w:hAnsi="Calibri"/>
          <w:sz w:val="20"/>
        </w:rPr>
        <w:t>The system shall layer a one- or two-sentence plain-language explanation on top of the rule-based compliance score, summarising why the score is what it is and what the donor should attend to first.</w:t>
      </w:r>
    </w:p>
    <w:p>
      <w:pPr>
        <w:pStyle w:val="Heading2"/>
      </w:pPr>
      <w:r>
        <w:rPr>
          <w:rFonts w:ascii="Calibri" w:hAnsi="Calibri"/>
          <w:color w:val="1B3A5C"/>
          <w:sz w:val="26"/>
        </w:rPr>
        <w:t>6.10 Collaboration and Notifications</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 donor reviewer wants the NGO to clarify a discrepancy between their reported beneficiaries and their financial statement. She writes a comment on the application detail page, @-mentioning the NGO's programme officer. The officer receives an in-app notification and, if subscribed, a web push notification on her phone. She replies in the thread; the conversation is preserved with the application rather than scattered across email.</w:t>
            </w:r>
          </w:p>
        </w:tc>
      </w:tr>
    </w:tbl>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support threaded comments attached to any of: applications, grants, reports, risks, and organisations.</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resolve @mentions by email local-part across visible users, preferring same-organisation members when the local-part is ambiguous.</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raise an in-app notification to each mentioned user, with a deep link to the source comment.</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deliver a web push notification to each mentioned user's subscribed devices when web push is configured for the deployment, gracefully degrading to in-app-only when web push is not yet configured.</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allow comment authors to edit and delete their own comments, with edit timestamps preserved for audit.</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support administrator deletion of any comment for content moderation, with a documented record of the deletion.</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surface unread notification counts on the user's navigation, with a notifications page listing recent notifications grouped by kind.</w:t>
      </w:r>
    </w:p>
    <w:p>
      <w:pPr>
        <w:pStyle w:val="Heading2"/>
      </w:pPr>
      <w:r>
        <w:rPr>
          <w:rFonts w:ascii="Calibri" w:hAnsi="Calibri"/>
          <w:color w:val="1B3A5C"/>
          <w:sz w:val="26"/>
        </w:rPr>
        <w:t>6.11 Organisational Memory and Provenance</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Amani has applied to nine grants over the past two years. Across those applications, the team has answered the same questions about their theory of change, their MEL approach, and their financial controls many times. The system has stored each consistent answer in the organisation's memory. When Fatima starts her next application, the system surfaces 'Drew on 11 facts from your memory' and shows exactly which facts informed which response. Fatima can review, accept, edit, or remove the underlying memory items, and her changes ripple to future applications.</w:t>
            </w:r>
          </w:p>
        </w:tc>
      </w:tr>
    </w:tbl>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maintain an organisational memory store per organisation containing structured facts — beneficiary counts, geographic scope, key partnerships, methodology statements, financial controls — derived from completed applications, reports, and assessments.</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tag each memory item with its source (which application, which report), its kind (claim, policy, indicator, partnership), and a usage counter incremented each time the item informs a future draft.</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rank memory items by usage and recency when surfacing them to AI drafting, so that the most-validated facts shape new outputs.</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allow organisation users to view, edit, and remove memory items, with edits and removals taking effect on subsequent drafts but not retroactively altering historical submissions.</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track provenance on every AI-drafted claim, linking the claim to the specific source kind (organisation profile, prior application, prior report, uploaded document, organisational memory, or AI-general where no source applies) and recording the locator and confidence band.</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expose the provenance ledger so reviewers can inspect the sources behind a claim and applicants can see exactly what the system drew on.</w:t>
      </w:r>
    </w:p>
    <w:p>
      <w:pPr>
        <w:pStyle w:val="Heading2"/>
      </w:pPr>
      <w:r>
        <w:rPr>
          <w:rFonts w:ascii="Calibri" w:hAnsi="Calibri"/>
          <w:color w:val="1B3A5C"/>
          <w:sz w:val="26"/>
        </w:rPr>
        <w:t>6.12 Saved Searches and Personalisation</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 donor reviewer often filters open applications for the maternal health portfolio in East Africa, sorted by AI score. She saves this view as 'East Africa maternal health, top scoring'. Tomorrow she restores it with one click and reorders her saved views so this one is at the top.</w:t>
            </w:r>
          </w:p>
        </w:tc>
      </w:tr>
    </w:tbl>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allow users to save the current filter and sort state of a list view as a named saved search, scoped to that user.</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support saved searches across grants, applications, reports, organisations, reviews, and risks.</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allow users to reorder their saved searches, delete them, and rename them.</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preserve the captured filter shape exactly, restoring the same view on next click without re-prompting the user.</w:t>
      </w:r>
    </w:p>
    <w:p>
      <w:pPr>
        <w:pStyle w:val="Heading2"/>
      </w:pPr>
      <w:r>
        <w:rPr>
          <w:rFonts w:ascii="Calibri" w:hAnsi="Calibri"/>
          <w:color w:val="1B3A5C"/>
          <w:sz w:val="26"/>
        </w:rPr>
        <w:t>6.13 Administration and System Health</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An administrator opens the system-health dashboard on Monday morning. Every row is green: API keys configured, scheduled-job secret set, AI failure rate at 0.4 percent over 24 hours, registry verification queue empty, rate-limit backend connected. She glances at the daily AI surface health probe — all seven flagship AI surfaces passed against synthetic fixtures overnight. She moves on to her day.</w:t>
            </w:r>
          </w:p>
        </w:tc>
      </w:tr>
    </w:tbl>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provide a system health surface for administrators reporting on the readiness and operability of every critical subsystem: AI provider configuration, sanctions provider configuration, scheduled-job authentication, AI failure rate over the last 24 hours, document extraction queue depth, stuck extractions, orphaned risks, rate-limit backend, and AI cost budget status.</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provide an AI cost telemetry surface showing daily input and output token spend per endpoint, with a 30-day projection compared to a configurable budget threshold.</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provide a demo-readiness scanner surface that identifies categories of sparse data likely to make AI surfaces read as broken (grants without criteria, applications without documents or with empty responses, reports missing submitted timestamps, organisations missing profiles, administrators without two-factor enrolled).</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provide a flagship AI surface health probe that exercises every primary AI surface against synthetic fixtures on a daily cadence, reporting pass, fail, or skipped for each surface with latency and source. Failed surfaces shall raise an administrator notification.</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provide a configurable audit retention window, with the current window editable by administrators and the next prune count visible.</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provide a failed-login surface grouping recent failed authentication attempts by source and target, with rolling counts at 24-hour, 7-day, and 30-day windows.</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provide a feature flag administration surface exposing every flag with its current state, default state, and per-scope overrides.</w:t>
      </w:r>
    </w:p>
    <w:p>
      <w:pPr>
        <w:spacing w:after="60"/>
        <w:ind w:left="576" w:hanging="576"/>
      </w:pPr>
      <w:r>
        <w:rPr>
          <w:rFonts w:ascii="Calibri" w:hAnsi="Calibri"/>
          <w:b/>
          <w:sz w:val="20"/>
        </w:rPr>
        <w:t xml:space="preserve">8.  </w:t>
      </w:r>
      <w:r>
        <w:rPr>
          <w:rFonts w:ascii="Calibri" w:hAnsi="Calibri"/>
          <w:sz w:val="20"/>
        </w:rPr>
        <w:t xml:space="preserve">The system shall </w:t>
      </w:r>
      <w:r>
        <w:rPr>
          <w:rFonts w:ascii="Calibri" w:hAnsi="Calibri"/>
          <w:sz w:val="20"/>
        </w:rPr>
        <w:t>expose a synthesised OpenAPI document for the platform's HTTP surface and a rendered HTML viewer, for partner integration reference.</w:t>
      </w:r>
    </w:p>
    <w:p>
      <w:pPr>
        <w:pStyle w:val="Heading2"/>
      </w:pPr>
      <w:r>
        <w:rPr>
          <w:rFonts w:ascii="Calibri" w:hAnsi="Calibri"/>
          <w:color w:val="1B3A5C"/>
          <w:sz w:val="26"/>
        </w:rPr>
        <w:t>6.14 Internationalisation and Localisation</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An NGO programme officer in Mogadishu signs in. The interface, every AI-generated draft, every notification, and every error message arrive in Somali. When she @-mentions a donor reviewer in Geneva, the donor sees the comment in English with the original Somali available on hover. Neither party has to translate manually.</w:t>
            </w:r>
          </w:p>
        </w:tc>
      </w:tr>
    </w:tbl>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support six interface languages: English, Arabic, French, Swahili, Somali, and Spanish — at parity across every user-facing surface.</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right-to-left layout shall be correctly applied for Arabic.</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support per-user language preference, persisted on the user profile and applied immediately on language change.</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produce AI output in the user's preferred language using a native-language directive applied at generation time, so that the model writes in the target language rather than translating from English.</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apply language-specific register adjustments (formality, idiom, numeric conventions) so that AI output reads naturally in each language rather than carrying a translated-from-English feel.</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apply role-aware tone: warm, coaching, and supportive for NGO-facing surfaces; precise and decision-oriented for donor-facing and reviewer-facing surfaces; clinical for administrator-facing surfaces.</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be available for native-speaker review of translation quality, with priority namespaces identified for review and a workflow for landing approved revisions.</w:t>
      </w:r>
    </w:p>
    <w:p>
      <w:pPr>
        <w:pStyle w:val="Heading2"/>
      </w:pPr>
      <w:r>
        <w:rPr>
          <w:rFonts w:ascii="Calibri" w:hAnsi="Calibri"/>
          <w:color w:val="1B3A5C"/>
          <w:sz w:val="26"/>
        </w:rPr>
        <w:t>6.15 Field Operations: Mobile and Offline Work</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 field officer for a women's protection NGO is documenting a beneficiary intake in a rural area with no mobile signal. She opens the platform on her phone (the same login she uses at the office), drafts the report narrative, attaches three photographs of consent forms taken with her camera, and saves. The platform shows the work as queued for sync. Twenty minutes later, back in the town centre, her phone reconnects; the platform syncs the draft and uploads the photographs automatically in the background. When she opens her laptop that evening, the draft is already there, waiting for her to refine and submit.</w:t>
            </w:r>
          </w:p>
        </w:tc>
      </w:tr>
    </w:tbl>
    <w:p>
      <w:pPr>
        <w:spacing w:after="120"/>
      </w:pPr>
      <w:r>
        <w:rPr>
          <w:rFonts w:ascii="Calibri" w:hAnsi="Calibri"/>
          <w:sz w:val="20"/>
        </w:rPr>
        <w:t>The Global South operating environment includes intermittent connectivity, limited bandwidth, and a primary device that is typically a mobile phone. The system shall treat this as a first-class scenario rather than a degraded mode.</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be delivered as a progressive web application installable on a mobile device's home screen, with the same authentication, workspaces, and feature scope as the desktop experience.</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present responsive layouts tuned for mobile portrait, mobile landscape, tablet, and desktop viewports, so every workspace is fully usable on a phone rather than requiring a separate mobile app.</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operate in offline-first mode: users shall be able to draft applications, complete capacity assessments, write progress reports, fill out indicator data, and capture supporting evidence without an active internet connection.</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auto-save drafts continuously to local device storage during editing so that interrupted sessions, browser crashes, or sudden connectivity loss never lose work.</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queue file uploads (photographs, documents) for background sync when the device is offline, transmitting them automatically once connectivity is restored without the user re-uploading.</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synchronise queued edits and uploads on reconnection with appropriate conflict handling — if two devices edited the same draft offline, the system shall surface the divergence to the user rather than silently overwriting one side.</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operate acceptably over low-bandwidth and high-latency connections by minimising payload sizes, deferring heavy AI work to asynchronous background calls, and progressively enhancing rich features so that the core flow works on a slow 3G connection.</w:t>
      </w:r>
    </w:p>
    <w:p>
      <w:pPr>
        <w:spacing w:after="60"/>
        <w:ind w:left="576" w:hanging="576"/>
      </w:pPr>
      <w:r>
        <w:rPr>
          <w:rFonts w:ascii="Calibri" w:hAnsi="Calibri"/>
          <w:b/>
          <w:sz w:val="20"/>
        </w:rPr>
        <w:t xml:space="preserve">8.  </w:t>
      </w:r>
      <w:r>
        <w:rPr>
          <w:rFonts w:ascii="Calibri" w:hAnsi="Calibri"/>
          <w:sz w:val="20"/>
        </w:rPr>
        <w:t xml:space="preserve">The system shall </w:t>
      </w:r>
      <w:r>
        <w:rPr>
          <w:rFonts w:ascii="Calibri" w:hAnsi="Calibri"/>
          <w:sz w:val="20"/>
        </w:rPr>
        <w:t>treat photographs taken on a mobile camera as first-class evidence uploads, applying the same vision-based extraction and donor-aware analysis available to other document types.</w:t>
      </w:r>
    </w:p>
    <w:p>
      <w:pPr>
        <w:spacing w:after="60"/>
        <w:ind w:left="576" w:hanging="576"/>
      </w:pPr>
      <w:r>
        <w:rPr>
          <w:rFonts w:ascii="Calibri" w:hAnsi="Calibri"/>
          <w:b/>
          <w:sz w:val="20"/>
        </w:rPr>
        <w:t xml:space="preserve">9.  </w:t>
      </w:r>
      <w:r>
        <w:rPr>
          <w:rFonts w:ascii="Calibri" w:hAnsi="Calibri"/>
          <w:sz w:val="20"/>
        </w:rPr>
        <w:t xml:space="preserve">The system shall </w:t>
      </w:r>
      <w:r>
        <w:rPr>
          <w:rFonts w:ascii="Calibri" w:hAnsi="Calibri"/>
          <w:sz w:val="20"/>
        </w:rPr>
        <w:t>preserve the user's session across device restarts and prolonged disconnection, so a field officer returning to network after a day in a remote area can resume exactly where she left off.</w:t>
      </w:r>
    </w:p>
    <w:p>
      <w:r>
        <w:br w:type="page"/>
      </w:r>
    </w:p>
    <w:p>
      <w:pPr>
        <w:pStyle w:val="Heading2"/>
      </w:pPr>
      <w:r>
        <w:rPr>
          <w:rFonts w:ascii="Calibri" w:hAnsi="Calibri"/>
          <w:color w:val="1B3A5C"/>
          <w:sz w:val="26"/>
        </w:rPr>
        <w:t>6.16 Sustained AI Conversation (Kuja Chat)</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An NGO programme officer in Kampala is preparing a grant application. She opens the chat panel embedded at the bottom of the grant detail page and asks 'what are the top three risks reviewers will flag?'. Kuja responds, referencing the grant's actual criteria. She follows up with 'now rewrite that less formally' and the assistant remembers the previous answer and adjusts in place. Twelve minutes later she returns from a meeting; the chat is exactly where she left it.</w:t>
            </w:r>
          </w:p>
        </w:tc>
      </w:tr>
    </w:tbl>
    <w:p>
      <w:pPr>
        <w:spacing w:after="120"/>
      </w:pPr>
      <w:r>
        <w:rPr>
          <w:rFonts w:ascii="Calibri" w:hAnsi="Calibri"/>
          <w:sz w:val="20"/>
        </w:rPr>
        <w:t>Until Phase 24, every AI surface was one-shot: ask, answer, forget. The platform shall now expose a sustained AI conversation that remembers prior turns within a thread, allowing users to ask follow-ups, refine in place, and compare across answers. Threads are scoped: a global chat at /chat, plus per-entity chats embedded in grant, application, and report detail pages so that scope context is automatic.</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expose a dedicated chat page accessible from a top-level 'Chat with Kuja' navigation item for both NGO and donor roles.</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embed a per-entity chat panel at the bottom of grant, application, and report detail pages, scoped to the entity being viewed so the assistant has its title, criteria, status, and other relevant context automatically available.</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persist chat threads per user and per scope so that returning to the same entity or to /chat resumes the same conversation history rather than starting over.</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send the last twelve messages of history to the language model on each turn so the assistant can follow up coherently while keeping cost bounded per interaction.</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enforce per-user thread isolation: no user shall be able to read another user's chat history under any circumstance.</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provide a reset action that wipes all messages in a thread (keeping the thread row so any UI references survive) and surfaces a confirmation prompt before destruction.</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include a discipline footer in every system prompt instructing the assistant never to invent grant amounts, status values, or scores it cannot see in the scope context, and to say 'I don't have that loaded in this thread — try the corresponding page' when asked about data outside scope.</w:t>
      </w:r>
    </w:p>
    <w:p>
      <w:pPr>
        <w:spacing w:after="60"/>
        <w:ind w:left="576" w:hanging="576"/>
      </w:pPr>
      <w:r>
        <w:rPr>
          <w:rFonts w:ascii="Calibri" w:hAnsi="Calibri"/>
          <w:b/>
          <w:sz w:val="20"/>
        </w:rPr>
        <w:t xml:space="preserve">8.  </w:t>
      </w:r>
      <w:r>
        <w:rPr>
          <w:rFonts w:ascii="Calibri" w:hAnsi="Calibri"/>
          <w:sz w:val="20"/>
        </w:rPr>
        <w:t xml:space="preserve">The system shall </w:t>
      </w:r>
      <w:r>
        <w:rPr>
          <w:rFonts w:ascii="Calibri" w:hAnsi="Calibri"/>
          <w:sz w:val="20"/>
        </w:rPr>
        <w:t>rate-limit chat message sends per user so a single user cannot saturate the AI worker pool, returning a 429 with a friendly retry-after when the limit is hit.</w:t>
      </w:r>
    </w:p>
    <w:p>
      <w:pPr>
        <w:spacing w:after="60"/>
        <w:ind w:left="576" w:hanging="576"/>
      </w:pPr>
      <w:r>
        <w:rPr>
          <w:rFonts w:ascii="Calibri" w:hAnsi="Calibri"/>
          <w:b/>
          <w:sz w:val="20"/>
        </w:rPr>
        <w:t xml:space="preserve">9.  </w:t>
      </w:r>
      <w:r>
        <w:rPr>
          <w:rFonts w:ascii="Calibri" w:hAnsi="Calibri"/>
          <w:sz w:val="20"/>
        </w:rPr>
        <w:t xml:space="preserve">The system shall </w:t>
      </w:r>
      <w:r>
        <w:rPr>
          <w:rFonts w:ascii="Calibri" w:hAnsi="Calibri"/>
          <w:sz w:val="20"/>
        </w:rPr>
        <w:t>remain a strictly opt-in interaction: no chat thread shall ever auto-fire AI calls without an explicit user message.</w:t>
      </w:r>
    </w:p>
    <w:p>
      <w:r>
        <w:br w:type="page"/>
      </w:r>
    </w:p>
    <w:p>
      <w:pPr>
        <w:pStyle w:val="Heading2"/>
      </w:pPr>
      <w:r>
        <w:rPr>
          <w:rFonts w:ascii="Calibri" w:hAnsi="Calibri"/>
          <w:color w:val="1B3A5C"/>
          <w:sz w:val="26"/>
        </w:rPr>
        <w:t>6.17 Reviewer Auto-Assignment</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An NGO submits an application late on a Friday. By Monday morning, the donor opens the application and sees three reviewers already assigned with match scores and reasoning ('sector fit', 'country fit', 'capacity available'). No manual donor action was needed; the reviewers were notified Friday night and one has already started work.</w:t>
            </w:r>
          </w:p>
        </w:tc>
      </w:tr>
    </w:tbl>
    <w:p>
      <w:pPr>
        <w:spacing w:after="120"/>
      </w:pPr>
      <w:r>
        <w:rPr>
          <w:rFonts w:ascii="Calibri" w:hAnsi="Calibri"/>
          <w:sz w:val="20"/>
        </w:rPr>
        <w:t>Manual reviewer assignment was the single most common cause of applications sitting in queue for days. The platform shall pre-populate review panels automatically on submission using the same ranking service that powers the manual 'Suggest reviewers' UI, with a nightly safety net to catch any application that slipped through.</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rank candidate reviewers per application using sector fit, country fit, throughput health, and current workload, exposing the ranking through a service that is shared between the manual UI and the automatic assignment paths.</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fire reviewer auto-assignment automatically when an application transitions to the 'submitted' status, picking the top three reviewers from the ranking and creating Review rows in the 'assigned' state.</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treat the auto-assignment as idempotent: running it again on an application that already has reviewers shall NOT create duplicates; it shall only top up the panel if a reviewer was removed.</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prefer reviewers flagged as 'healthy throughput' over those flagged as 'busy queue'; when the healthy pool cannot satisfy the panel size, fall back to busy reviewers rather than leaving the panel empty.</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run a nightly cron at 02:45 UTC that sweeps every application in {submitted, under_review} status with zero reviewers and triggers the same auto-assignment service, capped at 50 applications per run.</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audit-chain each auto-assignment event with action='reviewer.auto_assigned', subject_kind='application', and a details object capturing the requested panel size, reviewers actually assigned, and any that were skipped as already-assigned.</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never override a manual donor reviewer pick: if the donor manually assigned a reviewer the auto-assignment shall recognise the existing Review row and skip it.</w:t>
      </w:r>
    </w:p>
    <w:p>
      <w:r>
        <w:br w:type="page"/>
      </w:r>
    </w:p>
    <w:p>
      <w:pPr>
        <w:pStyle w:val="Heading2"/>
      </w:pPr>
      <w:r>
        <w:rPr>
          <w:rFonts w:ascii="Calibri" w:hAnsi="Calibri"/>
          <w:color w:val="1B3A5C"/>
          <w:sz w:val="26"/>
        </w:rPr>
        <w:t>6.18 Donor Portfolio Intelligence</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 donor opens her dashboard on Monday morning. The hero card shows the AI's synthesis of today's portfolio decisions. The risk heatmap shows one sector × country cell flashing red because three grantees have overdue reports. The cohort card shows her portfolio funds 27% small/emerging orgs — well above the cohort median of 14%. She knows in 60 seconds what to act on.</w:t>
            </w:r>
          </w:p>
        </w:tc>
      </w:tr>
    </w:tbl>
    <w:p>
      <w:pPr>
        <w:spacing w:after="120"/>
      </w:pPr>
      <w:r>
        <w:rPr>
          <w:rFonts w:ascii="Calibri" w:hAnsi="Calibri"/>
          <w:sz w:val="20"/>
        </w:rPr>
        <w:t>Donors making portfolio-level decisions need a single surface that synthesises everything happening across their grants without requiring them to click through every grant in turn. The platform shall provide a donor command centre that fuses AI synthesis, anomaly detection, risk concentration, peer benchmarks, and cohort-based portfolio quality signals into one dashboard.</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render a hero 'Today's portfolio decisions' card on the donor dashboard with an AI synthesis paragraph and up to three clickable action buttons that route to the page where the action can be completed.</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render a portfolio diagnostics card surfacing cross-grant anomalies (grants where review velocity, scoring distribution, or report timeliness drift from the donor's portfolio norms).</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render a portfolio risk heatmap as a sector × country grid with up to 10×10 cells, each cell colour-coded by aggregate risk score and exposing counts of grants, open risks, overdue reports, and flagged applications.</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render an anonymous peer benchmarks card comparing the donor's operational metrics (decision speed, decline rate, portfolio size) against medians across other donors on the platform.</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render a donor cohort analytics card comparing the donor's *portfolio quality* (grantee capacity score, AI score at award, country and sector diversity, share of funding to small/emerging organisations, grantee report on-time rate) against medians across other donors.</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treat sample-size sparseness honestly across every card: when fewer than three other donors exist (or below per-metric minimums), the card shall render a 'not enough peers to fairly compare' message rather than fake confident numbers.</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never expose another donor's name, another grantee's name, or any specific dollar amount in cohort or benchmark surfaces; counts, medians, and verdict pills only.</w:t>
      </w:r>
    </w:p>
    <w:p>
      <w:pPr>
        <w:spacing w:after="60"/>
        <w:ind w:left="576" w:hanging="576"/>
      </w:pPr>
      <w:r>
        <w:rPr>
          <w:rFonts w:ascii="Calibri" w:hAnsi="Calibri"/>
          <w:b/>
          <w:sz w:val="20"/>
        </w:rPr>
        <w:t xml:space="preserve">8.  </w:t>
      </w:r>
      <w:r>
        <w:rPr>
          <w:rFonts w:ascii="Calibri" w:hAnsi="Calibri"/>
          <w:sz w:val="20"/>
        </w:rPr>
        <w:t xml:space="preserve">The system shall </w:t>
      </w:r>
      <w:r>
        <w:rPr>
          <w:rFonts w:ascii="Calibri" w:hAnsi="Calibri"/>
          <w:sz w:val="20"/>
        </w:rPr>
        <w:t>expose an admin-only path that lets administrators inspect any donor's cohort analytics from /donors/[id], so platform operations can investigate without impersonating the donor.</w:t>
      </w:r>
    </w:p>
    <w:p>
      <w:r>
        <w:br w:type="page"/>
      </w:r>
    </w:p>
    <w:p>
      <w:pPr>
        <w:pStyle w:val="Heading2"/>
      </w:pPr>
      <w:r>
        <w:rPr>
          <w:rFonts w:ascii="Calibri" w:hAnsi="Calibri"/>
          <w:color w:val="1B3A5C"/>
          <w:sz w:val="26"/>
        </w:rPr>
        <w:t>6.19 Biometric and Hardware-Key Re-Authentication</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 donor finance lead has the platform installed on her phone as a PWA. She returns to it on Monday morning, browses portfolio data, then taps 'Record decision' to mark an application as awarded. The platform asks for Face ID before recording the decision; her phone scans her face and the decision lands with biometric provenance.</w:t>
            </w:r>
          </w:p>
        </w:tc>
      </w:tr>
    </w:tbl>
    <w:p>
      <w:pPr>
        <w:spacing w:after="120"/>
      </w:pPr>
      <w:r>
        <w:rPr>
          <w:rFonts w:ascii="Calibri" w:hAnsi="Calibri"/>
          <w:sz w:val="20"/>
        </w:rPr>
        <w:t>The platform's password login is sufficient for most flows, but high-stakes actions (recording award decisions, changing notification preferences, downloading sensitive documents) benefit from a second factor that doesn't add friction. The platform shall expose a WebAuthn-based biometric and hardware-key enrolment flow, with a gate helper that any sensitive route can opt into.</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expose a Security settings page where the user can enrol and manage trusted devices (platform authenticators like Touch ID / Face ID / Windows Hello, and cross-platform authenticators like security keys).</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support enrolment of multiple devices per user so that a user with a phone, a laptop, and a hardware key can maintain all three as valid second factors.</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store the WebAuthn public-key credential plus a strictly-monotonic sign count for each device; sign-count regression on any subsequent authentication shall be treated as a hard authentication failure (clone detection).</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expose a require_reauth() helper that any sensitive route can call to gate the request behind a recent biometric assertion; users without any enrolled credentials shall be treated as bypass (opt-in by design).</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issue short-lived (5 minute) single-use re-auth tokens on successful biometric assertion, validated via an X-Reauth-Token header on the subsequent sensitive request.</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render a clean fallback message in browsers that do not support WebAuthn (older Chrome / Firefox builds) rather than a broken-looking enrol button.</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never store private key material; the private key remains on the authenticator at all times.</w:t>
      </w:r>
    </w:p>
    <w:p>
      <w:r>
        <w:br w:type="page"/>
      </w:r>
    </w:p>
    <w:p>
      <w:pPr>
        <w:pStyle w:val="Heading2"/>
      </w:pPr>
      <w:r>
        <w:rPr>
          <w:rFonts w:ascii="Calibri" w:hAnsi="Calibri"/>
          <w:color w:val="1B3A5C"/>
          <w:sz w:val="26"/>
        </w:rPr>
        <w:t>6.20 Real-User Metrics and In-Product Feedback</w:t>
      </w:r>
    </w:p>
    <w:tbl>
      <w:tblPr>
        <w:tblW w:type="auto" w:w="0"/>
        <w:jc w:val="center"/>
        <w:tblLook w:firstColumn="1" w:firstRow="1" w:lastColumn="0" w:lastRow="0" w:noHBand="0" w:noVBand="1" w:val="04A0"/>
      </w:tblPr>
      <w:tblGrid>
        <w:gridCol w:w="9518"/>
      </w:tblGrid>
      <w:tr>
        <w:tc>
          <w:tcPr>
            <w:tcW w:type="dxa" w:w="9518"/>
            <w:shd w:fill="EEF2F7"/>
          </w:tcPr>
          <w:p>
            <w:pPr>
              <w:spacing w:after="80"/>
            </w:pPr>
            <w:r/>
            <w:r>
              <w:rPr>
                <w:rFonts w:ascii="Calibri" w:hAnsi="Calibri"/>
                <w:b/>
                <w:color w:val="1B3A5C"/>
                <w:sz w:val="18"/>
              </w:rPr>
              <w:t xml:space="preserve">USE CASE  </w:t>
            </w:r>
            <w:r>
              <w:rPr>
                <w:rFonts w:ascii="Calibri" w:hAnsi="Calibri"/>
                <w:sz w:val="20"/>
              </w:rPr>
              <w:t>A product lead opens /admin/metrics. The dashboard shows 23 weekly active users, 14 of whom worked in English and 6 in Arabic, 2 in Swahili, 1 in Somali. The chat funnel shows 38% of users who open a thread send a message. The readiness check → submit funnel shows the AI-assisted arm submits 22% more than the control. NPS for report submits is +47 across 19 responses. She knows where the product is actually winning and where the next investment should go.</w:t>
            </w:r>
          </w:p>
        </w:tc>
      </w:tr>
    </w:tbl>
    <w:p>
      <w:pPr>
        <w:spacing w:after="120"/>
      </w:pPr>
      <w:r>
        <w:rPr>
          <w:rFonts w:ascii="Calibri" w:hAnsi="Calibri"/>
          <w:sz w:val="20"/>
        </w:rPr>
        <w:t>The platform shall instrument real-user behavioural events and explicit perceived-value feedback so that product decisions can be data-driven rather than guessed. The infrastructure shall be lightweight, non-blocking, and analyst-friendly.</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record a UserEvent row for each user action of interest with stable event_name vocabulary, user_id, org_id (denormalised for fast filters), role, language at event time, an optional A/B arm tag, optional JSON props, and an indexed timestamp.</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instrument at minimum the following events: session.start, application.start_draft, application.submit, report.start_draft, report.submit, report.preflight_used, readiness_check.used, chat.thread_open, chat.message_sent, search.query, donor.decision_recorded, donor.broadcast_sent, reviewer.assignment_opened, reviewer.review_submitted, trust_profile.viewed.</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treat event recording as best-effort: a failure to persist an event shall NEVER raise an exception that affects the user-visible request.</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expose a deterministic A/B bucketing helper that hashes (experiment_name, org_id) to a stable arm so the same organisation always lands in the same arm for a given experiment.</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expose an admin metrics dashboard at /admin/metrics rendering: DAU, WAU, and MAU with role and language breakdowns; the top thirty-day event counts; at least six funnel views (chat, application, report, review, readiness → submit, pre-flight → submit); per-language adoption of chat and search and AI assistance features; and the A/B outcome split for application submits.</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fire a one-question NPS-style micro-survey at moments-of-completion (application submit, report submit) on the entity's detail page for the user who completed the action; surveys shall be dismissible with one tap and shall remember dismissal in localStorage so the same surface is never re-prompted on the same device.</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persist micro-survey responses with the surface name, related entity, 0-10 score, optional comment up to 500 characters, and the user's language at response time, enforcing a uniqueness constraint of one response per (user, surface, related_kind, related_id).</w:t>
      </w:r>
    </w:p>
    <w:p>
      <w:pPr>
        <w:spacing w:after="60"/>
        <w:ind w:left="576" w:hanging="576"/>
      </w:pPr>
      <w:r>
        <w:rPr>
          <w:rFonts w:ascii="Calibri" w:hAnsi="Calibri"/>
          <w:b/>
          <w:sz w:val="20"/>
        </w:rPr>
        <w:t xml:space="preserve">8.  </w:t>
      </w:r>
      <w:r>
        <w:rPr>
          <w:rFonts w:ascii="Calibri" w:hAnsi="Calibri"/>
          <w:sz w:val="20"/>
        </w:rPr>
        <w:t xml:space="preserve">The system shall </w:t>
      </w:r>
      <w:r>
        <w:rPr>
          <w:rFonts w:ascii="Calibri" w:hAnsi="Calibri"/>
          <w:sz w:val="20"/>
        </w:rPr>
        <w:t>surface an NPS rollup in the admin metrics dashboard with overall score, promoters/passives/detractors counts, per-surface breakdown, per-language breakdown, and a recent-comments stream.</w:t>
      </w:r>
    </w:p>
    <w:p>
      <w:pPr>
        <w:spacing w:after="60"/>
        <w:ind w:left="576" w:hanging="576"/>
      </w:pPr>
      <w:r>
        <w:rPr>
          <w:rFonts w:ascii="Calibri" w:hAnsi="Calibri"/>
          <w:b/>
          <w:sz w:val="20"/>
        </w:rPr>
        <w:t xml:space="preserve">9.  </w:t>
      </w:r>
      <w:r>
        <w:rPr>
          <w:rFonts w:ascii="Calibri" w:hAnsi="Calibri"/>
          <w:sz w:val="20"/>
        </w:rPr>
        <w:t xml:space="preserve">The system shall </w:t>
      </w:r>
      <w:r>
        <w:rPr>
          <w:rFonts w:ascii="Calibri" w:hAnsi="Calibri"/>
          <w:sz w:val="20"/>
        </w:rPr>
        <w:t>gate all metrics surfaces to admin role only; non-admin requests shall return 403.</w:t>
      </w:r>
    </w:p>
    <w:p>
      <w:r>
        <w:br w:type="page"/>
      </w:r>
    </w:p>
    <w:p>
      <w:pPr>
        <w:pStyle w:val="Heading1"/>
      </w:pPr>
      <w:r>
        <w:rPr>
          <w:rFonts w:ascii="Calibri" w:hAnsi="Calibri"/>
          <w:color w:val="1B3A5C"/>
          <w:sz w:val="36"/>
        </w:rPr>
        <w:t>7. Non-Functional Requirements</w:t>
      </w:r>
    </w:p>
    <w:p>
      <w:pPr>
        <w:pStyle w:val="Heading2"/>
      </w:pPr>
      <w:r>
        <w:rPr>
          <w:rFonts w:ascii="Calibri" w:hAnsi="Calibri"/>
          <w:color w:val="1B3A5C"/>
          <w:sz w:val="26"/>
        </w:rPr>
        <w:t>7.1 Performance and Scalability</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return user-interactive responses (page navigations, list views, simple writes) within 500 milliseconds at the 95th percentile under normal load.</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execute heavy AI calls (application drafting, report drafting, reviewer summary, grant brief generation) asynchronously, returning the user's request within 50 milliseconds with a job identifier and surfacing the result via a polling endpoint once ready.</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cap the maximum runtime of any single AI call at 300 seconds and shall classify each AI call by expected work envelope (light up to 60 seconds, medium up to 120 seconds, heavy up to 240 seconds) so that frontends can present appropriate progress indication.</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cap concurrent in-flight AI calls per authenticated user, gracefully falling back to a template path when the cap is exceeded so that one client cannot saturate the worker pool.</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support horizontal scaling of the application tier such that adding workers proportionally increases serving capacity.</w:t>
      </w:r>
    </w:p>
    <w:p>
      <w:pPr>
        <w:pStyle w:val="Heading2"/>
      </w:pPr>
      <w:r>
        <w:rPr>
          <w:rFonts w:ascii="Calibri" w:hAnsi="Calibri"/>
          <w:color w:val="1B3A5C"/>
          <w:sz w:val="26"/>
        </w:rPr>
        <w:t>7.2 Reliability and Availability</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target 99.5 percent monthly availability for the user-facing surface, with documented degraded-mode behaviour for each dependent service (AI provider, sanctions provider, registry providers, push provider).</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fall back to deterministic rule-based or template output when an AI service is unavailable, returning a meaningful response in every case rather than an empty error.</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preserve user input across connection drops via automatic draft saving on application and report editing surfaces.</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retry transient infrastructure failures on idempotent read requests with exponential backoff, masking momentary worker restarts from the user.</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isolate scheduled-job state across workers via a shared backend so that scheduled work (compliance snapshots, rescreening, audit prune) executes exactly once per cycle rather than once per worker.</w:t>
      </w:r>
    </w:p>
    <w:p>
      <w:pPr>
        <w:pStyle w:val="Heading2"/>
      </w:pPr>
      <w:r>
        <w:rPr>
          <w:rFonts w:ascii="Calibri" w:hAnsi="Calibri"/>
          <w:color w:val="1B3A5C"/>
          <w:sz w:val="26"/>
        </w:rPr>
        <w:t>7.3 Security and Privacy</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encrypt all data in transit via TLS, and at rest via the database provider's default encryption.</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hash user credentials with a per-credential salt and a vetted hashing function with adjustable work factor.</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scope every data access by the requesting user's organisation, with cross-organisation access restricted to administrators and logged.</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maintain a tamper-evident audit chain for security-relevant events (authentication, authorisation, permission changes, sanctions findings, administrative actions), with every entry cryptographically linked to its predecessor so that retroactive tampering is detectable.</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support two-factor authentication via time-based one-time passwords with recovery codes, and shall support administrator-level hard enforcement of two-factor authentication for write actions.</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rate-limit authentication attempts per source address and per email account, with per-account lockout durations distinct from per-address rate limits to distinguish targeted brute force from shared-NAT noise.</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support a right-to-be-forgotten workflow allowing administrators to expunge personal data for a specific user while preserving the audit chain and any data the contract or programme record requires.</w:t>
      </w:r>
    </w:p>
    <w:p>
      <w:pPr>
        <w:spacing w:after="60"/>
        <w:ind w:left="576" w:hanging="576"/>
      </w:pPr>
      <w:r>
        <w:rPr>
          <w:rFonts w:ascii="Calibri" w:hAnsi="Calibri"/>
          <w:b/>
          <w:sz w:val="20"/>
        </w:rPr>
        <w:t xml:space="preserve">8.  </w:t>
      </w:r>
      <w:r>
        <w:rPr>
          <w:rFonts w:ascii="Calibri" w:hAnsi="Calibri"/>
          <w:sz w:val="20"/>
        </w:rPr>
        <w:t xml:space="preserve">The system shall </w:t>
      </w:r>
      <w:r>
        <w:rPr>
          <w:rFonts w:ascii="Calibri" w:hAnsi="Calibri"/>
          <w:sz w:val="20"/>
        </w:rPr>
        <w:t>apply a strict Content Security Policy, with no third-party script origins and explicit denials of object embedding, frame ancestors, and mixed-content loading.</w:t>
      </w:r>
    </w:p>
    <w:p>
      <w:pPr>
        <w:spacing w:after="60"/>
        <w:ind w:left="576" w:hanging="576"/>
      </w:pPr>
      <w:r>
        <w:rPr>
          <w:rFonts w:ascii="Calibri" w:hAnsi="Calibri"/>
          <w:b/>
          <w:sz w:val="20"/>
        </w:rPr>
        <w:t xml:space="preserve">9.  </w:t>
      </w:r>
      <w:r>
        <w:rPr>
          <w:rFonts w:ascii="Calibri" w:hAnsi="Calibri"/>
          <w:sz w:val="20"/>
        </w:rPr>
        <w:t xml:space="preserve">The system shall </w:t>
      </w:r>
      <w:r>
        <w:rPr>
          <w:rFonts w:ascii="Calibri" w:hAnsi="Calibri"/>
          <w:sz w:val="20"/>
        </w:rPr>
        <w:t>scope sensitive operations behind per-operation rate-limit policies separate from the global throttle, with policies named by operation class so that limits can be tuned per surface without touching the rest of the system.</w:t>
      </w:r>
    </w:p>
    <w:p>
      <w:pPr>
        <w:pStyle w:val="Heading2"/>
      </w:pPr>
      <w:r>
        <w:rPr>
          <w:rFonts w:ascii="Calibri" w:hAnsi="Calibri"/>
          <w:color w:val="1B3A5C"/>
          <w:sz w:val="26"/>
        </w:rPr>
        <w:t>7.4 Observability and Operability</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emit structured logs for every request including request identifier, route, user identifier, duration, and outcome, suitable for ingestion by a log analytics platform.</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emit a telemetry record for every AI call including endpoint, model, input tokens, output tokens, latency, success or failure, user, language, and role.</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compute and surface AI cost telemetry on a daily basis with a 30-day projection compared to a configurable budget threshold.</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execute scheduled jobs (compliance snapshots, audit prune, sanctions rescreening, AI surface health probe, demo readiness scan) on a documented cadence, with their last-run results visible to administrators.</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support graceful operation when optional infrastructure (shared rate-limit backend, push provider, primary sanctions feed) is not configured, surfacing the missing-but-recommended state in the system-health view without raising errors to end users.</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expose a synthesised OpenAPI document and a rendered HTML viewer for partner integration reference.</w:t>
      </w:r>
    </w:p>
    <w:p>
      <w:pPr>
        <w:pStyle w:val="Heading2"/>
      </w:pPr>
      <w:r>
        <w:rPr>
          <w:rFonts w:ascii="Calibri" w:hAnsi="Calibri"/>
          <w:color w:val="1B3A5C"/>
          <w:sz w:val="26"/>
        </w:rPr>
        <w:t>7.5 Usability, Accessibility, and Inclusivity</w:t>
      </w:r>
    </w:p>
    <w:p>
      <w:pPr>
        <w:spacing w:after="120"/>
      </w:pPr>
      <w:r>
        <w:rPr>
          <w:rFonts w:ascii="Calibri" w:hAnsi="Calibri"/>
          <w:sz w:val="20"/>
        </w:rPr>
        <w:t>Usability is treated as a quality attribute, not a feature. The system shall be optimised for users whose primary device is a phone, whose connectivity is intermittent, whose first language may not be English, and whose time is scarce. Every surface shall answer the question "what should I do next?" before the user has to ask.</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meet WCAG 2.1 Level AA conformance for keyboard navigation, focus visibility, contrast, and screen-reader compatibility on every user-facing surface.</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present action-driven workspaces: every dashboard surface shall lead with what the user owes attention to (to-dos, deadlines, blockers, opportunities) rather than asking the user to navigate to discover their next action.</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minimise time-to-first-action: a user signing in shall be one click away from their highest-priority pending item.</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support touch interaction with mobile-portrait layouts on every primary workspace, treating mobile as a first-class delivery surface rather than a degraded fallback.</w:t>
      </w:r>
    </w:p>
    <w:p>
      <w:pPr>
        <w:spacing w:after="60"/>
        <w:ind w:left="576" w:hanging="576"/>
      </w:pPr>
      <w:r>
        <w:rPr>
          <w:rFonts w:ascii="Calibri" w:hAnsi="Calibri"/>
          <w:b/>
          <w:sz w:val="20"/>
        </w:rPr>
        <w:t xml:space="preserve">5.  </w:t>
      </w:r>
      <w:r>
        <w:rPr>
          <w:rFonts w:ascii="Calibri" w:hAnsi="Calibri"/>
          <w:sz w:val="20"/>
        </w:rPr>
        <w:t xml:space="preserve">The system shall </w:t>
      </w:r>
      <w:r>
        <w:rPr>
          <w:rFonts w:ascii="Calibri" w:hAnsi="Calibri"/>
          <w:sz w:val="20"/>
        </w:rPr>
        <w:t>operate offline-first: critical user actions (draft applications, complete assessments, write reports, capture evidence, save indicator data) shall function without an active connection and shall sync automatically on reconnection.</w:t>
      </w:r>
    </w:p>
    <w:p>
      <w:pPr>
        <w:spacing w:after="60"/>
        <w:ind w:left="576" w:hanging="576"/>
      </w:pPr>
      <w:r>
        <w:rPr>
          <w:rFonts w:ascii="Calibri" w:hAnsi="Calibri"/>
          <w:b/>
          <w:sz w:val="20"/>
        </w:rPr>
        <w:t xml:space="preserve">6.  </w:t>
      </w:r>
      <w:r>
        <w:rPr>
          <w:rFonts w:ascii="Calibri" w:hAnsi="Calibri"/>
          <w:sz w:val="20"/>
        </w:rPr>
        <w:t xml:space="preserve">The system shall </w:t>
      </w:r>
      <w:r>
        <w:rPr>
          <w:rFonts w:ascii="Calibri" w:hAnsi="Calibri"/>
          <w:sz w:val="20"/>
        </w:rPr>
        <w:t>operate acceptably over low-bandwidth and high-latency connections by deferring heavy AI work to asynchronous background calls and progressively enhancing rich features.</w:t>
      </w:r>
    </w:p>
    <w:p>
      <w:pPr>
        <w:spacing w:after="60"/>
        <w:ind w:left="576" w:hanging="576"/>
      </w:pPr>
      <w:r>
        <w:rPr>
          <w:rFonts w:ascii="Calibri" w:hAnsi="Calibri"/>
          <w:b/>
          <w:sz w:val="20"/>
        </w:rPr>
        <w:t xml:space="preserve">7.  </w:t>
      </w:r>
      <w:r>
        <w:rPr>
          <w:rFonts w:ascii="Calibri" w:hAnsi="Calibri"/>
          <w:sz w:val="20"/>
        </w:rPr>
        <w:t xml:space="preserve">The system shall </w:t>
      </w:r>
      <w:r>
        <w:rPr>
          <w:rFonts w:ascii="Calibri" w:hAnsi="Calibri"/>
          <w:sz w:val="20"/>
        </w:rPr>
        <w:t>auto-save user input continuously to local storage so that connectivity loss, browser crash, or device restart never causes loss of work.</w:t>
      </w:r>
    </w:p>
    <w:p>
      <w:pPr>
        <w:spacing w:after="60"/>
        <w:ind w:left="576" w:hanging="576"/>
      </w:pPr>
      <w:r>
        <w:rPr>
          <w:rFonts w:ascii="Calibri" w:hAnsi="Calibri"/>
          <w:b/>
          <w:sz w:val="20"/>
        </w:rPr>
        <w:t xml:space="preserve">8.  </w:t>
      </w:r>
      <w:r>
        <w:rPr>
          <w:rFonts w:ascii="Calibri" w:hAnsi="Calibri"/>
          <w:sz w:val="20"/>
        </w:rPr>
        <w:t xml:space="preserve">The system shall </w:t>
      </w:r>
      <w:r>
        <w:rPr>
          <w:rFonts w:ascii="Calibri" w:hAnsi="Calibri"/>
          <w:sz w:val="20"/>
        </w:rPr>
        <w:t>treat scanned and image-only documents as first-class inputs, falling back to vision-based extraction rather than rejecting field-collected evidence.</w:t>
      </w:r>
    </w:p>
    <w:p>
      <w:pPr>
        <w:spacing w:after="60"/>
        <w:ind w:left="576" w:hanging="576"/>
      </w:pPr>
      <w:r>
        <w:rPr>
          <w:rFonts w:ascii="Calibri" w:hAnsi="Calibri"/>
          <w:b/>
          <w:sz w:val="20"/>
        </w:rPr>
        <w:t xml:space="preserve">9.  </w:t>
      </w:r>
      <w:r>
        <w:rPr>
          <w:rFonts w:ascii="Calibri" w:hAnsi="Calibri"/>
          <w:sz w:val="20"/>
        </w:rPr>
        <w:t xml:space="preserve">The system shall </w:t>
      </w:r>
      <w:r>
        <w:rPr>
          <w:rFonts w:ascii="Calibri" w:hAnsi="Calibri"/>
          <w:sz w:val="20"/>
        </w:rPr>
        <w:t>render in right-to-left layout for Arabic without manual configuration on the part of the user.</w:t>
      </w:r>
    </w:p>
    <w:p>
      <w:pPr>
        <w:spacing w:after="60"/>
        <w:ind w:left="576" w:hanging="576"/>
      </w:pPr>
      <w:r>
        <w:rPr>
          <w:rFonts w:ascii="Calibri" w:hAnsi="Calibri"/>
          <w:b/>
          <w:sz w:val="20"/>
        </w:rPr>
        <w:t xml:space="preserve">10.  </w:t>
      </w:r>
      <w:r>
        <w:rPr>
          <w:rFonts w:ascii="Calibri" w:hAnsi="Calibri"/>
          <w:sz w:val="20"/>
        </w:rPr>
        <w:t xml:space="preserve">The system shall </w:t>
      </w:r>
      <w:r>
        <w:rPr>
          <w:rFonts w:ascii="Calibri" w:hAnsi="Calibri"/>
          <w:sz w:val="20"/>
        </w:rPr>
        <w:t>show clear status feedback for every long-running operation (document analysis, AI report drafting, background upload sync) so the user never wonders whether the system is working.</w:t>
      </w:r>
    </w:p>
    <w:p>
      <w:pPr>
        <w:spacing w:after="60"/>
        <w:ind w:left="576" w:hanging="576"/>
      </w:pPr>
      <w:r>
        <w:rPr>
          <w:rFonts w:ascii="Calibri" w:hAnsi="Calibri"/>
          <w:b/>
          <w:sz w:val="20"/>
        </w:rPr>
        <w:t xml:space="preserve">11.  </w:t>
      </w:r>
      <w:r>
        <w:rPr>
          <w:rFonts w:ascii="Calibri" w:hAnsi="Calibri"/>
          <w:sz w:val="20"/>
        </w:rPr>
        <w:t xml:space="preserve">The system shall </w:t>
      </w:r>
      <w:r>
        <w:rPr>
          <w:rFonts w:ascii="Calibri" w:hAnsi="Calibri"/>
          <w:sz w:val="20"/>
        </w:rPr>
        <w:t>make every AI output editable: AI is a starting point, never the final word.</w:t>
      </w:r>
    </w:p>
    <w:p>
      <w:r>
        <w:br w:type="page"/>
      </w:r>
    </w:p>
    <w:p>
      <w:pPr>
        <w:pStyle w:val="Heading1"/>
      </w:pPr>
      <w:r>
        <w:rPr>
          <w:rFonts w:ascii="Calibri" w:hAnsi="Calibri"/>
          <w:color w:val="1B3A5C"/>
          <w:sz w:val="36"/>
        </w:rPr>
        <w:t>8. Use Cases</w:t>
      </w:r>
    </w:p>
    <w:p>
      <w:pPr>
        <w:spacing w:after="120"/>
      </w:pPr>
      <w:r>
        <w:rPr>
          <w:rFonts w:ascii="Calibri" w:hAnsi="Calibri"/>
          <w:sz w:val="20"/>
        </w:rPr>
        <w:t>This chapter presents end-to-end use cases connecting the functional requirements into the workflows the platform shall support. Each use case is written as a sequence of events with actors and pre- and post-conditions; the requirements in chapter 6 constitute the basis for each step.</w:t>
      </w:r>
    </w:p>
    <w:p>
      <w:pPr>
        <w:pStyle w:val="Heading2"/>
      </w:pPr>
      <w:r>
        <w:rPr>
          <w:rFonts w:ascii="Calibri" w:hAnsi="Calibri"/>
          <w:color w:val="1B3A5C"/>
          <w:sz w:val="26"/>
        </w:rPr>
        <w:t>UC-001: Donor publishes a new grant</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Donor</w:t>
            </w:r>
          </w:p>
        </w:tc>
        <w:tc>
          <w:tcPr>
            <w:tcW w:type="dxa" w:w="3888"/>
            <w:shd w:fill="F2F6FA"/>
          </w:tcPr>
          <w:p>
            <w:r/>
            <w:r>
              <w:rPr>
                <w:rFonts w:ascii="Calibri" w:hAnsi="Calibri"/>
                <w:sz w:val="18"/>
              </w:rPr>
              <w:t>Donor user is signed in and belongs to an organisation authorised to publish grants.</w:t>
            </w:r>
          </w:p>
        </w:tc>
        <w:tc>
          <w:tcPr>
            <w:tcW w:type="dxa" w:w="3888"/>
            <w:shd w:fill="F2F6FA"/>
          </w:tcPr>
          <w:p>
            <w:r/>
            <w:r>
              <w:rPr>
                <w:rFonts w:ascii="Calibri" w:hAnsi="Calibri"/>
                <w:sz w:val="18"/>
              </w:rPr>
              <w:t>Grant is open and discoverable; eligible NGOs are notified of the match.</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Donor opens the grant creation wizard and provides a two-line prompt describing intent.</w:t>
      </w:r>
    </w:p>
    <w:p>
      <w:pPr>
        <w:spacing w:after="40"/>
        <w:ind w:left="432"/>
      </w:pPr>
      <w:r>
        <w:rPr>
          <w:rFonts w:ascii="Calibri" w:hAnsi="Calibri"/>
          <w:b/>
          <w:sz w:val="20"/>
        </w:rPr>
        <w:t xml:space="preserve">2.  </w:t>
      </w:r>
      <w:r>
        <w:rPr>
          <w:rFonts w:ascii="Calibri" w:hAnsi="Calibri"/>
          <w:sz w:val="20"/>
        </w:rPr>
        <w:t>The system drafts a complete grant scaffold (title, description, criteria with weights, eligibility, document requirements, reporting configuration, recommended deadline).</w:t>
      </w:r>
    </w:p>
    <w:p>
      <w:pPr>
        <w:spacing w:after="40"/>
        <w:ind w:left="432"/>
      </w:pPr>
      <w:r>
        <w:rPr>
          <w:rFonts w:ascii="Calibri" w:hAnsi="Calibri"/>
          <w:b/>
          <w:sz w:val="20"/>
        </w:rPr>
        <w:t xml:space="preserve">3.  </w:t>
      </w:r>
      <w:r>
        <w:rPr>
          <w:rFonts w:ascii="Calibri" w:hAnsi="Calibri"/>
          <w:sz w:val="20"/>
        </w:rPr>
        <w:t>The system runs an applicant-burden critique on the draft and flags vague criteria and over-demanding evidence asks.</w:t>
      </w:r>
    </w:p>
    <w:p>
      <w:pPr>
        <w:spacing w:after="40"/>
        <w:ind w:left="432"/>
      </w:pPr>
      <w:r>
        <w:rPr>
          <w:rFonts w:ascii="Calibri" w:hAnsi="Calibri"/>
          <w:b/>
          <w:sz w:val="20"/>
        </w:rPr>
        <w:t xml:space="preserve">4.  </w:t>
      </w:r>
      <w:r>
        <w:rPr>
          <w:rFonts w:ascii="Calibri" w:hAnsi="Calibri"/>
          <w:sz w:val="20"/>
        </w:rPr>
        <w:t>The system runs a median-NGO preview and identifies criteria that may not discriminate well across applicants.</w:t>
      </w:r>
    </w:p>
    <w:p>
      <w:pPr>
        <w:spacing w:after="40"/>
        <w:ind w:left="432"/>
      </w:pPr>
      <w:r>
        <w:rPr>
          <w:rFonts w:ascii="Calibri" w:hAnsi="Calibri"/>
          <w:b/>
          <w:sz w:val="20"/>
        </w:rPr>
        <w:t xml:space="preserve">5.  </w:t>
      </w:r>
      <w:r>
        <w:rPr>
          <w:rFonts w:ascii="Calibri" w:hAnsi="Calibri"/>
          <w:sz w:val="20"/>
        </w:rPr>
        <w:t>Donor refines the rubric, eligibility, and document requirements based on the system's feedback.</w:t>
      </w:r>
    </w:p>
    <w:p>
      <w:pPr>
        <w:spacing w:after="40"/>
        <w:ind w:left="432"/>
      </w:pPr>
      <w:r>
        <w:rPr>
          <w:rFonts w:ascii="Calibri" w:hAnsi="Calibri"/>
          <w:b/>
          <w:sz w:val="20"/>
        </w:rPr>
        <w:t xml:space="preserve">6.  </w:t>
      </w:r>
      <w:r>
        <w:rPr>
          <w:rFonts w:ascii="Calibri" w:hAnsi="Calibri"/>
          <w:sz w:val="20"/>
        </w:rPr>
        <w:t>Donor publishes the grant; the system transitions it from draft to open and notifies matching NGOs.</w:t>
      </w:r>
    </w:p>
    <w:p/>
    <w:p>
      <w:pPr>
        <w:pStyle w:val="Heading2"/>
      </w:pPr>
      <w:r>
        <w:rPr>
          <w:rFonts w:ascii="Calibri" w:hAnsi="Calibri"/>
          <w:color w:val="1B3A5C"/>
          <w:sz w:val="26"/>
        </w:rPr>
        <w:t>UC-002: NGO completes capacity passport</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NGO</w:t>
            </w:r>
          </w:p>
        </w:tc>
        <w:tc>
          <w:tcPr>
            <w:tcW w:type="dxa" w:w="3888"/>
            <w:shd w:fill="F2F6FA"/>
          </w:tcPr>
          <w:p>
            <w:r/>
            <w:r>
              <w:rPr>
                <w:rFonts w:ascii="Calibri" w:hAnsi="Calibri"/>
                <w:sz w:val="18"/>
              </w:rPr>
              <w:t>NGO user is signed in with a registered organisation profile.</w:t>
            </w:r>
          </w:p>
        </w:tc>
        <w:tc>
          <w:tcPr>
            <w:tcW w:type="dxa" w:w="3888"/>
            <w:shd w:fill="F2F6FA"/>
          </w:tcPr>
          <w:p>
            <w:r/>
            <w:r>
              <w:rPr>
                <w:rFonts w:ascii="Calibri" w:hAnsi="Calibri"/>
                <w:sz w:val="18"/>
              </w:rPr>
              <w:t>NGO has a versioned capacity passport that can be passported to future applications.</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NGO opens the capacity assessment workspace and selects the Kuja framework as the baseline.</w:t>
      </w:r>
    </w:p>
    <w:p>
      <w:pPr>
        <w:spacing w:after="40"/>
        <w:ind w:left="432"/>
      </w:pPr>
      <w:r>
        <w:rPr>
          <w:rFonts w:ascii="Calibri" w:hAnsi="Calibri"/>
          <w:b/>
          <w:sz w:val="20"/>
        </w:rPr>
        <w:t xml:space="preserve">2.  </w:t>
      </w:r>
      <w:r>
        <w:rPr>
          <w:rFonts w:ascii="Calibri" w:hAnsi="Calibri"/>
          <w:sz w:val="20"/>
        </w:rPr>
        <w:t>The system drafts initial responses for each question by drawing on the organisation profile, uploaded documents, and organisational memory; each draft is shown with its source.</w:t>
      </w:r>
    </w:p>
    <w:p>
      <w:pPr>
        <w:spacing w:after="40"/>
        <w:ind w:left="432"/>
      </w:pPr>
      <w:r>
        <w:rPr>
          <w:rFonts w:ascii="Calibri" w:hAnsi="Calibri"/>
          <w:b/>
          <w:sz w:val="20"/>
        </w:rPr>
        <w:t xml:space="preserve">3.  </w:t>
      </w:r>
      <w:r>
        <w:rPr>
          <w:rFonts w:ascii="Calibri" w:hAnsi="Calibri"/>
          <w:sz w:val="20"/>
        </w:rPr>
        <w:t>NGO refines responses, uploads supporting evidence, and submits the assessment.</w:t>
      </w:r>
    </w:p>
    <w:p>
      <w:pPr>
        <w:spacing w:after="40"/>
        <w:ind w:left="432"/>
      </w:pPr>
      <w:r>
        <w:rPr>
          <w:rFonts w:ascii="Calibri" w:hAnsi="Calibri"/>
          <w:b/>
          <w:sz w:val="20"/>
        </w:rPr>
        <w:t xml:space="preserve">4.  </w:t>
      </w:r>
      <w:r>
        <w:rPr>
          <w:rFonts w:ascii="Calibri" w:hAnsi="Calibri"/>
          <w:sz w:val="20"/>
        </w:rPr>
        <w:t>The system scores the assessment against the framework rubric and surfaces gaps where evidence is missing or weak.</w:t>
      </w:r>
    </w:p>
    <w:p>
      <w:pPr>
        <w:spacing w:after="40"/>
        <w:ind w:left="432"/>
      </w:pPr>
      <w:r>
        <w:rPr>
          <w:rFonts w:ascii="Calibri" w:hAnsi="Calibri"/>
          <w:b/>
          <w:sz w:val="20"/>
        </w:rPr>
        <w:t xml:space="preserve">5.  </w:t>
      </w:r>
      <w:r>
        <w:rPr>
          <w:rFonts w:ascii="Calibri" w:hAnsi="Calibri"/>
          <w:sz w:val="20"/>
        </w:rPr>
        <w:t>The completed assessment is stored as part of the NGO's capacity passport, attached to the organisation profile.</w:t>
      </w:r>
    </w:p>
    <w:p/>
    <w:p>
      <w:pPr>
        <w:pStyle w:val="Heading2"/>
      </w:pPr>
      <w:r>
        <w:rPr>
          <w:rFonts w:ascii="Calibri" w:hAnsi="Calibri"/>
          <w:color w:val="1B3A5C"/>
          <w:sz w:val="26"/>
        </w:rPr>
        <w:t>UC-003: NGO passports the capacity assessment to a new framework</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NGO</w:t>
            </w:r>
          </w:p>
        </w:tc>
        <w:tc>
          <w:tcPr>
            <w:tcW w:type="dxa" w:w="3888"/>
            <w:shd w:fill="F2F6FA"/>
          </w:tcPr>
          <w:p>
            <w:r/>
            <w:r>
              <w:rPr>
                <w:rFonts w:ascii="Calibri" w:hAnsi="Calibri"/>
                <w:sz w:val="18"/>
              </w:rPr>
              <w:t>NGO has a completed Kuja capacity passport. Applies to a grant requiring a different framework.</w:t>
            </w:r>
          </w:p>
        </w:tc>
        <w:tc>
          <w:tcPr>
            <w:tcW w:type="dxa" w:w="3888"/>
            <w:shd w:fill="F2F6FA"/>
          </w:tcPr>
          <w:p>
            <w:r/>
            <w:r>
              <w:rPr>
                <w:rFonts w:ascii="Calibri" w:hAnsi="Calibri"/>
                <w:sz w:val="18"/>
              </w:rPr>
              <w:t>Application's capacity section is complete; the NGO's effort is bounded by review rather than re-entry.</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NGO opens the application and reaches the capacity section.</w:t>
      </w:r>
    </w:p>
    <w:p>
      <w:pPr>
        <w:spacing w:after="40"/>
        <w:ind w:left="432"/>
      </w:pPr>
      <w:r>
        <w:rPr>
          <w:rFonts w:ascii="Calibri" w:hAnsi="Calibri"/>
          <w:b/>
          <w:sz w:val="20"/>
        </w:rPr>
        <w:t xml:space="preserve">2.  </w:t>
      </w:r>
      <w:r>
        <w:rPr>
          <w:rFonts w:ascii="Calibri" w:hAnsi="Calibri"/>
          <w:sz w:val="20"/>
        </w:rPr>
        <w:t>The system detects the target framework and prefills responses from the passport using maintained translation tables.</w:t>
      </w:r>
    </w:p>
    <w:p>
      <w:pPr>
        <w:spacing w:after="40"/>
        <w:ind w:left="432"/>
      </w:pPr>
      <w:r>
        <w:rPr>
          <w:rFonts w:ascii="Calibri" w:hAnsi="Calibri"/>
          <w:b/>
          <w:sz w:val="20"/>
        </w:rPr>
        <w:t xml:space="preserve">3.  </w:t>
      </w:r>
      <w:r>
        <w:rPr>
          <w:rFonts w:ascii="Calibri" w:hAnsi="Calibri"/>
          <w:sz w:val="20"/>
        </w:rPr>
        <w:t>Where no curated mapping exists the system uses AI to propose a mapping and flags it for the NGO's confirmation.</w:t>
      </w:r>
    </w:p>
    <w:p>
      <w:pPr>
        <w:spacing w:after="40"/>
        <w:ind w:left="432"/>
      </w:pPr>
      <w:r>
        <w:rPr>
          <w:rFonts w:ascii="Calibri" w:hAnsi="Calibri"/>
          <w:b/>
          <w:sz w:val="20"/>
        </w:rPr>
        <w:t xml:space="preserve">4.  </w:t>
      </w:r>
      <w:r>
        <w:rPr>
          <w:rFonts w:ascii="Calibri" w:hAnsi="Calibri"/>
          <w:sz w:val="20"/>
        </w:rPr>
        <w:t>Each prefilled response is annotated with provenance showing the original passport answer, framework, and date.</w:t>
      </w:r>
    </w:p>
    <w:p>
      <w:pPr>
        <w:spacing w:after="40"/>
        <w:ind w:left="432"/>
      </w:pPr>
      <w:r>
        <w:rPr>
          <w:rFonts w:ascii="Calibri" w:hAnsi="Calibri"/>
          <w:b/>
          <w:sz w:val="20"/>
        </w:rPr>
        <w:t xml:space="preserve">5.  </w:t>
      </w:r>
      <w:r>
        <w:rPr>
          <w:rFonts w:ascii="Calibri" w:hAnsi="Calibri"/>
          <w:sz w:val="20"/>
        </w:rPr>
        <w:t>NGO reviews, refines, and submits the assessment portion of the application.</w:t>
      </w:r>
    </w:p>
    <w:p/>
    <w:p>
      <w:pPr>
        <w:pStyle w:val="Heading2"/>
      </w:pPr>
      <w:r>
        <w:rPr>
          <w:rFonts w:ascii="Calibri" w:hAnsi="Calibri"/>
          <w:color w:val="1B3A5C"/>
          <w:sz w:val="26"/>
        </w:rPr>
        <w:t>UC-004: Donor publishes a grant requiring a custom capacity framework</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Donor</w:t>
            </w:r>
          </w:p>
        </w:tc>
        <w:tc>
          <w:tcPr>
            <w:tcW w:type="dxa" w:w="3888"/>
            <w:shd w:fill="F2F6FA"/>
          </w:tcPr>
          <w:p>
            <w:r/>
            <w:r>
              <w:rPr>
                <w:rFonts w:ascii="Calibri" w:hAnsi="Calibri"/>
                <w:sz w:val="18"/>
              </w:rPr>
              <w:t>Donor needs a framework tailored to their portfolio.</w:t>
            </w:r>
          </w:p>
        </w:tc>
        <w:tc>
          <w:tcPr>
            <w:tcW w:type="dxa" w:w="3888"/>
            <w:shd w:fill="F2F6FA"/>
          </w:tcPr>
          <w:p>
            <w:r/>
            <w:r>
              <w:rPr>
                <w:rFonts w:ascii="Calibri" w:hAnsi="Calibri"/>
                <w:sz w:val="18"/>
              </w:rPr>
              <w:t>Grant carries a donor-specific framework; applicants face the donor's questions but with passport prefill where possible.</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Donor opens the custom framework editor.</w:t>
      </w:r>
    </w:p>
    <w:p>
      <w:pPr>
        <w:spacing w:after="40"/>
        <w:ind w:left="432"/>
      </w:pPr>
      <w:r>
        <w:rPr>
          <w:rFonts w:ascii="Calibri" w:hAnsi="Calibri"/>
          <w:b/>
          <w:sz w:val="20"/>
        </w:rPr>
        <w:t xml:space="preserve">2.  </w:t>
      </w:r>
      <w:r>
        <w:rPr>
          <w:rFonts w:ascii="Calibri" w:hAnsi="Calibri"/>
          <w:sz w:val="20"/>
        </w:rPr>
        <w:t>The system proposes a complete question bank, weights, evidence requirements, and scoring rubric derived from the grant's focus area.</w:t>
      </w:r>
    </w:p>
    <w:p>
      <w:pPr>
        <w:spacing w:after="40"/>
        <w:ind w:left="432"/>
      </w:pPr>
      <w:r>
        <w:rPr>
          <w:rFonts w:ascii="Calibri" w:hAnsi="Calibri"/>
          <w:b/>
          <w:sz w:val="20"/>
        </w:rPr>
        <w:t xml:space="preserve">3.  </w:t>
      </w:r>
      <w:r>
        <w:rPr>
          <w:rFonts w:ascii="Calibri" w:hAnsi="Calibri"/>
          <w:sz w:val="20"/>
        </w:rPr>
        <w:t>Donor refines questions, adjusts weights, and saves the framework.</w:t>
      </w:r>
    </w:p>
    <w:p>
      <w:pPr>
        <w:spacing w:after="40"/>
        <w:ind w:left="432"/>
      </w:pPr>
      <w:r>
        <w:rPr>
          <w:rFonts w:ascii="Calibri" w:hAnsi="Calibri"/>
          <w:b/>
          <w:sz w:val="20"/>
        </w:rPr>
        <w:t xml:space="preserve">4.  </w:t>
      </w:r>
      <w:r>
        <w:rPr>
          <w:rFonts w:ascii="Calibri" w:hAnsi="Calibri"/>
          <w:sz w:val="20"/>
        </w:rPr>
        <w:t>Donor attaches the framework to the grant.</w:t>
      </w:r>
    </w:p>
    <w:p>
      <w:pPr>
        <w:spacing w:after="40"/>
        <w:ind w:left="432"/>
      </w:pPr>
      <w:r>
        <w:rPr>
          <w:rFonts w:ascii="Calibri" w:hAnsi="Calibri"/>
          <w:b/>
          <w:sz w:val="20"/>
        </w:rPr>
        <w:t xml:space="preserve">5.  </w:t>
      </w:r>
      <w:r>
        <w:rPr>
          <w:rFonts w:ascii="Calibri" w:hAnsi="Calibri"/>
          <w:sz w:val="20"/>
        </w:rPr>
        <w:t>On submission, NGOs see the custom framework prefilled where their passport answers map to its questions, and clearly distinguished where they do not.</w:t>
      </w:r>
    </w:p>
    <w:p/>
    <w:p>
      <w:pPr>
        <w:pStyle w:val="Heading2"/>
      </w:pPr>
      <w:r>
        <w:rPr>
          <w:rFonts w:ascii="Calibri" w:hAnsi="Calibri"/>
          <w:color w:val="1B3A5C"/>
          <w:sz w:val="26"/>
        </w:rPr>
        <w:t>UC-005: NGO drafts and submits an application</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NGO</w:t>
            </w:r>
          </w:p>
        </w:tc>
        <w:tc>
          <w:tcPr>
            <w:tcW w:type="dxa" w:w="3888"/>
            <w:shd w:fill="F2F6FA"/>
          </w:tcPr>
          <w:p>
            <w:r/>
            <w:r>
              <w:rPr>
                <w:rFonts w:ascii="Calibri" w:hAnsi="Calibri"/>
                <w:sz w:val="18"/>
              </w:rPr>
              <w:t>Open grant matches the NGO's profile.</w:t>
            </w:r>
          </w:p>
        </w:tc>
        <w:tc>
          <w:tcPr>
            <w:tcW w:type="dxa" w:w="3888"/>
            <w:shd w:fill="F2F6FA"/>
          </w:tcPr>
          <w:p>
            <w:r/>
            <w:r>
              <w:rPr>
                <w:rFonts w:ascii="Calibri" w:hAnsi="Calibri"/>
                <w:sz w:val="18"/>
              </w:rPr>
              <w:t>Application is submitted with traceable provenance on every drafted claim and a clean pre-flight check.</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NGO opens the grant and views the match score with top strength and top blocker.</w:t>
      </w:r>
    </w:p>
    <w:p>
      <w:pPr>
        <w:spacing w:after="40"/>
        <w:ind w:left="432"/>
      </w:pPr>
      <w:r>
        <w:rPr>
          <w:rFonts w:ascii="Calibri" w:hAnsi="Calibri"/>
          <w:b/>
          <w:sz w:val="20"/>
        </w:rPr>
        <w:t xml:space="preserve">2.  </w:t>
      </w:r>
      <w:r>
        <w:rPr>
          <w:rFonts w:ascii="Calibri" w:hAnsi="Calibri"/>
          <w:sz w:val="20"/>
        </w:rPr>
        <w:t>NGO opens the application wizard; the system prefills eligibility from the organisation profile and drafts each criterion response from the passport, prior applications, uploaded documents, and organisational memory.</w:t>
      </w:r>
    </w:p>
    <w:p>
      <w:pPr>
        <w:spacing w:after="40"/>
        <w:ind w:left="432"/>
      </w:pPr>
      <w:r>
        <w:rPr>
          <w:rFonts w:ascii="Calibri" w:hAnsi="Calibri"/>
          <w:b/>
          <w:sz w:val="20"/>
        </w:rPr>
        <w:t xml:space="preserve">3.  </w:t>
      </w:r>
      <w:r>
        <w:rPr>
          <w:rFonts w:ascii="Calibri" w:hAnsi="Calibri"/>
          <w:sz w:val="20"/>
        </w:rPr>
        <w:t>NGO refines responses; the system surfaces inline coaching where a response reads generic or makes an unsupported claim.</w:t>
      </w:r>
    </w:p>
    <w:p>
      <w:pPr>
        <w:spacing w:after="40"/>
        <w:ind w:left="432"/>
      </w:pPr>
      <w:r>
        <w:rPr>
          <w:rFonts w:ascii="Calibri" w:hAnsi="Calibri"/>
          <w:b/>
          <w:sz w:val="20"/>
        </w:rPr>
        <w:t xml:space="preserve">4.  </w:t>
      </w:r>
      <w:r>
        <w:rPr>
          <w:rFonts w:ascii="Calibri" w:hAnsi="Calibri"/>
          <w:sz w:val="20"/>
        </w:rPr>
        <w:t>NGO uploads required documents; the system extracts text, analyses against donor requirements, and scores each document.</w:t>
      </w:r>
    </w:p>
    <w:p>
      <w:pPr>
        <w:spacing w:after="40"/>
        <w:ind w:left="432"/>
      </w:pPr>
      <w:r>
        <w:rPr>
          <w:rFonts w:ascii="Calibri" w:hAnsi="Calibri"/>
          <w:b/>
          <w:sz w:val="20"/>
        </w:rPr>
        <w:t xml:space="preserve">5.  </w:t>
      </w:r>
      <w:r>
        <w:rPr>
          <w:rFonts w:ascii="Calibri" w:hAnsi="Calibri"/>
          <w:sz w:val="20"/>
        </w:rPr>
        <w:t>NGO runs the pre-submission readiness check; the system identifies missing evidence, overclaims, and weak passages, each with a one-click rewrite.</w:t>
      </w:r>
    </w:p>
    <w:p>
      <w:pPr>
        <w:spacing w:after="40"/>
        <w:ind w:left="432"/>
      </w:pPr>
      <w:r>
        <w:rPr>
          <w:rFonts w:ascii="Calibri" w:hAnsi="Calibri"/>
          <w:b/>
          <w:sz w:val="20"/>
        </w:rPr>
        <w:t xml:space="preserve">6.  </w:t>
      </w:r>
      <w:r>
        <w:rPr>
          <w:rFonts w:ascii="Calibri" w:hAnsi="Calibri"/>
          <w:sz w:val="20"/>
        </w:rPr>
        <w:t>NGO addresses the findings and submits; the system runs a compliance pre-empt scan and confirms no blockers.</w:t>
      </w:r>
    </w:p>
    <w:p>
      <w:pPr>
        <w:spacing w:after="40"/>
        <w:ind w:left="432"/>
      </w:pPr>
      <w:r>
        <w:rPr>
          <w:rFonts w:ascii="Calibri" w:hAnsi="Calibri"/>
          <w:b/>
          <w:sz w:val="20"/>
        </w:rPr>
        <w:t xml:space="preserve">7.  </w:t>
      </w:r>
      <w:r>
        <w:rPr>
          <w:rFonts w:ascii="Calibri" w:hAnsi="Calibri"/>
          <w:sz w:val="20"/>
        </w:rPr>
        <w:t>Application transitions from draft to submitted; the donor is notified.</w:t>
      </w:r>
    </w:p>
    <w:p/>
    <w:p>
      <w:pPr>
        <w:pStyle w:val="Heading2"/>
      </w:pPr>
      <w:r>
        <w:rPr>
          <w:rFonts w:ascii="Calibri" w:hAnsi="Calibri"/>
          <w:color w:val="1B3A5C"/>
          <w:sz w:val="26"/>
        </w:rPr>
        <w:t>UC-006: Reviewer evaluates an application</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Reviewer</w:t>
            </w:r>
          </w:p>
        </w:tc>
        <w:tc>
          <w:tcPr>
            <w:tcW w:type="dxa" w:w="3888"/>
            <w:shd w:fill="F2F6FA"/>
          </w:tcPr>
          <w:p>
            <w:r/>
            <w:r>
              <w:rPr>
                <w:rFonts w:ascii="Calibri" w:hAnsi="Calibri"/>
                <w:sz w:val="18"/>
              </w:rPr>
              <w:t>Application has been submitted and assigned to the reviewer.</w:t>
            </w:r>
          </w:p>
        </w:tc>
        <w:tc>
          <w:tcPr>
            <w:tcW w:type="dxa" w:w="3888"/>
            <w:shd w:fill="F2F6FA"/>
          </w:tcPr>
          <w:p>
            <w:r/>
            <w:r>
              <w:rPr>
                <w:rFonts w:ascii="Calibri" w:hAnsi="Calibri"/>
                <w:sz w:val="18"/>
              </w:rPr>
              <w:t>Application is scored with cited evidence; the reviewer's rationale is complete and defensible.</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Reviewer opens the application; the system generates a one-screen summary with who the NGO is, what they propose, why-strong and why-weak summaries, and a draft rationale.</w:t>
      </w:r>
    </w:p>
    <w:p>
      <w:pPr>
        <w:spacing w:after="40"/>
        <w:ind w:left="432"/>
      </w:pPr>
      <w:r>
        <w:rPr>
          <w:rFonts w:ascii="Calibri" w:hAnsi="Calibri"/>
          <w:b/>
          <w:sz w:val="20"/>
        </w:rPr>
        <w:t xml:space="preserve">2.  </w:t>
      </w:r>
      <w:r>
        <w:rPr>
          <w:rFonts w:ascii="Calibri" w:hAnsi="Calibri"/>
          <w:sz w:val="20"/>
        </w:rPr>
        <w:t>Reviewer opens the evidence extraction view; the system has pulled verbatim supporting, contradicting, and neutral quotes per criterion.</w:t>
      </w:r>
    </w:p>
    <w:p>
      <w:pPr>
        <w:spacing w:after="40"/>
        <w:ind w:left="432"/>
      </w:pPr>
      <w:r>
        <w:rPr>
          <w:rFonts w:ascii="Calibri" w:hAnsi="Calibri"/>
          <w:b/>
          <w:sz w:val="20"/>
        </w:rPr>
        <w:t xml:space="preserve">3.  </w:t>
      </w:r>
      <w:r>
        <w:rPr>
          <w:rFonts w:ascii="Calibri" w:hAnsi="Calibri"/>
          <w:sz w:val="20"/>
        </w:rPr>
        <w:t>Reviewer scores each criterion, citing pulled evidence; the system records each score and rationale.</w:t>
      </w:r>
    </w:p>
    <w:p>
      <w:pPr>
        <w:spacing w:after="40"/>
        <w:ind w:left="432"/>
      </w:pPr>
      <w:r>
        <w:rPr>
          <w:rFonts w:ascii="Calibri" w:hAnsi="Calibri"/>
          <w:b/>
          <w:sz w:val="20"/>
        </w:rPr>
        <w:t xml:space="preserve">4.  </w:t>
      </w:r>
      <w:r>
        <w:rPr>
          <w:rFonts w:ascii="Calibri" w:hAnsi="Calibri"/>
          <w:sz w:val="20"/>
        </w:rPr>
        <w:t>Reviewer submits the score; the system aggregates against the rubric weights and produces a final AI-reference score for comparison.</w:t>
      </w:r>
    </w:p>
    <w:p/>
    <w:p>
      <w:pPr>
        <w:pStyle w:val="Heading2"/>
      </w:pPr>
      <w:r>
        <w:rPr>
          <w:rFonts w:ascii="Calibri" w:hAnsi="Calibri"/>
          <w:color w:val="1B3A5C"/>
          <w:sz w:val="26"/>
        </w:rPr>
        <w:t>UC-007: Donor decides on an application</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Donor</w:t>
            </w:r>
          </w:p>
        </w:tc>
        <w:tc>
          <w:tcPr>
            <w:tcW w:type="dxa" w:w="3888"/>
            <w:shd w:fill="F2F6FA"/>
          </w:tcPr>
          <w:p>
            <w:r/>
            <w:r>
              <w:rPr>
                <w:rFonts w:ascii="Calibri" w:hAnsi="Calibri"/>
                <w:sz w:val="18"/>
              </w:rPr>
              <w:t>Application has been scored by the assigned reviewer.</w:t>
            </w:r>
          </w:p>
        </w:tc>
        <w:tc>
          <w:tcPr>
            <w:tcW w:type="dxa" w:w="3888"/>
            <w:shd w:fill="F2F6FA"/>
          </w:tcPr>
          <w:p>
            <w:r/>
            <w:r>
              <w:rPr>
                <w:rFonts w:ascii="Calibri" w:hAnsi="Calibri"/>
                <w:sz w:val="18"/>
              </w:rPr>
              <w:t>Application has a final decision with audit trail; on acceptance the grant becomes a live tracked engagement.</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Donor opens the application; the system presents the reviewer's score, the AI summary, the documents with their analysis, the applicant's compliance status, and the registry verification status.</w:t>
      </w:r>
    </w:p>
    <w:p>
      <w:pPr>
        <w:spacing w:after="40"/>
        <w:ind w:left="432"/>
      </w:pPr>
      <w:r>
        <w:rPr>
          <w:rFonts w:ascii="Calibri" w:hAnsi="Calibri"/>
          <w:b/>
          <w:sz w:val="20"/>
        </w:rPr>
        <w:t xml:space="preserve">2.  </w:t>
      </w:r>
      <w:r>
        <w:rPr>
          <w:rFonts w:ascii="Calibri" w:hAnsi="Calibri"/>
          <w:sz w:val="20"/>
        </w:rPr>
        <w:t>Donor reviews and either accepts, requests revision, or rejects.</w:t>
      </w:r>
    </w:p>
    <w:p>
      <w:pPr>
        <w:spacing w:after="40"/>
        <w:ind w:left="432"/>
      </w:pPr>
      <w:r>
        <w:rPr>
          <w:rFonts w:ascii="Calibri" w:hAnsi="Calibri"/>
          <w:b/>
          <w:sz w:val="20"/>
        </w:rPr>
        <w:t xml:space="preserve">3.  </w:t>
      </w:r>
      <w:r>
        <w:rPr>
          <w:rFonts w:ascii="Calibri" w:hAnsi="Calibri"/>
          <w:sz w:val="20"/>
        </w:rPr>
        <w:t>On rejection or revision, the donor adds a structured rationale that becomes part of the audit chain and is shared with the applicant.</w:t>
      </w:r>
    </w:p>
    <w:p>
      <w:pPr>
        <w:spacing w:after="40"/>
        <w:ind w:left="432"/>
      </w:pPr>
      <w:r>
        <w:rPr>
          <w:rFonts w:ascii="Calibri" w:hAnsi="Calibri"/>
          <w:b/>
          <w:sz w:val="20"/>
        </w:rPr>
        <w:t xml:space="preserve">4.  </w:t>
      </w:r>
      <w:r>
        <w:rPr>
          <w:rFonts w:ascii="Calibri" w:hAnsi="Calibri"/>
          <w:sz w:val="20"/>
        </w:rPr>
        <w:t>On acceptance, the system transitions the grant to awarded and initiates the contracting workflow.</w:t>
      </w:r>
    </w:p>
    <w:p/>
    <w:p>
      <w:pPr>
        <w:pStyle w:val="Heading2"/>
      </w:pPr>
      <w:r>
        <w:rPr>
          <w:rFonts w:ascii="Calibri" w:hAnsi="Calibri"/>
          <w:color w:val="1B3A5C"/>
          <w:sz w:val="26"/>
        </w:rPr>
        <w:t>UC-008: NGO submits a progress report</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NGO</w:t>
            </w:r>
          </w:p>
        </w:tc>
        <w:tc>
          <w:tcPr>
            <w:tcW w:type="dxa" w:w="3888"/>
            <w:shd w:fill="F2F6FA"/>
          </w:tcPr>
          <w:p>
            <w:r/>
            <w:r>
              <w:rPr>
                <w:rFonts w:ascii="Calibri" w:hAnsi="Calibri"/>
                <w:sz w:val="18"/>
              </w:rPr>
              <w:t>Active grant has a reporting deadline approaching.</w:t>
            </w:r>
          </w:p>
        </w:tc>
        <w:tc>
          <w:tcPr>
            <w:tcW w:type="dxa" w:w="3888"/>
            <w:shd w:fill="F2F6FA"/>
          </w:tcPr>
          <w:p>
            <w:r/>
            <w:r>
              <w:rPr>
                <w:rFonts w:ascii="Calibri" w:hAnsi="Calibri"/>
                <w:sz w:val="18"/>
              </w:rPr>
              <w:t>Report is submitted with strong evidence coverage; donor is notified.</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NGO opens the reporting workspace; the system has drafted a first-pass narrative from the prior report and the indicator data the NGO has captured.</w:t>
      </w:r>
    </w:p>
    <w:p>
      <w:pPr>
        <w:spacing w:after="40"/>
        <w:ind w:left="432"/>
      </w:pPr>
      <w:r>
        <w:rPr>
          <w:rFonts w:ascii="Calibri" w:hAnsi="Calibri"/>
          <w:b/>
          <w:sz w:val="20"/>
        </w:rPr>
        <w:t xml:space="preserve">2.  </w:t>
      </w:r>
      <w:r>
        <w:rPr>
          <w:rFonts w:ascii="Calibri" w:hAnsi="Calibri"/>
          <w:sz w:val="20"/>
        </w:rPr>
        <w:t>NGO refines the narrative and uploads supporting evidence (photographs, beneficiary data, financial statements).</w:t>
      </w:r>
    </w:p>
    <w:p>
      <w:pPr>
        <w:spacing w:after="40"/>
        <w:ind w:left="432"/>
      </w:pPr>
      <w:r>
        <w:rPr>
          <w:rFonts w:ascii="Calibri" w:hAnsi="Calibri"/>
          <w:b/>
          <w:sz w:val="20"/>
        </w:rPr>
        <w:t xml:space="preserve">3.  </w:t>
      </w:r>
      <w:r>
        <w:rPr>
          <w:rFonts w:ascii="Calibri" w:hAnsi="Calibri"/>
          <w:sz w:val="20"/>
        </w:rPr>
        <w:t>NGO runs the report pre-flight; the system identifies vague claims, unexplained budget variance, and missing evidence, each mapped to the donor concern it resolves.</w:t>
      </w:r>
    </w:p>
    <w:p>
      <w:pPr>
        <w:spacing w:after="40"/>
        <w:ind w:left="432"/>
      </w:pPr>
      <w:r>
        <w:rPr>
          <w:rFonts w:ascii="Calibri" w:hAnsi="Calibri"/>
          <w:b/>
          <w:sz w:val="20"/>
        </w:rPr>
        <w:t xml:space="preserve">4.  </w:t>
      </w:r>
      <w:r>
        <w:rPr>
          <w:rFonts w:ascii="Calibri" w:hAnsi="Calibri"/>
          <w:sz w:val="20"/>
        </w:rPr>
        <w:t>NGO addresses the findings and submits the report.</w:t>
      </w:r>
    </w:p>
    <w:p>
      <w:pPr>
        <w:spacing w:after="40"/>
        <w:ind w:left="432"/>
      </w:pPr>
      <w:r>
        <w:rPr>
          <w:rFonts w:ascii="Calibri" w:hAnsi="Calibri"/>
          <w:b/>
          <w:sz w:val="20"/>
        </w:rPr>
        <w:t xml:space="preserve">5.  </w:t>
      </w:r>
      <w:r>
        <w:rPr>
          <w:rFonts w:ascii="Calibri" w:hAnsi="Calibri"/>
          <w:sz w:val="20"/>
        </w:rPr>
        <w:t>The system computes a compliance score for the report and updates the grant's compliance health.</w:t>
      </w:r>
    </w:p>
    <w:p/>
    <w:p>
      <w:pPr>
        <w:pStyle w:val="Heading2"/>
      </w:pPr>
      <w:r>
        <w:rPr>
          <w:rFonts w:ascii="Calibri" w:hAnsi="Calibri"/>
          <w:color w:val="1B3A5C"/>
          <w:sz w:val="26"/>
        </w:rPr>
        <w:t>UC-009: Donor monitors compliance health and trajectory</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Donor</w:t>
            </w:r>
          </w:p>
        </w:tc>
        <w:tc>
          <w:tcPr>
            <w:tcW w:type="dxa" w:w="3888"/>
            <w:shd w:fill="F2F6FA"/>
          </w:tcPr>
          <w:p>
            <w:r/>
            <w:r>
              <w:rPr>
                <w:rFonts w:ascii="Calibri" w:hAnsi="Calibri"/>
                <w:sz w:val="18"/>
              </w:rPr>
              <w:t>Donor has one or more active grants.</w:t>
            </w:r>
          </w:p>
        </w:tc>
        <w:tc>
          <w:tcPr>
            <w:tcW w:type="dxa" w:w="3888"/>
            <w:shd w:fill="F2F6FA"/>
          </w:tcPr>
          <w:p>
            <w:r/>
            <w:r>
              <w:rPr>
                <w:rFonts w:ascii="Calibri" w:hAnsi="Calibri"/>
                <w:sz w:val="18"/>
              </w:rPr>
              <w:t>At-risk grants are actively managed before they slip; risks have owners and deadlines.</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Donor opens the compliance dashboard.</w:t>
      </w:r>
    </w:p>
    <w:p>
      <w:pPr>
        <w:spacing w:after="40"/>
        <w:ind w:left="432"/>
      </w:pPr>
      <w:r>
        <w:rPr>
          <w:rFonts w:ascii="Calibri" w:hAnsi="Calibri"/>
          <w:b/>
          <w:sz w:val="20"/>
        </w:rPr>
        <w:t xml:space="preserve">2.  </w:t>
      </w:r>
      <w:r>
        <w:rPr>
          <w:rFonts w:ascii="Calibri" w:hAnsi="Calibri"/>
          <w:sz w:val="20"/>
        </w:rPr>
        <w:t>The system displays each grant with its 4-pillar health score, compliance band, and (where applicable) a slips badge predicting how soon the grant will drop below the at-risk threshold.</w:t>
      </w:r>
    </w:p>
    <w:p>
      <w:pPr>
        <w:spacing w:after="40"/>
        <w:ind w:left="432"/>
      </w:pPr>
      <w:r>
        <w:rPr>
          <w:rFonts w:ascii="Calibri" w:hAnsi="Calibri"/>
          <w:b/>
          <w:sz w:val="20"/>
        </w:rPr>
        <w:t xml:space="preserve">3.  </w:t>
      </w:r>
      <w:r>
        <w:rPr>
          <w:rFonts w:ascii="Calibri" w:hAnsi="Calibri"/>
          <w:sz w:val="20"/>
        </w:rPr>
        <w:t>Donor opens a slipping grant; the system shows the trajectory chart over the last 60 days and identifies which pillar is degrading.</w:t>
      </w:r>
    </w:p>
    <w:p>
      <w:pPr>
        <w:spacing w:after="40"/>
        <w:ind w:left="432"/>
      </w:pPr>
      <w:r>
        <w:rPr>
          <w:rFonts w:ascii="Calibri" w:hAnsi="Calibri"/>
          <w:b/>
          <w:sz w:val="20"/>
        </w:rPr>
        <w:t xml:space="preserve">4.  </w:t>
      </w:r>
      <w:r>
        <w:rPr>
          <w:rFonts w:ascii="Calibri" w:hAnsi="Calibri"/>
          <w:sz w:val="20"/>
        </w:rPr>
        <w:t>Donor raises a risk on the grant; the system creates a risk register entry with severity, title, and proposed owner.</w:t>
      </w:r>
    </w:p>
    <w:p>
      <w:pPr>
        <w:spacing w:after="40"/>
        <w:ind w:left="432"/>
      </w:pPr>
      <w:r>
        <w:rPr>
          <w:rFonts w:ascii="Calibri" w:hAnsi="Calibri"/>
          <w:b/>
          <w:sz w:val="20"/>
        </w:rPr>
        <w:t xml:space="preserve">5.  </w:t>
      </w:r>
      <w:r>
        <w:rPr>
          <w:rFonts w:ascii="Calibri" w:hAnsi="Calibri"/>
          <w:sz w:val="20"/>
        </w:rPr>
        <w:t>Donor assigns the risk to a programme officer with a due date.</w:t>
      </w:r>
    </w:p>
    <w:p>
      <w:pPr>
        <w:spacing w:after="40"/>
        <w:ind w:left="432"/>
      </w:pPr>
      <w:r>
        <w:rPr>
          <w:rFonts w:ascii="Calibri" w:hAnsi="Calibri"/>
          <w:b/>
          <w:sz w:val="20"/>
        </w:rPr>
        <w:t xml:space="preserve">6.  </w:t>
      </w:r>
      <w:r>
        <w:rPr>
          <w:rFonts w:ascii="Calibri" w:hAnsi="Calibri"/>
          <w:sz w:val="20"/>
        </w:rPr>
        <w:t>The system surfaces the risk on the donor's awaiting-response queue until it is mitigated or accepted.</w:t>
      </w:r>
    </w:p>
    <w:p/>
    <w:p>
      <w:pPr>
        <w:pStyle w:val="Heading2"/>
      </w:pPr>
      <w:r>
        <w:rPr>
          <w:rFonts w:ascii="Calibri" w:hAnsi="Calibri"/>
          <w:color w:val="1B3A5C"/>
          <w:sz w:val="26"/>
        </w:rPr>
        <w:t>UC-010: Donor and NGO collaborate on a clarification</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Donor and NGO</w:t>
            </w:r>
          </w:p>
        </w:tc>
        <w:tc>
          <w:tcPr>
            <w:tcW w:type="dxa" w:w="3888"/>
            <w:shd w:fill="F2F6FA"/>
          </w:tcPr>
          <w:p>
            <w:r/>
            <w:r>
              <w:rPr>
                <w:rFonts w:ascii="Calibri" w:hAnsi="Calibri"/>
                <w:sz w:val="18"/>
              </w:rPr>
              <w:t>Donor has a question about an application or report; NGO is reachable.</w:t>
            </w:r>
          </w:p>
        </w:tc>
        <w:tc>
          <w:tcPr>
            <w:tcW w:type="dxa" w:w="3888"/>
            <w:shd w:fill="F2F6FA"/>
          </w:tcPr>
          <w:p>
            <w:r/>
            <w:r>
              <w:rPr>
                <w:rFonts w:ascii="Calibri" w:hAnsi="Calibri"/>
                <w:sz w:val="18"/>
              </w:rPr>
              <w:t>Clarification is resolved without leaving the platform; the exchange is part of the record.</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Donor writes a structured comment on the application or report, @-mentioning the relevant NGO contact.</w:t>
      </w:r>
    </w:p>
    <w:p>
      <w:pPr>
        <w:spacing w:after="40"/>
        <w:ind w:left="432"/>
      </w:pPr>
      <w:r>
        <w:rPr>
          <w:rFonts w:ascii="Calibri" w:hAnsi="Calibri"/>
          <w:b/>
          <w:sz w:val="20"/>
        </w:rPr>
        <w:t xml:space="preserve">2.  </w:t>
      </w:r>
      <w:r>
        <w:rPr>
          <w:rFonts w:ascii="Calibri" w:hAnsi="Calibri"/>
          <w:sz w:val="20"/>
        </w:rPr>
        <w:t>The system raises an in-app notification and, if subscribed, a web push notification on the NGO contact's devices.</w:t>
      </w:r>
    </w:p>
    <w:p>
      <w:pPr>
        <w:spacing w:after="40"/>
        <w:ind w:left="432"/>
      </w:pPr>
      <w:r>
        <w:rPr>
          <w:rFonts w:ascii="Calibri" w:hAnsi="Calibri"/>
          <w:b/>
          <w:sz w:val="20"/>
        </w:rPr>
        <w:t xml:space="preserve">3.  </w:t>
      </w:r>
      <w:r>
        <w:rPr>
          <w:rFonts w:ascii="Calibri" w:hAnsi="Calibri"/>
          <w:sz w:val="20"/>
        </w:rPr>
        <w:t>NGO contact opens the comment in context and replies in the thread.</w:t>
      </w:r>
    </w:p>
    <w:p>
      <w:pPr>
        <w:spacing w:after="40"/>
        <w:ind w:left="432"/>
      </w:pPr>
      <w:r>
        <w:rPr>
          <w:rFonts w:ascii="Calibri" w:hAnsi="Calibri"/>
          <w:b/>
          <w:sz w:val="20"/>
        </w:rPr>
        <w:t xml:space="preserve">4.  </w:t>
      </w:r>
      <w:r>
        <w:rPr>
          <w:rFonts w:ascii="Calibri" w:hAnsi="Calibri"/>
          <w:sz w:val="20"/>
        </w:rPr>
        <w:t>The conversation persists with the entity, preserved for audit and review.</w:t>
      </w:r>
    </w:p>
    <w:p/>
    <w:p>
      <w:pPr>
        <w:pStyle w:val="Heading2"/>
      </w:pPr>
      <w:r>
        <w:rPr>
          <w:rFonts w:ascii="Calibri" w:hAnsi="Calibri"/>
          <w:color w:val="1B3A5C"/>
          <w:sz w:val="26"/>
        </w:rPr>
        <w:t>UC-011: Administrator handles a flagged sanctions match</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Administrator</w:t>
            </w:r>
          </w:p>
        </w:tc>
        <w:tc>
          <w:tcPr>
            <w:tcW w:type="dxa" w:w="3888"/>
            <w:shd w:fill="F2F6FA"/>
          </w:tcPr>
          <w:p>
            <w:r/>
            <w:r>
              <w:rPr>
                <w:rFonts w:ascii="Calibri" w:hAnsi="Calibri"/>
                <w:sz w:val="18"/>
              </w:rPr>
              <w:t>Sanctions screening has raised a new flag on an organisation with an active grant.</w:t>
            </w:r>
          </w:p>
        </w:tc>
        <w:tc>
          <w:tcPr>
            <w:tcW w:type="dxa" w:w="3888"/>
            <w:shd w:fill="F2F6FA"/>
          </w:tcPr>
          <w:p>
            <w:r/>
            <w:r>
              <w:rPr>
                <w:rFonts w:ascii="Calibri" w:hAnsi="Calibri"/>
                <w:sz w:val="18"/>
              </w:rPr>
              <w:t>Sanctions flag is resolved with a documented determination.</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Administrator receives a notification of the new flag.</w:t>
      </w:r>
    </w:p>
    <w:p>
      <w:pPr>
        <w:spacing w:after="40"/>
        <w:ind w:left="432"/>
      </w:pPr>
      <w:r>
        <w:rPr>
          <w:rFonts w:ascii="Calibri" w:hAnsi="Calibri"/>
          <w:b/>
          <w:sz w:val="20"/>
        </w:rPr>
        <w:t xml:space="preserve">2.  </w:t>
      </w:r>
      <w:r>
        <w:rPr>
          <w:rFonts w:ascii="Calibri" w:hAnsi="Calibri"/>
          <w:sz w:val="20"/>
        </w:rPr>
        <w:t>Administrator opens the organisation's compliance view; the system presents the matched entity, the screening source, and a plain-language explanation of the match.</w:t>
      </w:r>
    </w:p>
    <w:p>
      <w:pPr>
        <w:spacing w:after="40"/>
        <w:ind w:left="432"/>
      </w:pPr>
      <w:r>
        <w:rPr>
          <w:rFonts w:ascii="Calibri" w:hAnsi="Calibri"/>
          <w:b/>
          <w:sz w:val="20"/>
        </w:rPr>
        <w:t xml:space="preserve">3.  </w:t>
      </w:r>
      <w:r>
        <w:rPr>
          <w:rFonts w:ascii="Calibri" w:hAnsi="Calibri"/>
          <w:sz w:val="20"/>
        </w:rPr>
        <w:t>Administrator inspects the match against the organisation's known principals and beneficial owners.</w:t>
      </w:r>
    </w:p>
    <w:p>
      <w:pPr>
        <w:spacing w:after="40"/>
        <w:ind w:left="432"/>
      </w:pPr>
      <w:r>
        <w:rPr>
          <w:rFonts w:ascii="Calibri" w:hAnsi="Calibri"/>
          <w:b/>
          <w:sz w:val="20"/>
        </w:rPr>
        <w:t xml:space="preserve">4.  </w:t>
      </w:r>
      <w:r>
        <w:rPr>
          <w:rFonts w:ascii="Calibri" w:hAnsi="Calibri"/>
          <w:sz w:val="20"/>
        </w:rPr>
        <w:t>Administrator marks the match as a true positive (triggering account suspension) or a false positive (recording the rationale and continuing).</w:t>
      </w:r>
    </w:p>
    <w:p>
      <w:pPr>
        <w:spacing w:after="40"/>
        <w:ind w:left="432"/>
      </w:pPr>
      <w:r>
        <w:rPr>
          <w:rFonts w:ascii="Calibri" w:hAnsi="Calibri"/>
          <w:b/>
          <w:sz w:val="20"/>
        </w:rPr>
        <w:t xml:space="preserve">5.  </w:t>
      </w:r>
      <w:r>
        <w:rPr>
          <w:rFonts w:ascii="Calibri" w:hAnsi="Calibri"/>
          <w:sz w:val="20"/>
        </w:rPr>
        <w:t>The system records the determination in the audit chain.</w:t>
      </w:r>
    </w:p>
    <w:p/>
    <w:p>
      <w:pPr>
        <w:pStyle w:val="Heading2"/>
      </w:pPr>
      <w:r>
        <w:rPr>
          <w:rFonts w:ascii="Calibri" w:hAnsi="Calibri"/>
          <w:color w:val="1B3A5C"/>
          <w:sz w:val="26"/>
        </w:rPr>
        <w:t>UC-012: Administrator monitors AI surface health</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Administrator</w:t>
            </w:r>
          </w:p>
        </w:tc>
        <w:tc>
          <w:tcPr>
            <w:tcW w:type="dxa" w:w="3888"/>
            <w:shd w:fill="F2F6FA"/>
          </w:tcPr>
          <w:p>
            <w:r/>
            <w:r>
              <w:rPr>
                <w:rFonts w:ascii="Calibri" w:hAnsi="Calibri"/>
                <w:sz w:val="18"/>
              </w:rPr>
              <w:t>Daily scheduled probe has run; one flagship AI surface has reported failure.</w:t>
            </w:r>
          </w:p>
        </w:tc>
        <w:tc>
          <w:tcPr>
            <w:tcW w:type="dxa" w:w="3888"/>
            <w:shd w:fill="F2F6FA"/>
          </w:tcPr>
          <w:p>
            <w:r/>
            <w:r>
              <w:rPr>
                <w:rFonts w:ascii="Calibri" w:hAnsi="Calibri"/>
                <w:sz w:val="18"/>
              </w:rPr>
              <w:t>AI surface drift is detected and addressed before users encounter degraded behaviour.</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Administrator opens the system-health surface and sees the AI surface health row in warn state.</w:t>
      </w:r>
    </w:p>
    <w:p>
      <w:pPr>
        <w:spacing w:after="40"/>
        <w:ind w:left="432"/>
      </w:pPr>
      <w:r>
        <w:rPr>
          <w:rFonts w:ascii="Calibri" w:hAnsi="Calibri"/>
          <w:b/>
          <w:sz w:val="20"/>
        </w:rPr>
        <w:t xml:space="preserve">2.  </w:t>
      </w:r>
      <w:r>
        <w:rPr>
          <w:rFonts w:ascii="Calibri" w:hAnsi="Calibri"/>
          <w:sz w:val="20"/>
        </w:rPr>
        <w:t>Administrator opens the AI surface health detail; the system shows the failing surface, the latency observed, and the failure reason.</w:t>
      </w:r>
    </w:p>
    <w:p>
      <w:pPr>
        <w:spacing w:after="40"/>
        <w:ind w:left="432"/>
      </w:pPr>
      <w:r>
        <w:rPr>
          <w:rFonts w:ascii="Calibri" w:hAnsi="Calibri"/>
          <w:b/>
          <w:sz w:val="20"/>
        </w:rPr>
        <w:t xml:space="preserve">3.  </w:t>
      </w:r>
      <w:r>
        <w:rPr>
          <w:rFonts w:ascii="Calibri" w:hAnsi="Calibri"/>
          <w:sz w:val="20"/>
        </w:rPr>
        <w:t>Administrator investigates the cause (model availability, prompt drift, schema change).</w:t>
      </w:r>
    </w:p>
    <w:p>
      <w:pPr>
        <w:spacing w:after="40"/>
        <w:ind w:left="432"/>
      </w:pPr>
      <w:r>
        <w:rPr>
          <w:rFonts w:ascii="Calibri" w:hAnsi="Calibri"/>
          <w:b/>
          <w:sz w:val="20"/>
        </w:rPr>
        <w:t xml:space="preserve">4.  </w:t>
      </w:r>
      <w:r>
        <w:rPr>
          <w:rFonts w:ascii="Calibri" w:hAnsi="Calibri"/>
          <w:sz w:val="20"/>
        </w:rPr>
        <w:t>Once resolved, the next daily probe transitions the row back to ok and the administrator notification is cleared.</w:t>
      </w:r>
    </w:p>
    <w:p/>
    <w:p>
      <w:pPr>
        <w:pStyle w:val="Heading2"/>
      </w:pPr>
      <w:r>
        <w:rPr>
          <w:rFonts w:ascii="Calibri" w:hAnsi="Calibri"/>
          <w:color w:val="1B3A5C"/>
          <w:sz w:val="26"/>
        </w:rPr>
        <w:t>UC-013: Donor creates a grant by uploading an existing brief document</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Donor</w:t>
            </w:r>
          </w:p>
        </w:tc>
        <w:tc>
          <w:tcPr>
            <w:tcW w:type="dxa" w:w="3888"/>
            <w:shd w:fill="F2F6FA"/>
          </w:tcPr>
          <w:p>
            <w:r/>
            <w:r>
              <w:rPr>
                <w:rFonts w:ascii="Calibri" w:hAnsi="Calibri"/>
                <w:sz w:val="18"/>
              </w:rPr>
              <w:t>Donor has drafted a grant brief in Word and wants to publish it on the platform.</w:t>
            </w:r>
          </w:p>
        </w:tc>
        <w:tc>
          <w:tcPr>
            <w:tcW w:type="dxa" w:w="3888"/>
            <w:shd w:fill="F2F6FA"/>
          </w:tcPr>
          <w:p>
            <w:r/>
            <w:r>
              <w:rPr>
                <w:rFonts w:ascii="Calibri" w:hAnsi="Calibri"/>
                <w:sz w:val="18"/>
              </w:rPr>
              <w:t>Grant is open with the donor's intended content preserved; the donor saved 90 minutes of manual data entry.</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Donor opens the grant creation wizard and chooses the upload path.</w:t>
      </w:r>
    </w:p>
    <w:p>
      <w:pPr>
        <w:spacing w:after="40"/>
        <w:ind w:left="432"/>
      </w:pPr>
      <w:r>
        <w:rPr>
          <w:rFonts w:ascii="Calibri" w:hAnsi="Calibri"/>
          <w:b/>
          <w:sz w:val="20"/>
        </w:rPr>
        <w:t xml:space="preserve">2.  </w:t>
      </w:r>
      <w:r>
        <w:rPr>
          <w:rFonts w:ascii="Calibri" w:hAnsi="Calibri"/>
          <w:sz w:val="20"/>
        </w:rPr>
        <w:t>Donor uploads the existing grant brief (PDF, DOCX, or plain text).</w:t>
      </w:r>
    </w:p>
    <w:p>
      <w:pPr>
        <w:spacing w:after="40"/>
        <w:ind w:left="432"/>
      </w:pPr>
      <w:r>
        <w:rPr>
          <w:rFonts w:ascii="Calibri" w:hAnsi="Calibri"/>
          <w:b/>
          <w:sz w:val="20"/>
        </w:rPr>
        <w:t xml:space="preserve">3.  </w:t>
      </w:r>
      <w:r>
        <w:rPr>
          <w:rFonts w:ascii="Calibri" w:hAnsi="Calibri"/>
          <w:sz w:val="20"/>
        </w:rPr>
        <w:t>The system extracts the structured content, mapping it across the wizard's six steps: basics, eligibility, criteria with weights, document requirements, reporting configuration, and review.</w:t>
      </w:r>
    </w:p>
    <w:p>
      <w:pPr>
        <w:spacing w:after="40"/>
        <w:ind w:left="432"/>
      </w:pPr>
      <w:r>
        <w:rPr>
          <w:rFonts w:ascii="Calibri" w:hAnsi="Calibri"/>
          <w:b/>
          <w:sz w:val="20"/>
        </w:rPr>
        <w:t xml:space="preserve">4.  </w:t>
      </w:r>
      <w:r>
        <w:rPr>
          <w:rFonts w:ascii="Calibri" w:hAnsi="Calibri"/>
          <w:sz w:val="20"/>
        </w:rPr>
        <w:t>Donor reviews each prefilled step; the system clearly distinguishes AI-extracted content from empty fields and from donor edits.</w:t>
      </w:r>
    </w:p>
    <w:p>
      <w:pPr>
        <w:spacing w:after="40"/>
        <w:ind w:left="432"/>
      </w:pPr>
      <w:r>
        <w:rPr>
          <w:rFonts w:ascii="Calibri" w:hAnsi="Calibri"/>
          <w:b/>
          <w:sz w:val="20"/>
        </w:rPr>
        <w:t xml:space="preserve">5.  </w:t>
      </w:r>
      <w:r>
        <w:rPr>
          <w:rFonts w:ascii="Calibri" w:hAnsi="Calibri"/>
          <w:sz w:val="20"/>
        </w:rPr>
        <w:t>Donor modifies, adds, and removes content where the extraction is incomplete or where the donor wants different language.</w:t>
      </w:r>
    </w:p>
    <w:p>
      <w:pPr>
        <w:spacing w:after="40"/>
        <w:ind w:left="432"/>
      </w:pPr>
      <w:r>
        <w:rPr>
          <w:rFonts w:ascii="Calibri" w:hAnsi="Calibri"/>
          <w:b/>
          <w:sz w:val="20"/>
        </w:rPr>
        <w:t xml:space="preserve">6.  </w:t>
      </w:r>
      <w:r>
        <w:rPr>
          <w:rFonts w:ascii="Calibri" w:hAnsi="Calibri"/>
          <w:sz w:val="20"/>
        </w:rPr>
        <w:t>Donor runs the applicant-burden critique and median-NGO preview before publishing.</w:t>
      </w:r>
    </w:p>
    <w:p>
      <w:pPr>
        <w:spacing w:after="40"/>
        <w:ind w:left="432"/>
      </w:pPr>
      <w:r>
        <w:rPr>
          <w:rFonts w:ascii="Calibri" w:hAnsi="Calibri"/>
          <w:b/>
          <w:sz w:val="20"/>
        </w:rPr>
        <w:t xml:space="preserve">7.  </w:t>
      </w:r>
      <w:r>
        <w:rPr>
          <w:rFonts w:ascii="Calibri" w:hAnsi="Calibri"/>
          <w:sz w:val="20"/>
        </w:rPr>
        <w:t>Donor publishes the grant; the system transitions it from draft to open and notifies matching NGOs.</w:t>
      </w:r>
    </w:p>
    <w:p/>
    <w:p>
      <w:pPr>
        <w:pStyle w:val="Heading2"/>
      </w:pPr>
      <w:r>
        <w:rPr>
          <w:rFonts w:ascii="Calibri" w:hAnsi="Calibri"/>
          <w:color w:val="1B3A5C"/>
          <w:sz w:val="26"/>
        </w:rPr>
        <w:t>UC-014: NGO opens their This-Week action dashboard</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NGO</w:t>
            </w:r>
          </w:p>
        </w:tc>
        <w:tc>
          <w:tcPr>
            <w:tcW w:type="dxa" w:w="3888"/>
            <w:shd w:fill="F2F6FA"/>
          </w:tcPr>
          <w:p>
            <w:r/>
            <w:r>
              <w:rPr>
                <w:rFonts w:ascii="Calibri" w:hAnsi="Calibri"/>
                <w:sz w:val="18"/>
              </w:rPr>
              <w:t>NGO programme officer signs in on Monday morning.</w:t>
            </w:r>
          </w:p>
        </w:tc>
        <w:tc>
          <w:tcPr>
            <w:tcW w:type="dxa" w:w="3888"/>
            <w:shd w:fill="F2F6FA"/>
          </w:tcPr>
          <w:p>
            <w:r/>
            <w:r>
              <w:rPr>
                <w:rFonts w:ascii="Calibri" w:hAnsi="Calibri"/>
                <w:sz w:val="18"/>
              </w:rPr>
              <w:t>NGO knows what to do before they have to ask.</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The system presents the This-Week surface as the home page.</w:t>
      </w:r>
    </w:p>
    <w:p>
      <w:pPr>
        <w:spacing w:after="40"/>
        <w:ind w:left="432"/>
      </w:pPr>
      <w:r>
        <w:rPr>
          <w:rFonts w:ascii="Calibri" w:hAnsi="Calibri"/>
          <w:b/>
          <w:sz w:val="20"/>
        </w:rPr>
        <w:t xml:space="preserve">2.  </w:t>
      </w:r>
      <w:r>
        <w:rPr>
          <w:rFonts w:ascii="Calibri" w:hAnsi="Calibri"/>
          <w:sz w:val="20"/>
        </w:rPr>
        <w:t>Section: upcoming reports due — three reports due in the next four weeks, each with the draft state and an indication that two have AI-prepared narratives waiting.</w:t>
      </w:r>
    </w:p>
    <w:p>
      <w:pPr>
        <w:spacing w:after="40"/>
        <w:ind w:left="432"/>
      </w:pPr>
      <w:r>
        <w:rPr>
          <w:rFonts w:ascii="Calibri" w:hAnsi="Calibri"/>
          <w:b/>
          <w:sz w:val="20"/>
        </w:rPr>
        <w:t xml:space="preserve">3.  </w:t>
      </w:r>
      <w:r>
        <w:rPr>
          <w:rFonts w:ascii="Calibri" w:hAnsi="Calibri"/>
          <w:sz w:val="20"/>
        </w:rPr>
        <w:t>Section: applications in progress — two draft applications, each with the next recommended action ("complete the M&amp;E section", "upload last year's audit").</w:t>
      </w:r>
    </w:p>
    <w:p>
      <w:pPr>
        <w:spacing w:after="40"/>
        <w:ind w:left="432"/>
      </w:pPr>
      <w:r>
        <w:rPr>
          <w:rFonts w:ascii="Calibri" w:hAnsi="Calibri"/>
          <w:b/>
          <w:sz w:val="20"/>
        </w:rPr>
        <w:t xml:space="preserve">4.  </w:t>
      </w:r>
      <w:r>
        <w:rPr>
          <w:rFonts w:ascii="Calibri" w:hAnsi="Calibri"/>
          <w:sz w:val="20"/>
        </w:rPr>
        <w:t>Section: matched grants — four newly published grants where the NGO's match score exceeds 75 percent, each with top strength and top blocker.</w:t>
      </w:r>
    </w:p>
    <w:p>
      <w:pPr>
        <w:spacing w:after="40"/>
        <w:ind w:left="432"/>
      </w:pPr>
      <w:r>
        <w:rPr>
          <w:rFonts w:ascii="Calibri" w:hAnsi="Calibri"/>
          <w:b/>
          <w:sz w:val="20"/>
        </w:rPr>
        <w:t xml:space="preserve">5.  </w:t>
      </w:r>
      <w:r>
        <w:rPr>
          <w:rFonts w:ascii="Calibri" w:hAnsi="Calibri"/>
          <w:sz w:val="20"/>
        </w:rPr>
        <w:t>Section: compliance to-dos — one open donor clarification request, one risk awaiting NGO response, and a capacity passport gap that would lift four match scores if closed.</w:t>
      </w:r>
    </w:p>
    <w:p>
      <w:pPr>
        <w:spacing w:after="40"/>
        <w:ind w:left="432"/>
      </w:pPr>
      <w:r>
        <w:rPr>
          <w:rFonts w:ascii="Calibri" w:hAnsi="Calibri"/>
          <w:b/>
          <w:sz w:val="20"/>
        </w:rPr>
        <w:t xml:space="preserve">6.  </w:t>
      </w:r>
      <w:r>
        <w:rPr>
          <w:rFonts w:ascii="Calibri" w:hAnsi="Calibri"/>
          <w:sz w:val="20"/>
        </w:rPr>
        <w:t>Programme officer clicks the highest-priority item (the report draft due in 14 days) and is taken directly to the report editor with the AI-prepared narrative loaded.</w:t>
      </w:r>
    </w:p>
    <w:p/>
    <w:p>
      <w:pPr>
        <w:pStyle w:val="Heading2"/>
      </w:pPr>
      <w:r>
        <w:rPr>
          <w:rFonts w:ascii="Calibri" w:hAnsi="Calibri"/>
          <w:color w:val="1B3A5C"/>
          <w:sz w:val="26"/>
        </w:rPr>
        <w:t>UC-015: NGO uploads a document and receives real-time AI scoring</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NGO</w:t>
            </w:r>
          </w:p>
        </w:tc>
        <w:tc>
          <w:tcPr>
            <w:tcW w:type="dxa" w:w="3888"/>
            <w:shd w:fill="F2F6FA"/>
          </w:tcPr>
          <w:p>
            <w:r/>
            <w:r>
              <w:rPr>
                <w:rFonts w:ascii="Calibri" w:hAnsi="Calibri"/>
                <w:sz w:val="18"/>
              </w:rPr>
              <w:t>NGO is filling out an application that requires audited financial statements.</w:t>
            </w:r>
          </w:p>
        </w:tc>
        <w:tc>
          <w:tcPr>
            <w:tcW w:type="dxa" w:w="3888"/>
            <w:shd w:fill="F2F6FA"/>
          </w:tcPr>
          <w:p>
            <w:r/>
            <w:r>
              <w:rPr>
                <w:rFonts w:ascii="Calibri" w:hAnsi="Calibri"/>
                <w:sz w:val="18"/>
              </w:rPr>
              <w:t>Real-time scoring helps the NGO close gaps while uploading rather than after rejection.</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Before upload, the system shows the donor's specific requirement: two years of audited statements with auditor signature and breakdown of grants received.</w:t>
      </w:r>
    </w:p>
    <w:p>
      <w:pPr>
        <w:spacing w:after="40"/>
        <w:ind w:left="432"/>
      </w:pPr>
      <w:r>
        <w:rPr>
          <w:rFonts w:ascii="Calibri" w:hAnsi="Calibri"/>
          <w:b/>
          <w:sz w:val="20"/>
        </w:rPr>
        <w:t xml:space="preserve">2.  </w:t>
      </w:r>
      <w:r>
        <w:rPr>
          <w:rFonts w:ascii="Calibri" w:hAnsi="Calibri"/>
          <w:sz w:val="20"/>
        </w:rPr>
        <w:t>NGO uploads a PDF; the system begins extraction.</w:t>
      </w:r>
    </w:p>
    <w:p>
      <w:pPr>
        <w:spacing w:after="40"/>
        <w:ind w:left="432"/>
      </w:pPr>
      <w:r>
        <w:rPr>
          <w:rFonts w:ascii="Calibri" w:hAnsi="Calibri"/>
          <w:b/>
          <w:sz w:val="20"/>
        </w:rPr>
        <w:t xml:space="preserve">3.  </w:t>
      </w:r>
      <w:r>
        <w:rPr>
          <w:rFonts w:ascii="Calibri" w:hAnsi="Calibri"/>
          <w:sz w:val="20"/>
        </w:rPr>
        <w:t>Within seconds the system displays a score of 78 percent with three findings: "auditor signature on page 4 ✓", "prior-year comparable included ✓", "three years requested; two provided".</w:t>
      </w:r>
    </w:p>
    <w:p>
      <w:pPr>
        <w:spacing w:after="40"/>
        <w:ind w:left="432"/>
      </w:pPr>
      <w:r>
        <w:rPr>
          <w:rFonts w:ascii="Calibri" w:hAnsi="Calibri"/>
          <w:b/>
          <w:sz w:val="20"/>
        </w:rPr>
        <w:t xml:space="preserve">4.  </w:t>
      </w:r>
      <w:r>
        <w:rPr>
          <w:rFonts w:ascii="Calibri" w:hAnsi="Calibri"/>
          <w:sz w:val="20"/>
        </w:rPr>
        <w:t>The system offers two paths: upload the missing year (button), or attach a clarification note if unavailable (inline text field).</w:t>
      </w:r>
    </w:p>
    <w:p>
      <w:pPr>
        <w:spacing w:after="40"/>
        <w:ind w:left="432"/>
      </w:pPr>
      <w:r>
        <w:rPr>
          <w:rFonts w:ascii="Calibri" w:hAnsi="Calibri"/>
          <w:b/>
          <w:sz w:val="20"/>
        </w:rPr>
        <w:t xml:space="preserve">5.  </w:t>
      </w:r>
      <w:r>
        <w:rPr>
          <w:rFonts w:ascii="Calibri" w:hAnsi="Calibri"/>
          <w:sz w:val="20"/>
        </w:rPr>
        <w:t>NGO chooses the clarification path and types two sentences explaining the organisation was founded in 2023.</w:t>
      </w:r>
    </w:p>
    <w:p>
      <w:pPr>
        <w:spacing w:after="40"/>
        <w:ind w:left="432"/>
      </w:pPr>
      <w:r>
        <w:rPr>
          <w:rFonts w:ascii="Calibri" w:hAnsi="Calibri"/>
          <w:b/>
          <w:sz w:val="20"/>
        </w:rPr>
        <w:t xml:space="preserve">6.  </w:t>
      </w:r>
      <w:r>
        <w:rPr>
          <w:rFonts w:ascii="Calibri" w:hAnsi="Calibri"/>
          <w:sz w:val="20"/>
        </w:rPr>
        <w:t>The system incorporates the clarification, lifting the visible score to 92 percent without removing the underlying "two of three years" finding.</w:t>
      </w:r>
    </w:p>
    <w:p>
      <w:pPr>
        <w:spacing w:after="40"/>
        <w:ind w:left="432"/>
      </w:pPr>
      <w:r>
        <w:rPr>
          <w:rFonts w:ascii="Calibri" w:hAnsi="Calibri"/>
          <w:b/>
          <w:sz w:val="20"/>
        </w:rPr>
        <w:t xml:space="preserve">7.  </w:t>
      </w:r>
      <w:r>
        <w:rPr>
          <w:rFonts w:ascii="Calibri" w:hAnsi="Calibri"/>
          <w:sz w:val="20"/>
        </w:rPr>
        <w:t>Reviewer later sees both the score and the clarification in context.</w:t>
      </w:r>
    </w:p>
    <w:p/>
    <w:p>
      <w:pPr>
        <w:pStyle w:val="Heading2"/>
      </w:pPr>
      <w:r>
        <w:rPr>
          <w:rFonts w:ascii="Calibri" w:hAnsi="Calibri"/>
          <w:color w:val="1B3A5C"/>
          <w:sz w:val="26"/>
        </w:rPr>
        <w:t>UC-016: NGO responds to a donor revision request with AI-drafted updates</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NGO</w:t>
            </w:r>
          </w:p>
        </w:tc>
        <w:tc>
          <w:tcPr>
            <w:tcW w:type="dxa" w:w="3888"/>
            <w:shd w:fill="F2F6FA"/>
          </w:tcPr>
          <w:p>
            <w:r/>
            <w:r>
              <w:rPr>
                <w:rFonts w:ascii="Calibri" w:hAnsi="Calibri"/>
                <w:sz w:val="18"/>
              </w:rPr>
              <w:t>Donor has reviewed a progress report and returned it with revision requests on three sections.</w:t>
            </w:r>
          </w:p>
        </w:tc>
        <w:tc>
          <w:tcPr>
            <w:tcW w:type="dxa" w:w="3888"/>
            <w:shd w:fill="F2F6FA"/>
          </w:tcPr>
          <w:p>
            <w:r/>
            <w:r>
              <w:rPr>
                <w:rFonts w:ascii="Calibri" w:hAnsi="Calibri"/>
                <w:sz w:val="18"/>
              </w:rPr>
              <w:t>Revision cycle closes in one round rather than three.</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NGO opens the report; the donor's structured feedback is attached to specific sections.</w:t>
      </w:r>
    </w:p>
    <w:p>
      <w:pPr>
        <w:spacing w:after="40"/>
        <w:ind w:left="432"/>
      </w:pPr>
      <w:r>
        <w:rPr>
          <w:rFonts w:ascii="Calibri" w:hAnsi="Calibri"/>
          <w:b/>
          <w:sz w:val="20"/>
        </w:rPr>
        <w:t xml:space="preserve">2.  </w:t>
      </w:r>
      <w:r>
        <w:rPr>
          <w:rFonts w:ascii="Calibri" w:hAnsi="Calibri"/>
          <w:sz w:val="20"/>
        </w:rPr>
        <w:t>The system translates each donor concern into a concrete NGO-side action and drafts the corresponding update by drawing on the report's existing content, prior reports, and uploaded evidence.</w:t>
      </w:r>
    </w:p>
    <w:p>
      <w:pPr>
        <w:spacing w:after="40"/>
        <w:ind w:left="432"/>
      </w:pPr>
      <w:r>
        <w:rPr>
          <w:rFonts w:ascii="Calibri" w:hAnsi="Calibri"/>
          <w:b/>
          <w:sz w:val="20"/>
        </w:rPr>
        <w:t xml:space="preserve">3.  </w:t>
      </w:r>
      <w:r>
        <w:rPr>
          <w:rFonts w:ascii="Calibri" w:hAnsi="Calibri"/>
          <w:sz w:val="20"/>
        </w:rPr>
        <w:t>For each donor concern, the system surfaces the proposed update and explains how it addresses the concern.</w:t>
      </w:r>
    </w:p>
    <w:p>
      <w:pPr>
        <w:spacing w:after="40"/>
        <w:ind w:left="432"/>
      </w:pPr>
      <w:r>
        <w:rPr>
          <w:rFonts w:ascii="Calibri" w:hAnsi="Calibri"/>
          <w:b/>
          <w:sz w:val="20"/>
        </w:rPr>
        <w:t xml:space="preserve">4.  </w:t>
      </w:r>
      <w:r>
        <w:rPr>
          <w:rFonts w:ascii="Calibri" w:hAnsi="Calibri"/>
          <w:sz w:val="20"/>
        </w:rPr>
        <w:t>NGO reviews, accepts, edits, or overrides each proposed update.</w:t>
      </w:r>
    </w:p>
    <w:p>
      <w:pPr>
        <w:spacing w:after="40"/>
        <w:ind w:left="432"/>
      </w:pPr>
      <w:r>
        <w:rPr>
          <w:rFonts w:ascii="Calibri" w:hAnsi="Calibri"/>
          <w:b/>
          <w:sz w:val="20"/>
        </w:rPr>
        <w:t xml:space="preserve">5.  </w:t>
      </w:r>
      <w:r>
        <w:rPr>
          <w:rFonts w:ascii="Calibri" w:hAnsi="Calibri"/>
          <w:sz w:val="20"/>
        </w:rPr>
        <w:t>NGO runs the donor pre-flight again before resubmitting; the system confirms each donor concern is resolved.</w:t>
      </w:r>
    </w:p>
    <w:p>
      <w:pPr>
        <w:spacing w:after="40"/>
        <w:ind w:left="432"/>
      </w:pPr>
      <w:r>
        <w:rPr>
          <w:rFonts w:ascii="Calibri" w:hAnsi="Calibri"/>
          <w:b/>
          <w:sz w:val="20"/>
        </w:rPr>
        <w:t xml:space="preserve">6.  </w:t>
      </w:r>
      <w:r>
        <w:rPr>
          <w:rFonts w:ascii="Calibri" w:hAnsi="Calibri"/>
          <w:sz w:val="20"/>
        </w:rPr>
        <w:t>NGO resubmits; the report transitions back to submitted state.</w:t>
      </w:r>
    </w:p>
    <w:p/>
    <w:p>
      <w:pPr>
        <w:pStyle w:val="Heading2"/>
      </w:pPr>
      <w:r>
        <w:rPr>
          <w:rFonts w:ascii="Calibri" w:hAnsi="Calibri"/>
          <w:color w:val="1B3A5C"/>
          <w:sz w:val="26"/>
        </w:rPr>
        <w:t>UC-017: NGO works offline in a low-connectivity area</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NGO field officer</w:t>
            </w:r>
          </w:p>
        </w:tc>
        <w:tc>
          <w:tcPr>
            <w:tcW w:type="dxa" w:w="3888"/>
            <w:shd w:fill="F2F6FA"/>
          </w:tcPr>
          <w:p>
            <w:r/>
            <w:r>
              <w:rPr>
                <w:rFonts w:ascii="Calibri" w:hAnsi="Calibri"/>
                <w:sz w:val="18"/>
              </w:rPr>
              <w:t>Field officer is documenting a beneficiary intake in an area with no mobile signal.</w:t>
            </w:r>
          </w:p>
        </w:tc>
        <w:tc>
          <w:tcPr>
            <w:tcW w:type="dxa" w:w="3888"/>
            <w:shd w:fill="F2F6FA"/>
          </w:tcPr>
          <w:p>
            <w:r/>
            <w:r>
              <w:rPr>
                <w:rFonts w:ascii="Calibri" w:hAnsi="Calibri"/>
                <w:sz w:val="18"/>
              </w:rPr>
              <w:t>Field-collected evidence is captured at the point of collection without requiring connectivity, and synced when the network returns.</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Field officer opens the platform as a progressive web app on her phone (already installed during onboarding).</w:t>
      </w:r>
    </w:p>
    <w:p>
      <w:pPr>
        <w:spacing w:after="40"/>
        <w:ind w:left="432"/>
      </w:pPr>
      <w:r>
        <w:rPr>
          <w:rFonts w:ascii="Calibri" w:hAnsi="Calibri"/>
          <w:b/>
          <w:sz w:val="20"/>
        </w:rPr>
        <w:t xml:space="preserve">2.  </w:t>
      </w:r>
      <w:r>
        <w:rPr>
          <w:rFonts w:ascii="Calibri" w:hAnsi="Calibri"/>
          <w:sz w:val="20"/>
        </w:rPr>
        <w:t>She drafts a report narrative; the system auto-saves to local device storage every few seconds.</w:t>
      </w:r>
    </w:p>
    <w:p>
      <w:pPr>
        <w:spacing w:after="40"/>
        <w:ind w:left="432"/>
      </w:pPr>
      <w:r>
        <w:rPr>
          <w:rFonts w:ascii="Calibri" w:hAnsi="Calibri"/>
          <w:b/>
          <w:sz w:val="20"/>
        </w:rPr>
        <w:t xml:space="preserve">3.  </w:t>
      </w:r>
      <w:r>
        <w:rPr>
          <w:rFonts w:ascii="Calibri" w:hAnsi="Calibri"/>
          <w:sz w:val="20"/>
        </w:rPr>
        <w:t>She attaches three photographs taken with her phone camera as evidence; the system queues them for upload.</w:t>
      </w:r>
    </w:p>
    <w:p>
      <w:pPr>
        <w:spacing w:after="40"/>
        <w:ind w:left="432"/>
      </w:pPr>
      <w:r>
        <w:rPr>
          <w:rFonts w:ascii="Calibri" w:hAnsi="Calibri"/>
          <w:b/>
          <w:sz w:val="20"/>
        </w:rPr>
        <w:t xml:space="preserve">4.  </w:t>
      </w:r>
      <w:r>
        <w:rPr>
          <w:rFonts w:ascii="Calibri" w:hAnsi="Calibri"/>
          <w:sz w:val="20"/>
        </w:rPr>
        <w:t>She closes the app; the work is preserved on the device.</w:t>
      </w:r>
    </w:p>
    <w:p>
      <w:pPr>
        <w:spacing w:after="40"/>
        <w:ind w:left="432"/>
      </w:pPr>
      <w:r>
        <w:rPr>
          <w:rFonts w:ascii="Calibri" w:hAnsi="Calibri"/>
          <w:b/>
          <w:sz w:val="20"/>
        </w:rPr>
        <w:t xml:space="preserve">5.  </w:t>
      </w:r>
      <w:r>
        <w:rPr>
          <w:rFonts w:ascii="Calibri" w:hAnsi="Calibri"/>
          <w:sz w:val="20"/>
        </w:rPr>
        <w:t>Twenty minutes later, on her way back to town, the phone reconnects to mobile data.</w:t>
      </w:r>
    </w:p>
    <w:p>
      <w:pPr>
        <w:spacing w:after="40"/>
        <w:ind w:left="432"/>
      </w:pPr>
      <w:r>
        <w:rPr>
          <w:rFonts w:ascii="Calibri" w:hAnsi="Calibri"/>
          <w:b/>
          <w:sz w:val="20"/>
        </w:rPr>
        <w:t xml:space="preserve">6.  </w:t>
      </w:r>
      <w:r>
        <w:rPr>
          <w:rFonts w:ascii="Calibri" w:hAnsi="Calibri"/>
          <w:sz w:val="20"/>
        </w:rPr>
        <w:t>The system synchronises the draft and uploads the photographs in the background, applying vision-based extraction to each image.</w:t>
      </w:r>
    </w:p>
    <w:p>
      <w:pPr>
        <w:spacing w:after="40"/>
        <w:ind w:left="432"/>
      </w:pPr>
      <w:r>
        <w:rPr>
          <w:rFonts w:ascii="Calibri" w:hAnsi="Calibri"/>
          <w:b/>
          <w:sz w:val="20"/>
        </w:rPr>
        <w:t xml:space="preserve">7.  </w:t>
      </w:r>
      <w:r>
        <w:rPr>
          <w:rFonts w:ascii="Calibri" w:hAnsi="Calibri"/>
          <w:sz w:val="20"/>
        </w:rPr>
        <w:t>That evening the officer opens her laptop; the draft and the analysed evidence are already waiting in the report editor.</w:t>
      </w:r>
    </w:p>
    <w:p/>
    <w:p>
      <w:pPr>
        <w:pStyle w:val="Heading2"/>
      </w:pPr>
      <w:r>
        <w:rPr>
          <w:rFonts w:ascii="Calibri" w:hAnsi="Calibri"/>
          <w:color w:val="1B3A5C"/>
          <w:sz w:val="26"/>
        </w:rPr>
        <w:t>UC-018: Donor reviews an NGO's Organisation Trust Profile</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Donor compliance officer</w:t>
            </w:r>
          </w:p>
        </w:tc>
        <w:tc>
          <w:tcPr>
            <w:tcW w:type="dxa" w:w="3888"/>
            <w:shd w:fill="F2F6FA"/>
          </w:tcPr>
          <w:p>
            <w:r/>
            <w:r>
              <w:rPr>
                <w:rFonts w:ascii="Calibri" w:hAnsi="Calibri"/>
                <w:sz w:val="18"/>
              </w:rPr>
              <w:t>An application has been submitted by an NGO new to the donor's portfolio. Compliance officer needs to clear the organisation before reviewing the proposal.</w:t>
            </w:r>
          </w:p>
        </w:tc>
        <w:tc>
          <w:tcPr>
            <w:tcW w:type="dxa" w:w="3888"/>
            <w:shd w:fill="F2F6FA"/>
          </w:tcPr>
          <w:p>
            <w:r/>
            <w:r>
              <w:rPr>
                <w:rFonts w:ascii="Calibri" w:hAnsi="Calibri"/>
                <w:sz w:val="18"/>
              </w:rPr>
              <w:t>Compliance review takes minutes instead of days; the donor's decision is defensible because every check is sourced, dated, and auditable.</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Compliance officer opens the application; the Trust Profile is shown beside the proposal.</w:t>
      </w:r>
    </w:p>
    <w:p>
      <w:pPr>
        <w:spacing w:after="40"/>
        <w:ind w:left="432"/>
      </w:pPr>
      <w:r>
        <w:rPr>
          <w:rFonts w:ascii="Calibri" w:hAnsi="Calibri"/>
          <w:b/>
          <w:sz w:val="20"/>
        </w:rPr>
        <w:t xml:space="preserve">2.  </w:t>
      </w:r>
      <w:r>
        <w:rPr>
          <w:rFonts w:ascii="Calibri" w:hAnsi="Calibri"/>
          <w:sz w:val="20"/>
        </w:rPr>
        <w:t>Left pillar (Capacity Profile): three frameworks completed, pillar scores visible, supporting evidence on file, passport refreshed seven months ago — within the donor's twelve-month window.</w:t>
      </w:r>
    </w:p>
    <w:p>
      <w:pPr>
        <w:spacing w:after="40"/>
        <w:ind w:left="432"/>
      </w:pPr>
      <w:r>
        <w:rPr>
          <w:rFonts w:ascii="Calibri" w:hAnsi="Calibri"/>
          <w:b/>
          <w:sz w:val="20"/>
        </w:rPr>
        <w:t xml:space="preserve">3.  </w:t>
      </w:r>
      <w:r>
        <w:rPr>
          <w:rFonts w:ascii="Calibri" w:hAnsi="Calibri"/>
          <w:sz w:val="20"/>
        </w:rPr>
        <w:t>Right pillar (Due Diligence Profile): sanctions clear (UN/OFAC/EU re-checked four hours ago); registration verified against the country registry with name match and active status; tax-exempt status confirmed and valid through next year; beneficial ownership declared, with two named directors and no flagged conflicts against the donor's staff directory; one adverse media item from eighteen months ago, marked resolved with context.</w:t>
      </w:r>
    </w:p>
    <w:p>
      <w:pPr>
        <w:spacing w:after="40"/>
        <w:ind w:left="432"/>
      </w:pPr>
      <w:r>
        <w:rPr>
          <w:rFonts w:ascii="Calibri" w:hAnsi="Calibri"/>
          <w:b/>
          <w:sz w:val="20"/>
        </w:rPr>
        <w:t xml:space="preserve">4.  </w:t>
      </w:r>
      <w:r>
        <w:rPr>
          <w:rFonts w:ascii="Calibri" w:hAnsi="Calibri"/>
          <w:sz w:val="20"/>
        </w:rPr>
        <w:t>Officer clicks the adverse-media item; the system shows the original article, the AI-generated summary, and the prior resolution note from a different donor.</w:t>
      </w:r>
    </w:p>
    <w:p>
      <w:pPr>
        <w:spacing w:after="40"/>
        <w:ind w:left="432"/>
      </w:pPr>
      <w:r>
        <w:rPr>
          <w:rFonts w:ascii="Calibri" w:hAnsi="Calibri"/>
          <w:b/>
          <w:sz w:val="20"/>
        </w:rPr>
        <w:t xml:space="preserve">5.  </w:t>
      </w:r>
      <w:r>
        <w:rPr>
          <w:rFonts w:ascii="Calibri" w:hAnsi="Calibri"/>
          <w:sz w:val="20"/>
        </w:rPr>
        <w:t>Officer accepts the Trust Profile as sufficient for award; the determination is recorded in the audit chain and the application proceeds to programme review.</w:t>
      </w:r>
    </w:p>
    <w:p/>
    <w:p>
      <w:pPr>
        <w:pStyle w:val="Heading2"/>
      </w:pPr>
      <w:r>
        <w:rPr>
          <w:rFonts w:ascii="Calibri" w:hAnsi="Calibri"/>
          <w:color w:val="1B3A5C"/>
          <w:sz w:val="26"/>
        </w:rPr>
        <w:t>UC-019: AI flags adverse media on a previously-funded organisation</w:t>
      </w:r>
    </w:p>
    <w:tbl>
      <w:tblPr>
        <w:tblStyle w:val="TableGrid"/>
        <w:tblW w:type="auto" w:w="0"/>
        <w:jc w:val="center"/>
        <w:tblLook w:firstColumn="1" w:firstRow="1" w:lastColumn="0" w:lastRow="0" w:noHBand="0" w:noVBand="1" w:val="04A0"/>
      </w:tblPr>
      <w:tblGrid>
        <w:gridCol w:w="3173"/>
        <w:gridCol w:w="3173"/>
        <w:gridCol w:w="3173"/>
      </w:tblGrid>
      <w:tr>
        <w:tc>
          <w:tcPr>
            <w:tcW w:type="dxa" w:w="1440"/>
            <w:shd w:fill="1B3A5C"/>
          </w:tcPr>
          <w:p>
            <w:pPr>
              <w:jc w:val="left"/>
            </w:pPr>
            <w:r/>
            <w:r>
              <w:rPr>
                <w:rFonts w:ascii="Calibri" w:hAnsi="Calibri"/>
                <w:b/>
                <w:color w:val="FFFFFF"/>
                <w:sz w:val="18"/>
              </w:rPr>
              <w:t>Actor</w:t>
            </w:r>
          </w:p>
        </w:tc>
        <w:tc>
          <w:tcPr>
            <w:tcW w:type="dxa" w:w="3888"/>
            <w:shd w:fill="1B3A5C"/>
          </w:tcPr>
          <w:p>
            <w:pPr>
              <w:jc w:val="left"/>
            </w:pPr>
            <w:r/>
            <w:r>
              <w:rPr>
                <w:rFonts w:ascii="Calibri" w:hAnsi="Calibri"/>
                <w:b/>
                <w:color w:val="FFFFFF"/>
                <w:sz w:val="18"/>
              </w:rPr>
              <w:t>Pre-conditions</w:t>
            </w:r>
          </w:p>
        </w:tc>
        <w:tc>
          <w:tcPr>
            <w:tcW w:type="dxa" w:w="3888"/>
            <w:shd w:fill="1B3A5C"/>
          </w:tcPr>
          <w:p>
            <w:pPr>
              <w:jc w:val="left"/>
            </w:pPr>
            <w:r/>
            <w:r>
              <w:rPr>
                <w:rFonts w:ascii="Calibri" w:hAnsi="Calibri"/>
                <w:b/>
                <w:color w:val="FFFFFF"/>
                <w:sz w:val="18"/>
              </w:rPr>
              <w:t>Post-conditions</w:t>
            </w:r>
          </w:p>
        </w:tc>
      </w:tr>
      <w:tr>
        <w:tc>
          <w:tcPr>
            <w:tcW w:type="dxa" w:w="1440"/>
            <w:shd w:fill="F2F6FA"/>
          </w:tcPr>
          <w:p>
            <w:r/>
            <w:r>
              <w:rPr>
                <w:rFonts w:ascii="Calibri" w:hAnsi="Calibri"/>
                <w:sz w:val="18"/>
              </w:rPr>
              <w:t>Donor and Administrator</w:t>
            </w:r>
          </w:p>
        </w:tc>
        <w:tc>
          <w:tcPr>
            <w:tcW w:type="dxa" w:w="3888"/>
            <w:shd w:fill="F2F6FA"/>
          </w:tcPr>
          <w:p>
            <w:r/>
            <w:r>
              <w:rPr>
                <w:rFonts w:ascii="Calibri" w:hAnsi="Calibri"/>
                <w:sz w:val="18"/>
              </w:rPr>
              <w:t>Continuous adverse-media scan has run overnight. A regional outlet has published an allegation against a currently-funded NGO.</w:t>
            </w:r>
          </w:p>
        </w:tc>
        <w:tc>
          <w:tcPr>
            <w:tcW w:type="dxa" w:w="3888"/>
            <w:shd w:fill="F2F6FA"/>
          </w:tcPr>
          <w:p>
            <w:r/>
            <w:r>
              <w:rPr>
                <w:rFonts w:ascii="Calibri" w:hAnsi="Calibri"/>
                <w:sz w:val="18"/>
              </w:rPr>
              <w:t>Reputational risk is surfaced before it escalates; the donor's response is structured, in-band, and auditable.</w:t>
            </w:r>
          </w:p>
        </w:tc>
      </w:tr>
    </w:tbl>
    <w:p/>
    <w:p>
      <w:r>
        <w:rPr>
          <w:rFonts w:ascii="Calibri" w:hAnsi="Calibri"/>
          <w:b/>
          <w:sz w:val="20"/>
        </w:rPr>
        <w:t>Main flow</w:t>
      </w:r>
    </w:p>
    <w:p>
      <w:pPr>
        <w:spacing w:after="40"/>
        <w:ind w:left="432"/>
      </w:pPr>
      <w:r>
        <w:rPr>
          <w:rFonts w:ascii="Calibri" w:hAnsi="Calibri"/>
          <w:b/>
          <w:sz w:val="20"/>
        </w:rPr>
        <w:t xml:space="preserve">1.  </w:t>
      </w:r>
      <w:r>
        <w:rPr>
          <w:rFonts w:ascii="Calibri" w:hAnsi="Calibri"/>
          <w:sz w:val="20"/>
        </w:rPr>
        <w:t>Scan picks up the article and classifies it: high relevance (correct NGO, correct country), moderate severity (financial-mismanagement allegation, regional source, recent).</w:t>
      </w:r>
    </w:p>
    <w:p>
      <w:pPr>
        <w:spacing w:after="40"/>
        <w:ind w:left="432"/>
      </w:pPr>
      <w:r>
        <w:rPr>
          <w:rFonts w:ascii="Calibri" w:hAnsi="Calibri"/>
          <w:b/>
          <w:sz w:val="20"/>
        </w:rPr>
        <w:t xml:space="preserve">2.  </w:t>
      </w:r>
      <w:r>
        <w:rPr>
          <w:rFonts w:ascii="Calibri" w:hAnsi="Calibri"/>
          <w:sz w:val="20"/>
        </w:rPr>
        <w:t>System raises a risk register entry on the organisation with severity 'high', proposed owner the donor's programme manager, and an AI-generated context summary.</w:t>
      </w:r>
    </w:p>
    <w:p>
      <w:pPr>
        <w:spacing w:after="40"/>
        <w:ind w:left="432"/>
      </w:pPr>
      <w:r>
        <w:rPr>
          <w:rFonts w:ascii="Calibri" w:hAnsi="Calibri"/>
          <w:b/>
          <w:sz w:val="20"/>
        </w:rPr>
        <w:t xml:space="preserve">3.  </w:t>
      </w:r>
      <w:r>
        <w:rPr>
          <w:rFonts w:ascii="Calibri" w:hAnsi="Calibri"/>
          <w:sz w:val="20"/>
        </w:rPr>
        <w:t>Donor receives a notification (in-app and web push); administrator sees the finding in the operations command centre.</w:t>
      </w:r>
    </w:p>
    <w:p>
      <w:pPr>
        <w:spacing w:after="40"/>
        <w:ind w:left="432"/>
      </w:pPr>
      <w:r>
        <w:rPr>
          <w:rFonts w:ascii="Calibri" w:hAnsi="Calibri"/>
          <w:b/>
          <w:sz w:val="20"/>
        </w:rPr>
        <w:t xml:space="preserve">4.  </w:t>
      </w:r>
      <w:r>
        <w:rPr>
          <w:rFonts w:ascii="Calibri" w:hAnsi="Calibri"/>
          <w:sz w:val="20"/>
        </w:rPr>
        <w:t>Donor opens the finding, reads the AI summary, and clicks through to the article.</w:t>
      </w:r>
    </w:p>
    <w:p>
      <w:pPr>
        <w:spacing w:after="40"/>
        <w:ind w:left="432"/>
      </w:pPr>
      <w:r>
        <w:rPr>
          <w:rFonts w:ascii="Calibri" w:hAnsi="Calibri"/>
          <w:b/>
          <w:sz w:val="20"/>
        </w:rPr>
        <w:t xml:space="preserve">5.  </w:t>
      </w:r>
      <w:r>
        <w:rPr>
          <w:rFonts w:ascii="Calibri" w:hAnsi="Calibri"/>
          <w:sz w:val="20"/>
        </w:rPr>
        <w:t>Donor opens a structured comment thread with the NGO requesting clarification, with the article reference attached.</w:t>
      </w:r>
    </w:p>
    <w:p>
      <w:pPr>
        <w:spacing w:after="40"/>
        <w:ind w:left="432"/>
      </w:pPr>
      <w:r>
        <w:rPr>
          <w:rFonts w:ascii="Calibri" w:hAnsi="Calibri"/>
          <w:b/>
          <w:sz w:val="20"/>
        </w:rPr>
        <w:t xml:space="preserve">6.  </w:t>
      </w:r>
      <w:r>
        <w:rPr>
          <w:rFonts w:ascii="Calibri" w:hAnsi="Calibri"/>
          <w:sz w:val="20"/>
        </w:rPr>
        <w:t>NGO responds in-band with their account of the events and uploads supporting documents; the system runs vision-based extraction on the uploads.</w:t>
      </w:r>
    </w:p>
    <w:p>
      <w:pPr>
        <w:spacing w:after="40"/>
        <w:ind w:left="432"/>
      </w:pPr>
      <w:r>
        <w:rPr>
          <w:rFonts w:ascii="Calibri" w:hAnsi="Calibri"/>
          <w:b/>
          <w:sz w:val="20"/>
        </w:rPr>
        <w:t xml:space="preserve">7.  </w:t>
      </w:r>
      <w:r>
        <w:rPr>
          <w:rFonts w:ascii="Calibri" w:hAnsi="Calibri"/>
          <w:sz w:val="20"/>
        </w:rPr>
        <w:t>Donor reviews the response, accepts the explanation, and marks the risk as mitigated with rationale. All steps are recorded in the audit chain.</w:t>
      </w:r>
    </w:p>
    <w:p/>
    <w:p>
      <w:r>
        <w:br w:type="page"/>
      </w:r>
    </w:p>
    <w:p>
      <w:pPr>
        <w:pStyle w:val="Heading1"/>
      </w:pPr>
      <w:r>
        <w:rPr>
          <w:rFonts w:ascii="Calibri" w:hAnsi="Calibri"/>
          <w:color w:val="1B3A5C"/>
          <w:sz w:val="36"/>
        </w:rPr>
        <w:t>9. Feature Flags and Phased Rollout</w:t>
      </w:r>
    </w:p>
    <w:p>
      <w:pPr>
        <w:spacing w:after="120"/>
      </w:pPr>
      <w:r>
        <w:rPr>
          <w:rFonts w:ascii="Calibri" w:hAnsi="Calibri"/>
          <w:sz w:val="20"/>
        </w:rPr>
        <w:t>The system shall support feature flags as a first-class mechanism for phased rollout, per-tenant configuration, and rapid rollback. Every flag has a global default, optional per-organisation and per-user overrides, and an environment-variable escape hatch. The flag set covers AI surfaces, UI surfaces, and operational gates.</w:t>
      </w:r>
    </w:p>
    <w:p>
      <w:pPr>
        <w:spacing w:after="120"/>
      </w:pPr>
      <w:r>
        <w:rPr>
          <w:rFonts w:ascii="Calibri" w:hAnsi="Calibri"/>
          <w:sz w:val="20"/>
        </w:rPr>
        <w:t>The system shall:</w:t>
      </w:r>
    </w:p>
    <w:p>
      <w:pPr>
        <w:spacing w:after="60"/>
        <w:ind w:left="576" w:hanging="576"/>
      </w:pPr>
      <w:r>
        <w:rPr>
          <w:rFonts w:ascii="Calibri" w:hAnsi="Calibri"/>
          <w:b/>
          <w:sz w:val="20"/>
        </w:rPr>
        <w:t xml:space="preserve">1.  </w:t>
      </w:r>
      <w:r>
        <w:rPr>
          <w:rFonts w:ascii="Calibri" w:hAnsi="Calibri"/>
          <w:sz w:val="20"/>
        </w:rPr>
        <w:t xml:space="preserve">The system shall </w:t>
      </w:r>
      <w:r>
        <w:rPr>
          <w:rFonts w:ascii="Calibri" w:hAnsi="Calibri"/>
          <w:sz w:val="20"/>
        </w:rPr>
        <w:t>support boolean and percentage flag types, with percentage flags bucketing each user stably so a given user receives a consistent answer across requests.</w:t>
      </w:r>
    </w:p>
    <w:p>
      <w:pPr>
        <w:spacing w:after="60"/>
        <w:ind w:left="576" w:hanging="576"/>
      </w:pPr>
      <w:r>
        <w:rPr>
          <w:rFonts w:ascii="Calibri" w:hAnsi="Calibri"/>
          <w:b/>
          <w:sz w:val="20"/>
        </w:rPr>
        <w:t xml:space="preserve">2.  </w:t>
      </w:r>
      <w:r>
        <w:rPr>
          <w:rFonts w:ascii="Calibri" w:hAnsi="Calibri"/>
          <w:sz w:val="20"/>
        </w:rPr>
        <w:t xml:space="preserve">The system shall </w:t>
      </w:r>
      <w:r>
        <w:rPr>
          <w:rFonts w:ascii="Calibri" w:hAnsi="Calibri"/>
          <w:sz w:val="20"/>
        </w:rPr>
        <w:t>expose the full flag inventory to administrators, showing each flag's current state, default, kind, description, and any per-scope overrides.</w:t>
      </w:r>
    </w:p>
    <w:p>
      <w:pPr>
        <w:spacing w:after="60"/>
        <w:ind w:left="576" w:hanging="576"/>
      </w:pPr>
      <w:r>
        <w:rPr>
          <w:rFonts w:ascii="Calibri" w:hAnsi="Calibri"/>
          <w:b/>
          <w:sz w:val="20"/>
        </w:rPr>
        <w:t xml:space="preserve">3.  </w:t>
      </w:r>
      <w:r>
        <w:rPr>
          <w:rFonts w:ascii="Calibri" w:hAnsi="Calibri"/>
          <w:sz w:val="20"/>
        </w:rPr>
        <w:t xml:space="preserve">The system shall </w:t>
      </w:r>
      <w:r>
        <w:rPr>
          <w:rFonts w:ascii="Calibri" w:hAnsi="Calibri"/>
          <w:sz w:val="20"/>
        </w:rPr>
        <w:t>evaluate flags in a documented order: environment override, per-user override, per-organisation override, global database row, in-code default — with the first match winning.</w:t>
      </w:r>
    </w:p>
    <w:p>
      <w:pPr>
        <w:spacing w:after="60"/>
        <w:ind w:left="576" w:hanging="576"/>
      </w:pPr>
      <w:r>
        <w:rPr>
          <w:rFonts w:ascii="Calibri" w:hAnsi="Calibri"/>
          <w:b/>
          <w:sz w:val="20"/>
        </w:rPr>
        <w:t xml:space="preserve">4.  </w:t>
      </w:r>
      <w:r>
        <w:rPr>
          <w:rFonts w:ascii="Calibri" w:hAnsi="Calibri"/>
          <w:sz w:val="20"/>
        </w:rPr>
        <w:t xml:space="preserve">The system shall </w:t>
      </w:r>
      <w:r>
        <w:rPr>
          <w:rFonts w:ascii="Calibri" w:hAnsi="Calibri"/>
          <w:sz w:val="20"/>
        </w:rPr>
        <w:t>support migration of default state without disturbing administrators' explicit overrides; flips of in-code defaults shall not silently override explicit administrative choices.</w:t>
      </w:r>
    </w:p>
    <w:p>
      <w:pPr>
        <w:spacing w:after="120"/>
      </w:pPr>
      <w:r>
        <w:rPr>
          <w:rFonts w:ascii="Calibri" w:hAnsi="Calibri"/>
          <w:sz w:val="20"/>
        </w:rPr>
        <w:t>Initial flag inventory at version 5.0 includes (non-exhaustive):</w:t>
      </w:r>
    </w:p>
    <w:p>
      <w:pPr>
        <w:pStyle w:val="ListBullet"/>
        <w:spacing w:after="40"/>
        <w:ind w:left="720"/>
      </w:pPr>
      <w:r>
        <w:rPr>
          <w:rFonts w:ascii="Calibri" w:hAnsi="Calibri"/>
          <w:sz w:val="20"/>
        </w:rPr>
        <w:t>AI grant brief generator · AI compliance pre-empt · AI cross-grant patterns · AI compliance health narrative</w:t>
      </w:r>
    </w:p>
    <w:p>
      <w:pPr>
        <w:pStyle w:val="ListBullet"/>
        <w:spacing w:after="40"/>
        <w:ind w:left="720"/>
      </w:pPr>
      <w:r>
        <w:rPr>
          <w:rFonts w:ascii="Calibri" w:hAnsi="Calibri"/>
          <w:sz w:val="20"/>
        </w:rPr>
        <w:t>UI submission readiness · UI report readiness · UI reviewer summary · UI burden estimator</w:t>
      </w:r>
    </w:p>
    <w:p>
      <w:pPr>
        <w:pStyle w:val="ListBullet"/>
        <w:spacing w:after="40"/>
        <w:ind w:left="720"/>
      </w:pPr>
      <w:r>
        <w:rPr>
          <w:rFonts w:ascii="Calibri" w:hAnsi="Calibri"/>
          <w:sz w:val="20"/>
        </w:rPr>
        <w:t>UI this-week home · UI preview-as-reviewer · UI live-drafters pill · UI audit trail tab · UI compliance four-state · UI decision audit</w:t>
      </w:r>
    </w:p>
    <w:p>
      <w:r>
        <w:br w:type="page"/>
      </w:r>
    </w:p>
    <w:p>
      <w:pPr>
        <w:pStyle w:val="Heading1"/>
      </w:pPr>
      <w:r>
        <w:rPr>
          <w:rFonts w:ascii="Calibri" w:hAnsi="Calibri"/>
          <w:color w:val="1B3A5C"/>
          <w:sz w:val="36"/>
        </w:rPr>
        <w:t>Appendices</w:t>
      </w:r>
    </w:p>
    <w:p>
      <w:pPr>
        <w:pStyle w:val="Heading2"/>
      </w:pPr>
      <w:r>
        <w:rPr>
          <w:rFonts w:ascii="Calibri" w:hAnsi="Calibri"/>
          <w:color w:val="1B3A5C"/>
          <w:sz w:val="26"/>
        </w:rPr>
        <w:t>Appendix A: Status Definitions</w:t>
      </w:r>
    </w:p>
    <w:p>
      <w:pPr>
        <w:pStyle w:val="Heading3"/>
      </w:pPr>
      <w:r>
        <w:rPr>
          <w:rFonts w:ascii="Calibri" w:hAnsi="Calibri"/>
          <w:color w:val="2C5F8A"/>
          <w:sz w:val="22"/>
        </w:rPr>
        <w:t>Grant statuses</w:t>
      </w:r>
    </w:p>
    <w:tbl>
      <w:tblPr>
        <w:tblStyle w:val="TableGrid"/>
        <w:tblW w:type="auto" w:w="0"/>
        <w:jc w:val="center"/>
        <w:tblLook w:firstColumn="1" w:firstRow="1" w:lastColumn="0" w:lastRow="0" w:noHBand="0" w:noVBand="1" w:val="04A0"/>
      </w:tblPr>
      <w:tblGrid>
        <w:gridCol w:w="4759"/>
        <w:gridCol w:w="4759"/>
      </w:tblGrid>
      <w:tr>
        <w:tc>
          <w:tcPr>
            <w:tcW w:type="dxa" w:w="1728"/>
            <w:shd w:fill="1B3A5C"/>
          </w:tcPr>
          <w:p>
            <w:pPr>
              <w:jc w:val="left"/>
            </w:pPr>
            <w:r/>
            <w:r>
              <w:rPr>
                <w:rFonts w:ascii="Calibri" w:hAnsi="Calibri"/>
                <w:b/>
                <w:color w:val="FFFFFF"/>
                <w:sz w:val="18"/>
              </w:rPr>
              <w:t>Status</w:t>
            </w:r>
          </w:p>
        </w:tc>
        <w:tc>
          <w:tcPr>
            <w:tcW w:type="dxa" w:w="7488"/>
            <w:shd w:fill="1B3A5C"/>
          </w:tcPr>
          <w:p>
            <w:pPr>
              <w:jc w:val="left"/>
            </w:pPr>
            <w:r/>
            <w:r>
              <w:rPr>
                <w:rFonts w:ascii="Calibri" w:hAnsi="Calibri"/>
                <w:b/>
                <w:color w:val="FFFFFF"/>
                <w:sz w:val="18"/>
              </w:rPr>
              <w:t>Meaning</w:t>
            </w:r>
          </w:p>
        </w:tc>
      </w:tr>
      <w:tr>
        <w:tc>
          <w:tcPr>
            <w:tcW w:type="dxa" w:w="1728"/>
            <w:shd w:fill="F2F6FA"/>
          </w:tcPr>
          <w:p>
            <w:r/>
            <w:r>
              <w:rPr>
                <w:rFonts w:ascii="Calibri" w:hAnsi="Calibri"/>
                <w:sz w:val="18"/>
              </w:rPr>
              <w:t>draft</w:t>
            </w:r>
          </w:p>
        </w:tc>
        <w:tc>
          <w:tcPr>
            <w:tcW w:type="dxa" w:w="7488"/>
            <w:shd w:fill="F2F6FA"/>
          </w:tcPr>
          <w:p>
            <w:r/>
            <w:r>
              <w:rPr>
                <w:rFonts w:ascii="Calibri" w:hAnsi="Calibri"/>
                <w:sz w:val="18"/>
              </w:rPr>
              <w:t>Donor is preparing the grant; not yet visible to applicants.</w:t>
            </w:r>
          </w:p>
        </w:tc>
      </w:tr>
      <w:tr>
        <w:tc>
          <w:tcPr>
            <w:tcW w:type="dxa" w:w="1728"/>
            <w:shd w:fill="FFFFFF"/>
          </w:tcPr>
          <w:p>
            <w:r/>
            <w:r>
              <w:rPr>
                <w:rFonts w:ascii="Calibri" w:hAnsi="Calibri"/>
                <w:sz w:val="18"/>
              </w:rPr>
              <w:t>open</w:t>
            </w:r>
          </w:p>
        </w:tc>
        <w:tc>
          <w:tcPr>
            <w:tcW w:type="dxa" w:w="7488"/>
            <w:shd w:fill="FFFFFF"/>
          </w:tcPr>
          <w:p>
            <w:r/>
            <w:r>
              <w:rPr>
                <w:rFonts w:ascii="Calibri" w:hAnsi="Calibri"/>
                <w:sz w:val="18"/>
              </w:rPr>
              <w:t>Grant is published and accepting applications until deadline.</w:t>
            </w:r>
          </w:p>
        </w:tc>
      </w:tr>
      <w:tr>
        <w:tc>
          <w:tcPr>
            <w:tcW w:type="dxa" w:w="1728"/>
            <w:shd w:fill="F2F6FA"/>
          </w:tcPr>
          <w:p>
            <w:r/>
            <w:r>
              <w:rPr>
                <w:rFonts w:ascii="Calibri" w:hAnsi="Calibri"/>
                <w:sz w:val="18"/>
              </w:rPr>
              <w:t>review</w:t>
            </w:r>
          </w:p>
        </w:tc>
        <w:tc>
          <w:tcPr>
            <w:tcW w:type="dxa" w:w="7488"/>
            <w:shd w:fill="F2F6FA"/>
          </w:tcPr>
          <w:p>
            <w:r/>
            <w:r>
              <w:rPr>
                <w:rFonts w:ascii="Calibri" w:hAnsi="Calibri"/>
                <w:sz w:val="18"/>
              </w:rPr>
              <w:t>Submission window closed; applications under review.</w:t>
            </w:r>
          </w:p>
        </w:tc>
      </w:tr>
      <w:tr>
        <w:tc>
          <w:tcPr>
            <w:tcW w:type="dxa" w:w="1728"/>
            <w:shd w:fill="FFFFFF"/>
          </w:tcPr>
          <w:p>
            <w:r/>
            <w:r>
              <w:rPr>
                <w:rFonts w:ascii="Calibri" w:hAnsi="Calibri"/>
                <w:sz w:val="18"/>
              </w:rPr>
              <w:t>closed</w:t>
            </w:r>
          </w:p>
        </w:tc>
        <w:tc>
          <w:tcPr>
            <w:tcW w:type="dxa" w:w="7488"/>
            <w:shd w:fill="FFFFFF"/>
          </w:tcPr>
          <w:p>
            <w:r/>
            <w:r>
              <w:rPr>
                <w:rFonts w:ascii="Calibri" w:hAnsi="Calibri"/>
                <w:sz w:val="18"/>
              </w:rPr>
              <w:t>Window closed and no further submissions accepted.</w:t>
            </w:r>
          </w:p>
        </w:tc>
      </w:tr>
      <w:tr>
        <w:tc>
          <w:tcPr>
            <w:tcW w:type="dxa" w:w="1728"/>
            <w:shd w:fill="F2F6FA"/>
          </w:tcPr>
          <w:p>
            <w:r/>
            <w:r>
              <w:rPr>
                <w:rFonts w:ascii="Calibri" w:hAnsi="Calibri"/>
                <w:sz w:val="18"/>
              </w:rPr>
              <w:t>awarded</w:t>
            </w:r>
          </w:p>
        </w:tc>
        <w:tc>
          <w:tcPr>
            <w:tcW w:type="dxa" w:w="7488"/>
            <w:shd w:fill="F2F6FA"/>
          </w:tcPr>
          <w:p>
            <w:r/>
            <w:r>
              <w:rPr>
                <w:rFonts w:ascii="Calibri" w:hAnsi="Calibri"/>
                <w:sz w:val="18"/>
              </w:rPr>
              <w:t>Grant has been awarded to one or more applicants.</w:t>
            </w:r>
          </w:p>
        </w:tc>
      </w:tr>
    </w:tbl>
    <w:p/>
    <w:p>
      <w:pPr>
        <w:pStyle w:val="Heading3"/>
      </w:pPr>
      <w:r>
        <w:rPr>
          <w:rFonts w:ascii="Calibri" w:hAnsi="Calibri"/>
          <w:color w:val="2C5F8A"/>
          <w:sz w:val="22"/>
        </w:rPr>
        <w:t>Application statuses</w:t>
      </w:r>
    </w:p>
    <w:tbl>
      <w:tblPr>
        <w:tblStyle w:val="TableGrid"/>
        <w:tblW w:type="auto" w:w="0"/>
        <w:jc w:val="center"/>
        <w:tblLook w:firstColumn="1" w:firstRow="1" w:lastColumn="0" w:lastRow="0" w:noHBand="0" w:noVBand="1" w:val="04A0"/>
      </w:tblPr>
      <w:tblGrid>
        <w:gridCol w:w="4759"/>
        <w:gridCol w:w="4759"/>
      </w:tblGrid>
      <w:tr>
        <w:tc>
          <w:tcPr>
            <w:tcW w:type="dxa" w:w="2160"/>
            <w:shd w:fill="1B3A5C"/>
          </w:tcPr>
          <w:p>
            <w:pPr>
              <w:jc w:val="left"/>
            </w:pPr>
            <w:r/>
            <w:r>
              <w:rPr>
                <w:rFonts w:ascii="Calibri" w:hAnsi="Calibri"/>
                <w:b/>
                <w:color w:val="FFFFFF"/>
                <w:sz w:val="18"/>
              </w:rPr>
              <w:t>Status</w:t>
            </w:r>
          </w:p>
        </w:tc>
        <w:tc>
          <w:tcPr>
            <w:tcW w:type="dxa" w:w="7056"/>
            <w:shd w:fill="1B3A5C"/>
          </w:tcPr>
          <w:p>
            <w:pPr>
              <w:jc w:val="left"/>
            </w:pPr>
            <w:r/>
            <w:r>
              <w:rPr>
                <w:rFonts w:ascii="Calibri" w:hAnsi="Calibri"/>
                <w:b/>
                <w:color w:val="FFFFFF"/>
                <w:sz w:val="18"/>
              </w:rPr>
              <w:t>Meaning</w:t>
            </w:r>
          </w:p>
        </w:tc>
      </w:tr>
      <w:tr>
        <w:tc>
          <w:tcPr>
            <w:tcW w:type="dxa" w:w="2160"/>
            <w:shd w:fill="F2F6FA"/>
          </w:tcPr>
          <w:p>
            <w:r/>
            <w:r>
              <w:rPr>
                <w:rFonts w:ascii="Calibri" w:hAnsi="Calibri"/>
                <w:sz w:val="18"/>
              </w:rPr>
              <w:t>draft</w:t>
            </w:r>
          </w:p>
        </w:tc>
        <w:tc>
          <w:tcPr>
            <w:tcW w:type="dxa" w:w="7056"/>
            <w:shd w:fill="F2F6FA"/>
          </w:tcPr>
          <w:p>
            <w:r/>
            <w:r>
              <w:rPr>
                <w:rFonts w:ascii="Calibri" w:hAnsi="Calibri"/>
                <w:sz w:val="18"/>
              </w:rPr>
              <w:t>Applicant is preparing; not yet submitted.</w:t>
            </w:r>
          </w:p>
        </w:tc>
      </w:tr>
      <w:tr>
        <w:tc>
          <w:tcPr>
            <w:tcW w:type="dxa" w:w="2160"/>
            <w:shd w:fill="FFFFFF"/>
          </w:tcPr>
          <w:p>
            <w:r/>
            <w:r>
              <w:rPr>
                <w:rFonts w:ascii="Calibri" w:hAnsi="Calibri"/>
                <w:sz w:val="18"/>
              </w:rPr>
              <w:t>submitted</w:t>
            </w:r>
          </w:p>
        </w:tc>
        <w:tc>
          <w:tcPr>
            <w:tcW w:type="dxa" w:w="7056"/>
            <w:shd w:fill="FFFFFF"/>
          </w:tcPr>
          <w:p>
            <w:r/>
            <w:r>
              <w:rPr>
                <w:rFonts w:ascii="Calibri" w:hAnsi="Calibri"/>
                <w:sz w:val="18"/>
              </w:rPr>
              <w:t>Submitted; awaiting reviewer assignment or initial review.</w:t>
            </w:r>
          </w:p>
        </w:tc>
      </w:tr>
      <w:tr>
        <w:tc>
          <w:tcPr>
            <w:tcW w:type="dxa" w:w="2160"/>
            <w:shd w:fill="F2F6FA"/>
          </w:tcPr>
          <w:p>
            <w:r/>
            <w:r>
              <w:rPr>
                <w:rFonts w:ascii="Calibri" w:hAnsi="Calibri"/>
                <w:sz w:val="18"/>
              </w:rPr>
              <w:t>under_review</w:t>
            </w:r>
          </w:p>
        </w:tc>
        <w:tc>
          <w:tcPr>
            <w:tcW w:type="dxa" w:w="7056"/>
            <w:shd w:fill="F2F6FA"/>
          </w:tcPr>
          <w:p>
            <w:r/>
            <w:r>
              <w:rPr>
                <w:rFonts w:ascii="Calibri" w:hAnsi="Calibri"/>
                <w:sz w:val="18"/>
              </w:rPr>
              <w:t>Assigned to a reviewer who is actively evaluating.</w:t>
            </w:r>
          </w:p>
        </w:tc>
      </w:tr>
      <w:tr>
        <w:tc>
          <w:tcPr>
            <w:tcW w:type="dxa" w:w="2160"/>
            <w:shd w:fill="FFFFFF"/>
          </w:tcPr>
          <w:p>
            <w:r/>
            <w:r>
              <w:rPr>
                <w:rFonts w:ascii="Calibri" w:hAnsi="Calibri"/>
                <w:sz w:val="18"/>
              </w:rPr>
              <w:t>scored</w:t>
            </w:r>
          </w:p>
        </w:tc>
        <w:tc>
          <w:tcPr>
            <w:tcW w:type="dxa" w:w="7056"/>
            <w:shd w:fill="FFFFFF"/>
          </w:tcPr>
          <w:p>
            <w:r/>
            <w:r>
              <w:rPr>
                <w:rFonts w:ascii="Calibri" w:hAnsi="Calibri"/>
                <w:sz w:val="18"/>
              </w:rPr>
              <w:t>Reviewer has submitted scores; awaiting donor decision.</w:t>
            </w:r>
          </w:p>
        </w:tc>
      </w:tr>
      <w:tr>
        <w:tc>
          <w:tcPr>
            <w:tcW w:type="dxa" w:w="2160"/>
            <w:shd w:fill="F2F6FA"/>
          </w:tcPr>
          <w:p>
            <w:r/>
            <w:r>
              <w:rPr>
                <w:rFonts w:ascii="Calibri" w:hAnsi="Calibri"/>
                <w:sz w:val="18"/>
              </w:rPr>
              <w:t>accepted</w:t>
            </w:r>
          </w:p>
        </w:tc>
        <w:tc>
          <w:tcPr>
            <w:tcW w:type="dxa" w:w="7056"/>
            <w:shd w:fill="F2F6FA"/>
          </w:tcPr>
          <w:p>
            <w:r/>
            <w:r>
              <w:rPr>
                <w:rFonts w:ascii="Calibri" w:hAnsi="Calibri"/>
                <w:sz w:val="18"/>
              </w:rPr>
              <w:t>Donor has accepted the application and the grant is awarded.</w:t>
            </w:r>
          </w:p>
        </w:tc>
      </w:tr>
      <w:tr>
        <w:tc>
          <w:tcPr>
            <w:tcW w:type="dxa" w:w="2160"/>
            <w:shd w:fill="FFFFFF"/>
          </w:tcPr>
          <w:p>
            <w:r/>
            <w:r>
              <w:rPr>
                <w:rFonts w:ascii="Calibri" w:hAnsi="Calibri"/>
                <w:sz w:val="18"/>
              </w:rPr>
              <w:t>rejected</w:t>
            </w:r>
          </w:p>
        </w:tc>
        <w:tc>
          <w:tcPr>
            <w:tcW w:type="dxa" w:w="7056"/>
            <w:shd w:fill="FFFFFF"/>
          </w:tcPr>
          <w:p>
            <w:r/>
            <w:r>
              <w:rPr>
                <w:rFonts w:ascii="Calibri" w:hAnsi="Calibri"/>
                <w:sz w:val="18"/>
              </w:rPr>
              <w:t>Donor has declined the application.</w:t>
            </w:r>
          </w:p>
        </w:tc>
      </w:tr>
    </w:tbl>
    <w:p/>
    <w:p>
      <w:pPr>
        <w:pStyle w:val="Heading3"/>
      </w:pPr>
      <w:r>
        <w:rPr>
          <w:rFonts w:ascii="Calibri" w:hAnsi="Calibri"/>
          <w:color w:val="2C5F8A"/>
          <w:sz w:val="22"/>
        </w:rPr>
        <w:t>Assessment statuses</w:t>
      </w:r>
    </w:p>
    <w:tbl>
      <w:tblPr>
        <w:tblStyle w:val="TableGrid"/>
        <w:tblW w:type="auto" w:w="0"/>
        <w:jc w:val="center"/>
        <w:tblLook w:firstColumn="1" w:firstRow="1" w:lastColumn="0" w:lastRow="0" w:noHBand="0" w:noVBand="1" w:val="04A0"/>
      </w:tblPr>
      <w:tblGrid>
        <w:gridCol w:w="4759"/>
        <w:gridCol w:w="4759"/>
      </w:tblGrid>
      <w:tr>
        <w:tc>
          <w:tcPr>
            <w:tcW w:type="dxa" w:w="2160"/>
            <w:shd w:fill="1B3A5C"/>
          </w:tcPr>
          <w:p>
            <w:pPr>
              <w:jc w:val="left"/>
            </w:pPr>
            <w:r/>
            <w:r>
              <w:rPr>
                <w:rFonts w:ascii="Calibri" w:hAnsi="Calibri"/>
                <w:b/>
                <w:color w:val="FFFFFF"/>
                <w:sz w:val="18"/>
              </w:rPr>
              <w:t>Status</w:t>
            </w:r>
          </w:p>
        </w:tc>
        <w:tc>
          <w:tcPr>
            <w:tcW w:type="dxa" w:w="7056"/>
            <w:shd w:fill="1B3A5C"/>
          </w:tcPr>
          <w:p>
            <w:pPr>
              <w:jc w:val="left"/>
            </w:pPr>
            <w:r/>
            <w:r>
              <w:rPr>
                <w:rFonts w:ascii="Calibri" w:hAnsi="Calibri"/>
                <w:b/>
                <w:color w:val="FFFFFF"/>
                <w:sz w:val="18"/>
              </w:rPr>
              <w:t>Meaning</w:t>
            </w:r>
          </w:p>
        </w:tc>
      </w:tr>
      <w:tr>
        <w:tc>
          <w:tcPr>
            <w:tcW w:type="dxa" w:w="2160"/>
            <w:shd w:fill="F2F6FA"/>
          </w:tcPr>
          <w:p>
            <w:r/>
            <w:r>
              <w:rPr>
                <w:rFonts w:ascii="Calibri" w:hAnsi="Calibri"/>
                <w:sz w:val="18"/>
              </w:rPr>
              <w:t>in_progress</w:t>
            </w:r>
          </w:p>
        </w:tc>
        <w:tc>
          <w:tcPr>
            <w:tcW w:type="dxa" w:w="7056"/>
            <w:shd w:fill="F2F6FA"/>
          </w:tcPr>
          <w:p>
            <w:r/>
            <w:r>
              <w:rPr>
                <w:rFonts w:ascii="Calibri" w:hAnsi="Calibri"/>
                <w:sz w:val="18"/>
              </w:rPr>
              <w:t>Assessment started; responses being captured.</w:t>
            </w:r>
          </w:p>
        </w:tc>
      </w:tr>
      <w:tr>
        <w:tc>
          <w:tcPr>
            <w:tcW w:type="dxa" w:w="2160"/>
            <w:shd w:fill="FFFFFF"/>
          </w:tcPr>
          <w:p>
            <w:r/>
            <w:r>
              <w:rPr>
                <w:rFonts w:ascii="Calibri" w:hAnsi="Calibri"/>
                <w:sz w:val="18"/>
              </w:rPr>
              <w:t>completed</w:t>
            </w:r>
          </w:p>
        </w:tc>
        <w:tc>
          <w:tcPr>
            <w:tcW w:type="dxa" w:w="7056"/>
            <w:shd w:fill="FFFFFF"/>
          </w:tcPr>
          <w:p>
            <w:r/>
            <w:r>
              <w:rPr>
                <w:rFonts w:ascii="Calibri" w:hAnsi="Calibri"/>
                <w:sz w:val="18"/>
              </w:rPr>
              <w:t>Assessment scored and added to the capacity passport.</w:t>
            </w:r>
          </w:p>
        </w:tc>
      </w:tr>
      <w:tr>
        <w:tc>
          <w:tcPr>
            <w:tcW w:type="dxa" w:w="2160"/>
            <w:shd w:fill="F2F6FA"/>
          </w:tcPr>
          <w:p>
            <w:r/>
            <w:r>
              <w:rPr>
                <w:rFonts w:ascii="Calibri" w:hAnsi="Calibri"/>
                <w:sz w:val="18"/>
              </w:rPr>
              <w:t>expired</w:t>
            </w:r>
          </w:p>
        </w:tc>
        <w:tc>
          <w:tcPr>
            <w:tcW w:type="dxa" w:w="7056"/>
            <w:shd w:fill="F2F6FA"/>
          </w:tcPr>
          <w:p>
            <w:r/>
            <w:r>
              <w:rPr>
                <w:rFonts w:ascii="Calibri" w:hAnsi="Calibri"/>
                <w:sz w:val="18"/>
              </w:rPr>
              <w:t>Assessment is older than the donor's accepted recency window.</w:t>
            </w:r>
          </w:p>
        </w:tc>
      </w:tr>
    </w:tbl>
    <w:p/>
    <w:p>
      <w:pPr>
        <w:pStyle w:val="Heading3"/>
      </w:pPr>
      <w:r>
        <w:rPr>
          <w:rFonts w:ascii="Calibri" w:hAnsi="Calibri"/>
          <w:color w:val="2C5F8A"/>
          <w:sz w:val="22"/>
        </w:rPr>
        <w:t>Report statuses</w:t>
      </w:r>
    </w:p>
    <w:tbl>
      <w:tblPr>
        <w:tblStyle w:val="TableGrid"/>
        <w:tblW w:type="auto" w:w="0"/>
        <w:jc w:val="center"/>
        <w:tblLook w:firstColumn="1" w:firstRow="1" w:lastColumn="0" w:lastRow="0" w:noHBand="0" w:noVBand="1" w:val="04A0"/>
      </w:tblPr>
      <w:tblGrid>
        <w:gridCol w:w="4759"/>
        <w:gridCol w:w="4759"/>
      </w:tblGrid>
      <w:tr>
        <w:tc>
          <w:tcPr>
            <w:tcW w:type="dxa" w:w="2448"/>
            <w:shd w:fill="1B3A5C"/>
          </w:tcPr>
          <w:p>
            <w:pPr>
              <w:jc w:val="left"/>
            </w:pPr>
            <w:r/>
            <w:r>
              <w:rPr>
                <w:rFonts w:ascii="Calibri" w:hAnsi="Calibri"/>
                <w:b/>
                <w:color w:val="FFFFFF"/>
                <w:sz w:val="18"/>
              </w:rPr>
              <w:t>Status</w:t>
            </w:r>
          </w:p>
        </w:tc>
        <w:tc>
          <w:tcPr>
            <w:tcW w:type="dxa" w:w="6768"/>
            <w:shd w:fill="1B3A5C"/>
          </w:tcPr>
          <w:p>
            <w:pPr>
              <w:jc w:val="left"/>
            </w:pPr>
            <w:r/>
            <w:r>
              <w:rPr>
                <w:rFonts w:ascii="Calibri" w:hAnsi="Calibri"/>
                <w:b/>
                <w:color w:val="FFFFFF"/>
                <w:sz w:val="18"/>
              </w:rPr>
              <w:t>Meaning</w:t>
            </w:r>
          </w:p>
        </w:tc>
      </w:tr>
      <w:tr>
        <w:tc>
          <w:tcPr>
            <w:tcW w:type="dxa" w:w="2448"/>
            <w:shd w:fill="F2F6FA"/>
          </w:tcPr>
          <w:p>
            <w:r/>
            <w:r>
              <w:rPr>
                <w:rFonts w:ascii="Calibri" w:hAnsi="Calibri"/>
                <w:sz w:val="18"/>
              </w:rPr>
              <w:t>draft</w:t>
            </w:r>
          </w:p>
        </w:tc>
        <w:tc>
          <w:tcPr>
            <w:tcW w:type="dxa" w:w="6768"/>
            <w:shd w:fill="F2F6FA"/>
          </w:tcPr>
          <w:p>
            <w:r/>
            <w:r>
              <w:rPr>
                <w:rFonts w:ascii="Calibri" w:hAnsi="Calibri"/>
                <w:sz w:val="18"/>
              </w:rPr>
              <w:t>Report being prepared by the NGO.</w:t>
            </w:r>
          </w:p>
        </w:tc>
      </w:tr>
      <w:tr>
        <w:tc>
          <w:tcPr>
            <w:tcW w:type="dxa" w:w="2448"/>
            <w:shd w:fill="FFFFFF"/>
          </w:tcPr>
          <w:p>
            <w:r/>
            <w:r>
              <w:rPr>
                <w:rFonts w:ascii="Calibri" w:hAnsi="Calibri"/>
                <w:sz w:val="18"/>
              </w:rPr>
              <w:t>submitted</w:t>
            </w:r>
          </w:p>
        </w:tc>
        <w:tc>
          <w:tcPr>
            <w:tcW w:type="dxa" w:w="6768"/>
            <w:shd w:fill="FFFFFF"/>
          </w:tcPr>
          <w:p>
            <w:r/>
            <w:r>
              <w:rPr>
                <w:rFonts w:ascii="Calibri" w:hAnsi="Calibri"/>
                <w:sz w:val="18"/>
              </w:rPr>
              <w:t>Report submitted; awaiting donor review.</w:t>
            </w:r>
          </w:p>
        </w:tc>
      </w:tr>
      <w:tr>
        <w:tc>
          <w:tcPr>
            <w:tcW w:type="dxa" w:w="2448"/>
            <w:shd w:fill="F2F6FA"/>
          </w:tcPr>
          <w:p>
            <w:r/>
            <w:r>
              <w:rPr>
                <w:rFonts w:ascii="Calibri" w:hAnsi="Calibri"/>
                <w:sz w:val="18"/>
              </w:rPr>
              <w:t>accepted</w:t>
            </w:r>
          </w:p>
        </w:tc>
        <w:tc>
          <w:tcPr>
            <w:tcW w:type="dxa" w:w="6768"/>
            <w:shd w:fill="F2F6FA"/>
          </w:tcPr>
          <w:p>
            <w:r/>
            <w:r>
              <w:rPr>
                <w:rFonts w:ascii="Calibri" w:hAnsi="Calibri"/>
                <w:sz w:val="18"/>
              </w:rPr>
              <w:t>Report accepted by the donor.</w:t>
            </w:r>
          </w:p>
        </w:tc>
      </w:tr>
      <w:tr>
        <w:tc>
          <w:tcPr>
            <w:tcW w:type="dxa" w:w="2448"/>
            <w:shd w:fill="FFFFFF"/>
          </w:tcPr>
          <w:p>
            <w:r/>
            <w:r>
              <w:rPr>
                <w:rFonts w:ascii="Calibri" w:hAnsi="Calibri"/>
                <w:sz w:val="18"/>
              </w:rPr>
              <w:t>revision_requested</w:t>
            </w:r>
          </w:p>
        </w:tc>
        <w:tc>
          <w:tcPr>
            <w:tcW w:type="dxa" w:w="6768"/>
            <w:shd w:fill="FFFFFF"/>
          </w:tcPr>
          <w:p>
            <w:r/>
            <w:r>
              <w:rPr>
                <w:rFonts w:ascii="Calibri" w:hAnsi="Calibri"/>
                <w:sz w:val="18"/>
              </w:rPr>
              <w:t>Donor has requested revisions with structured feedback.</w:t>
            </w:r>
          </w:p>
        </w:tc>
      </w:tr>
    </w:tbl>
    <w:p/>
    <w:p>
      <w:pPr>
        <w:pStyle w:val="Heading3"/>
      </w:pPr>
      <w:r>
        <w:rPr>
          <w:rFonts w:ascii="Calibri" w:hAnsi="Calibri"/>
          <w:color w:val="2C5F8A"/>
          <w:sz w:val="22"/>
        </w:rPr>
        <w:t>Compliance statuses</w:t>
      </w:r>
    </w:p>
    <w:tbl>
      <w:tblPr>
        <w:tblStyle w:val="TableGrid"/>
        <w:tblW w:type="auto" w:w="0"/>
        <w:jc w:val="center"/>
        <w:tblLook w:firstColumn="1" w:firstRow="1" w:lastColumn="0" w:lastRow="0" w:noHBand="0" w:noVBand="1" w:val="04A0"/>
      </w:tblPr>
      <w:tblGrid>
        <w:gridCol w:w="4759"/>
        <w:gridCol w:w="4759"/>
      </w:tblGrid>
      <w:tr>
        <w:tc>
          <w:tcPr>
            <w:tcW w:type="dxa" w:w="1728"/>
            <w:shd w:fill="1B3A5C"/>
          </w:tcPr>
          <w:p>
            <w:pPr>
              <w:jc w:val="left"/>
            </w:pPr>
            <w:r/>
            <w:r>
              <w:rPr>
                <w:rFonts w:ascii="Calibri" w:hAnsi="Calibri"/>
                <w:b/>
                <w:color w:val="FFFFFF"/>
                <w:sz w:val="18"/>
              </w:rPr>
              <w:t>Status</w:t>
            </w:r>
          </w:p>
        </w:tc>
        <w:tc>
          <w:tcPr>
            <w:tcW w:type="dxa" w:w="7488"/>
            <w:shd w:fill="1B3A5C"/>
          </w:tcPr>
          <w:p>
            <w:pPr>
              <w:jc w:val="left"/>
            </w:pPr>
            <w:r/>
            <w:r>
              <w:rPr>
                <w:rFonts w:ascii="Calibri" w:hAnsi="Calibri"/>
                <w:b/>
                <w:color w:val="FFFFFF"/>
                <w:sz w:val="18"/>
              </w:rPr>
              <w:t>Meaning</w:t>
            </w:r>
          </w:p>
        </w:tc>
      </w:tr>
      <w:tr>
        <w:tc>
          <w:tcPr>
            <w:tcW w:type="dxa" w:w="1728"/>
            <w:shd w:fill="F2F6FA"/>
          </w:tcPr>
          <w:p>
            <w:r/>
            <w:r>
              <w:rPr>
                <w:rFonts w:ascii="Calibri" w:hAnsi="Calibri"/>
                <w:sz w:val="18"/>
              </w:rPr>
              <w:t>clear</w:t>
            </w:r>
          </w:p>
        </w:tc>
        <w:tc>
          <w:tcPr>
            <w:tcW w:type="dxa" w:w="7488"/>
            <w:shd w:fill="F2F6FA"/>
          </w:tcPr>
          <w:p>
            <w:r/>
            <w:r>
              <w:rPr>
                <w:rFonts w:ascii="Calibri" w:hAnsi="Calibri"/>
                <w:sz w:val="18"/>
              </w:rPr>
              <w:t>No matches found across screening sources.</w:t>
            </w:r>
          </w:p>
        </w:tc>
      </w:tr>
      <w:tr>
        <w:tc>
          <w:tcPr>
            <w:tcW w:type="dxa" w:w="1728"/>
            <w:shd w:fill="FFFFFF"/>
          </w:tcPr>
          <w:p>
            <w:r/>
            <w:r>
              <w:rPr>
                <w:rFonts w:ascii="Calibri" w:hAnsi="Calibri"/>
                <w:sz w:val="18"/>
              </w:rPr>
              <w:t>flagged</w:t>
            </w:r>
          </w:p>
        </w:tc>
        <w:tc>
          <w:tcPr>
            <w:tcW w:type="dxa" w:w="7488"/>
            <w:shd w:fill="FFFFFF"/>
          </w:tcPr>
          <w:p>
            <w:r/>
            <w:r>
              <w:rPr>
                <w:rFonts w:ascii="Calibri" w:hAnsi="Calibri"/>
                <w:sz w:val="18"/>
              </w:rPr>
              <w:t>One or more screening sources returned a match awaiting administrative review.</w:t>
            </w:r>
          </w:p>
        </w:tc>
      </w:tr>
      <w:tr>
        <w:tc>
          <w:tcPr>
            <w:tcW w:type="dxa" w:w="1728"/>
            <w:shd w:fill="F2F6FA"/>
          </w:tcPr>
          <w:p>
            <w:r/>
            <w:r>
              <w:rPr>
                <w:rFonts w:ascii="Calibri" w:hAnsi="Calibri"/>
                <w:sz w:val="18"/>
              </w:rPr>
              <w:t>pending</w:t>
            </w:r>
          </w:p>
        </w:tc>
        <w:tc>
          <w:tcPr>
            <w:tcW w:type="dxa" w:w="7488"/>
            <w:shd w:fill="F2F6FA"/>
          </w:tcPr>
          <w:p>
            <w:r/>
            <w:r>
              <w:rPr>
                <w:rFonts w:ascii="Calibri" w:hAnsi="Calibri"/>
                <w:sz w:val="18"/>
              </w:rPr>
              <w:t>Screening is in progress or queued.</w:t>
            </w:r>
          </w:p>
        </w:tc>
      </w:tr>
      <w:tr>
        <w:tc>
          <w:tcPr>
            <w:tcW w:type="dxa" w:w="1728"/>
            <w:shd w:fill="FFFFFF"/>
          </w:tcPr>
          <w:p>
            <w:r/>
            <w:r>
              <w:rPr>
                <w:rFonts w:ascii="Calibri" w:hAnsi="Calibri"/>
                <w:sz w:val="18"/>
              </w:rPr>
              <w:t>error</w:t>
            </w:r>
          </w:p>
        </w:tc>
        <w:tc>
          <w:tcPr>
            <w:tcW w:type="dxa" w:w="7488"/>
            <w:shd w:fill="FFFFFF"/>
          </w:tcPr>
          <w:p>
            <w:r/>
            <w:r>
              <w:rPr>
                <w:rFonts w:ascii="Calibri" w:hAnsi="Calibri"/>
                <w:sz w:val="18"/>
              </w:rPr>
              <w:t>Screening could not be completed; will be retried.</w:t>
            </w:r>
          </w:p>
        </w:tc>
      </w:tr>
    </w:tbl>
    <w:p/>
    <w:p>
      <w:pPr>
        <w:pStyle w:val="Heading3"/>
      </w:pPr>
      <w:r>
        <w:rPr>
          <w:rFonts w:ascii="Calibri" w:hAnsi="Calibri"/>
          <w:color w:val="2C5F8A"/>
          <w:sz w:val="22"/>
        </w:rPr>
        <w:t>Compliance health bands</w:t>
      </w:r>
    </w:p>
    <w:tbl>
      <w:tblPr>
        <w:tblStyle w:val="TableGrid"/>
        <w:tblW w:type="auto" w:w="0"/>
        <w:jc w:val="center"/>
        <w:tblLook w:firstColumn="1" w:firstRow="1" w:lastColumn="0" w:lastRow="0" w:noHBand="0" w:noVBand="1" w:val="04A0"/>
      </w:tblPr>
      <w:tblGrid>
        <w:gridCol w:w="3173"/>
        <w:gridCol w:w="3173"/>
        <w:gridCol w:w="3173"/>
      </w:tblGrid>
      <w:tr>
        <w:tc>
          <w:tcPr>
            <w:tcW w:type="dxa" w:w="1728"/>
            <w:shd w:fill="1B3A5C"/>
          </w:tcPr>
          <w:p>
            <w:pPr>
              <w:jc w:val="left"/>
            </w:pPr>
            <w:r/>
            <w:r>
              <w:rPr>
                <w:rFonts w:ascii="Calibri" w:hAnsi="Calibri"/>
                <w:b/>
                <w:color w:val="FFFFFF"/>
                <w:sz w:val="18"/>
              </w:rPr>
              <w:t>Band</w:t>
            </w:r>
          </w:p>
        </w:tc>
        <w:tc>
          <w:tcPr>
            <w:tcW w:type="dxa" w:w="1728"/>
            <w:shd w:fill="1B3A5C"/>
          </w:tcPr>
          <w:p>
            <w:pPr>
              <w:jc w:val="left"/>
            </w:pPr>
            <w:r/>
            <w:r>
              <w:rPr>
                <w:rFonts w:ascii="Calibri" w:hAnsi="Calibri"/>
                <w:b/>
                <w:color w:val="FFFFFF"/>
                <w:sz w:val="18"/>
              </w:rPr>
              <w:t>Score range</w:t>
            </w:r>
          </w:p>
        </w:tc>
        <w:tc>
          <w:tcPr>
            <w:tcW w:type="dxa" w:w="5760"/>
            <w:shd w:fill="1B3A5C"/>
          </w:tcPr>
          <w:p>
            <w:pPr>
              <w:jc w:val="left"/>
            </w:pPr>
            <w:r/>
            <w:r>
              <w:rPr>
                <w:rFonts w:ascii="Calibri" w:hAnsi="Calibri"/>
                <w:b/>
                <w:color w:val="FFFFFF"/>
                <w:sz w:val="18"/>
              </w:rPr>
              <w:t>Meaning</w:t>
            </w:r>
          </w:p>
        </w:tc>
      </w:tr>
      <w:tr>
        <w:tc>
          <w:tcPr>
            <w:tcW w:type="dxa" w:w="1728"/>
            <w:shd w:fill="F2F6FA"/>
          </w:tcPr>
          <w:p>
            <w:r/>
            <w:r>
              <w:rPr>
                <w:rFonts w:ascii="Calibri" w:hAnsi="Calibri"/>
                <w:sz w:val="18"/>
              </w:rPr>
              <w:t>on_track</w:t>
            </w:r>
          </w:p>
        </w:tc>
        <w:tc>
          <w:tcPr>
            <w:tcW w:type="dxa" w:w="1728"/>
            <w:shd w:fill="F2F6FA"/>
          </w:tcPr>
          <w:p>
            <w:r/>
            <w:r>
              <w:rPr>
                <w:rFonts w:ascii="Calibri" w:hAnsi="Calibri"/>
                <w:sz w:val="18"/>
              </w:rPr>
              <w:t>80–100</w:t>
            </w:r>
          </w:p>
        </w:tc>
        <w:tc>
          <w:tcPr>
            <w:tcW w:type="dxa" w:w="5760"/>
            <w:shd w:fill="F2F6FA"/>
          </w:tcPr>
          <w:p>
            <w:r/>
            <w:r>
              <w:rPr>
                <w:rFonts w:ascii="Calibri" w:hAnsi="Calibri"/>
                <w:sz w:val="18"/>
              </w:rPr>
              <w:t>Grant is meeting expectations across all pillars.</w:t>
            </w:r>
          </w:p>
        </w:tc>
      </w:tr>
      <w:tr>
        <w:tc>
          <w:tcPr>
            <w:tcW w:type="dxa" w:w="1728"/>
            <w:shd w:fill="FFFFFF"/>
          </w:tcPr>
          <w:p>
            <w:r/>
            <w:r>
              <w:rPr>
                <w:rFonts w:ascii="Calibri" w:hAnsi="Calibri"/>
                <w:sz w:val="18"/>
              </w:rPr>
              <w:t>at_risk</w:t>
            </w:r>
          </w:p>
        </w:tc>
        <w:tc>
          <w:tcPr>
            <w:tcW w:type="dxa" w:w="1728"/>
            <w:shd w:fill="FFFFFF"/>
          </w:tcPr>
          <w:p>
            <w:r/>
            <w:r>
              <w:rPr>
                <w:rFonts w:ascii="Calibri" w:hAnsi="Calibri"/>
                <w:sz w:val="18"/>
              </w:rPr>
              <w:t>60–79</w:t>
            </w:r>
          </w:p>
        </w:tc>
        <w:tc>
          <w:tcPr>
            <w:tcW w:type="dxa" w:w="5760"/>
            <w:shd w:fill="FFFFFF"/>
          </w:tcPr>
          <w:p>
            <w:r/>
            <w:r>
              <w:rPr>
                <w:rFonts w:ascii="Calibri" w:hAnsi="Calibri"/>
                <w:sz w:val="18"/>
              </w:rPr>
              <w:t>Grant shows early-warning signals; intervention recommended.</w:t>
            </w:r>
          </w:p>
        </w:tc>
      </w:tr>
      <w:tr>
        <w:tc>
          <w:tcPr>
            <w:tcW w:type="dxa" w:w="1728"/>
            <w:shd w:fill="F2F6FA"/>
          </w:tcPr>
          <w:p>
            <w:r/>
            <w:r>
              <w:rPr>
                <w:rFonts w:ascii="Calibri" w:hAnsi="Calibri"/>
                <w:sz w:val="18"/>
              </w:rPr>
              <w:t>high_risk</w:t>
            </w:r>
          </w:p>
        </w:tc>
        <w:tc>
          <w:tcPr>
            <w:tcW w:type="dxa" w:w="1728"/>
            <w:shd w:fill="F2F6FA"/>
          </w:tcPr>
          <w:p>
            <w:r/>
            <w:r>
              <w:rPr>
                <w:rFonts w:ascii="Calibri" w:hAnsi="Calibri"/>
                <w:sz w:val="18"/>
              </w:rPr>
              <w:t>0–59</w:t>
            </w:r>
          </w:p>
        </w:tc>
        <w:tc>
          <w:tcPr>
            <w:tcW w:type="dxa" w:w="5760"/>
            <w:shd w:fill="F2F6FA"/>
          </w:tcPr>
          <w:p>
            <w:r/>
            <w:r>
              <w:rPr>
                <w:rFonts w:ascii="Calibri" w:hAnsi="Calibri"/>
                <w:sz w:val="18"/>
              </w:rPr>
              <w:t>Grant is materially off-track on one or more pillars; immediate attention required.</w:t>
            </w:r>
          </w:p>
        </w:tc>
      </w:tr>
    </w:tbl>
    <w:p/>
    <w:p>
      <w:pPr>
        <w:pStyle w:val="Heading3"/>
      </w:pPr>
      <w:r>
        <w:rPr>
          <w:rFonts w:ascii="Calibri" w:hAnsi="Calibri"/>
          <w:color w:val="2C5F8A"/>
          <w:sz w:val="22"/>
        </w:rPr>
        <w:t>Risk statuses</w:t>
      </w:r>
    </w:p>
    <w:tbl>
      <w:tblPr>
        <w:tblStyle w:val="TableGrid"/>
        <w:tblW w:type="auto" w:w="0"/>
        <w:jc w:val="center"/>
        <w:tblLook w:firstColumn="1" w:firstRow="1" w:lastColumn="0" w:lastRow="0" w:noHBand="0" w:noVBand="1" w:val="04A0"/>
      </w:tblPr>
      <w:tblGrid>
        <w:gridCol w:w="4759"/>
        <w:gridCol w:w="4759"/>
      </w:tblGrid>
      <w:tr>
        <w:tc>
          <w:tcPr>
            <w:tcW w:type="dxa" w:w="2016"/>
            <w:shd w:fill="1B3A5C"/>
          </w:tcPr>
          <w:p>
            <w:pPr>
              <w:jc w:val="left"/>
            </w:pPr>
            <w:r/>
            <w:r>
              <w:rPr>
                <w:rFonts w:ascii="Calibri" w:hAnsi="Calibri"/>
                <w:b/>
                <w:color w:val="FFFFFF"/>
                <w:sz w:val="18"/>
              </w:rPr>
              <w:t>Status</w:t>
            </w:r>
          </w:p>
        </w:tc>
        <w:tc>
          <w:tcPr>
            <w:tcW w:type="dxa" w:w="7200"/>
            <w:shd w:fill="1B3A5C"/>
          </w:tcPr>
          <w:p>
            <w:pPr>
              <w:jc w:val="left"/>
            </w:pPr>
            <w:r/>
            <w:r>
              <w:rPr>
                <w:rFonts w:ascii="Calibri" w:hAnsi="Calibri"/>
                <w:b/>
                <w:color w:val="FFFFFF"/>
                <w:sz w:val="18"/>
              </w:rPr>
              <w:t>Meaning</w:t>
            </w:r>
          </w:p>
        </w:tc>
      </w:tr>
      <w:tr>
        <w:tc>
          <w:tcPr>
            <w:tcW w:type="dxa" w:w="2016"/>
            <w:shd w:fill="F2F6FA"/>
          </w:tcPr>
          <w:p>
            <w:r/>
            <w:r>
              <w:rPr>
                <w:rFonts w:ascii="Calibri" w:hAnsi="Calibri"/>
                <w:sz w:val="18"/>
              </w:rPr>
              <w:t>open</w:t>
            </w:r>
          </w:p>
        </w:tc>
        <w:tc>
          <w:tcPr>
            <w:tcW w:type="dxa" w:w="7200"/>
            <w:shd w:fill="F2F6FA"/>
          </w:tcPr>
          <w:p>
            <w:r/>
            <w:r>
              <w:rPr>
                <w:rFonts w:ascii="Calibri" w:hAnsi="Calibri"/>
                <w:sz w:val="18"/>
              </w:rPr>
              <w:t>Risk identified; no response in flight.</w:t>
            </w:r>
          </w:p>
        </w:tc>
      </w:tr>
      <w:tr>
        <w:tc>
          <w:tcPr>
            <w:tcW w:type="dxa" w:w="2016"/>
            <w:shd w:fill="FFFFFF"/>
          </w:tcPr>
          <w:p>
            <w:r/>
            <w:r>
              <w:rPr>
                <w:rFonts w:ascii="Calibri" w:hAnsi="Calibri"/>
                <w:sz w:val="18"/>
              </w:rPr>
              <w:t>mitigating</w:t>
            </w:r>
          </w:p>
        </w:tc>
        <w:tc>
          <w:tcPr>
            <w:tcW w:type="dxa" w:w="7200"/>
            <w:shd w:fill="FFFFFF"/>
          </w:tcPr>
          <w:p>
            <w:r/>
            <w:r>
              <w:rPr>
                <w:rFonts w:ascii="Calibri" w:hAnsi="Calibri"/>
                <w:sz w:val="18"/>
              </w:rPr>
              <w:t>Owner is actively working to mitigate; due date set.</w:t>
            </w:r>
          </w:p>
        </w:tc>
      </w:tr>
      <w:tr>
        <w:tc>
          <w:tcPr>
            <w:tcW w:type="dxa" w:w="2016"/>
            <w:shd w:fill="F2F6FA"/>
          </w:tcPr>
          <w:p>
            <w:r/>
            <w:r>
              <w:rPr>
                <w:rFonts w:ascii="Calibri" w:hAnsi="Calibri"/>
                <w:sz w:val="18"/>
              </w:rPr>
              <w:t>mitigated</w:t>
            </w:r>
          </w:p>
        </w:tc>
        <w:tc>
          <w:tcPr>
            <w:tcW w:type="dxa" w:w="7200"/>
            <w:shd w:fill="F2F6FA"/>
          </w:tcPr>
          <w:p>
            <w:r/>
            <w:r>
              <w:rPr>
                <w:rFonts w:ascii="Calibri" w:hAnsi="Calibri"/>
                <w:sz w:val="18"/>
              </w:rPr>
              <w:t>Mitigation completed and verified; risk closed.</w:t>
            </w:r>
          </w:p>
        </w:tc>
      </w:tr>
      <w:tr>
        <w:tc>
          <w:tcPr>
            <w:tcW w:type="dxa" w:w="2016"/>
            <w:shd w:fill="FFFFFF"/>
          </w:tcPr>
          <w:p>
            <w:r/>
            <w:r>
              <w:rPr>
                <w:rFonts w:ascii="Calibri" w:hAnsi="Calibri"/>
                <w:sz w:val="18"/>
              </w:rPr>
              <w:t>accepted</w:t>
            </w:r>
          </w:p>
        </w:tc>
        <w:tc>
          <w:tcPr>
            <w:tcW w:type="dxa" w:w="7200"/>
            <w:shd w:fill="FFFFFF"/>
          </w:tcPr>
          <w:p>
            <w:r/>
            <w:r>
              <w:rPr>
                <w:rFonts w:ascii="Calibri" w:hAnsi="Calibri"/>
                <w:sz w:val="18"/>
              </w:rPr>
              <w:t>Risk acknowledged and accepted by the donor as a known condition.</w:t>
            </w:r>
          </w:p>
        </w:tc>
      </w:tr>
      <w:tr>
        <w:tc>
          <w:tcPr>
            <w:tcW w:type="dxa" w:w="2016"/>
            <w:shd w:fill="F2F6FA"/>
          </w:tcPr>
          <w:p>
            <w:r/>
            <w:r>
              <w:rPr>
                <w:rFonts w:ascii="Calibri" w:hAnsi="Calibri"/>
                <w:sz w:val="18"/>
              </w:rPr>
              <w:t>dismissed</w:t>
            </w:r>
          </w:p>
        </w:tc>
        <w:tc>
          <w:tcPr>
            <w:tcW w:type="dxa" w:w="7200"/>
            <w:shd w:fill="F2F6FA"/>
          </w:tcPr>
          <w:p>
            <w:r/>
            <w:r>
              <w:rPr>
                <w:rFonts w:ascii="Calibri" w:hAnsi="Calibri"/>
                <w:sz w:val="18"/>
              </w:rPr>
              <w:t>Risk determined to be a false positive or no longer applicable.</w:t>
            </w:r>
          </w:p>
        </w:tc>
      </w:tr>
    </w:tbl>
    <w:p>
      <w:r>
        <w:br w:type="page"/>
      </w:r>
    </w:p>
    <w:p>
      <w:pPr>
        <w:pStyle w:val="Heading2"/>
      </w:pPr>
      <w:r>
        <w:rPr>
          <w:rFonts w:ascii="Calibri" w:hAnsi="Calibri"/>
          <w:color w:val="1B3A5C"/>
          <w:sz w:val="26"/>
        </w:rPr>
        <w:t>Appendix B: Glossary</w:t>
      </w:r>
    </w:p>
    <w:tbl>
      <w:tblPr>
        <w:tblStyle w:val="TableGrid"/>
        <w:tblW w:type="auto" w:w="0"/>
        <w:jc w:val="center"/>
        <w:tblLook w:firstColumn="1" w:firstRow="1" w:lastColumn="0" w:lastRow="0" w:noHBand="0" w:noVBand="1" w:val="04A0"/>
      </w:tblPr>
      <w:tblGrid>
        <w:gridCol w:w="4759"/>
        <w:gridCol w:w="4759"/>
      </w:tblGrid>
      <w:tr>
        <w:tc>
          <w:tcPr>
            <w:tcW w:type="dxa" w:w="2304"/>
            <w:shd w:fill="1B3A5C"/>
          </w:tcPr>
          <w:p>
            <w:pPr>
              <w:jc w:val="left"/>
            </w:pPr>
            <w:r/>
            <w:r>
              <w:rPr>
                <w:rFonts w:ascii="Calibri" w:hAnsi="Calibri"/>
                <w:b/>
                <w:color w:val="FFFFFF"/>
                <w:sz w:val="18"/>
              </w:rPr>
              <w:t>Term</w:t>
            </w:r>
          </w:p>
        </w:tc>
        <w:tc>
          <w:tcPr>
            <w:tcW w:type="dxa" w:w="6912"/>
            <w:shd w:fill="1B3A5C"/>
          </w:tcPr>
          <w:p>
            <w:pPr>
              <w:jc w:val="left"/>
            </w:pPr>
            <w:r/>
            <w:r>
              <w:rPr>
                <w:rFonts w:ascii="Calibri" w:hAnsi="Calibri"/>
                <w:b/>
                <w:color w:val="FFFFFF"/>
                <w:sz w:val="18"/>
              </w:rPr>
              <w:t>Definition</w:t>
            </w:r>
          </w:p>
        </w:tc>
      </w:tr>
      <w:tr>
        <w:tc>
          <w:tcPr>
            <w:tcW w:type="dxa" w:w="2304"/>
            <w:shd w:fill="F2F6FA"/>
          </w:tcPr>
          <w:p>
            <w:r/>
            <w:r>
              <w:rPr>
                <w:rFonts w:ascii="Calibri" w:hAnsi="Calibri"/>
                <w:sz w:val="18"/>
              </w:rPr>
              <w:t>Application</w:t>
            </w:r>
          </w:p>
        </w:tc>
        <w:tc>
          <w:tcPr>
            <w:tcW w:type="dxa" w:w="6912"/>
            <w:shd w:fill="F2F6FA"/>
          </w:tcPr>
          <w:p>
            <w:r/>
            <w:r>
              <w:rPr>
                <w:rFonts w:ascii="Calibri" w:hAnsi="Calibri"/>
                <w:sz w:val="18"/>
              </w:rPr>
              <w:t>An NGO's response to a specific grant, comprising eligibility responses, criterion responses, attached documents, and submission metadata.</w:t>
            </w:r>
          </w:p>
        </w:tc>
      </w:tr>
      <w:tr>
        <w:tc>
          <w:tcPr>
            <w:tcW w:type="dxa" w:w="2304"/>
            <w:shd w:fill="FFFFFF"/>
          </w:tcPr>
          <w:p>
            <w:r/>
            <w:r>
              <w:rPr>
                <w:rFonts w:ascii="Calibri" w:hAnsi="Calibri"/>
                <w:sz w:val="18"/>
              </w:rPr>
              <w:t>Capacity passport</w:t>
            </w:r>
          </w:p>
        </w:tc>
        <w:tc>
          <w:tcPr>
            <w:tcW w:type="dxa" w:w="6912"/>
            <w:shd w:fill="FFFFFF"/>
          </w:tcPr>
          <w:p>
            <w:r/>
            <w:r>
              <w:rPr>
                <w:rFonts w:ascii="Calibri" w:hAnsi="Calibri"/>
                <w:sz w:val="18"/>
              </w:rPr>
              <w:t>The persistent, versioned set of capacity assessment results attached to an organisation, reusable across applications regardless of framework.</w:t>
            </w:r>
          </w:p>
        </w:tc>
      </w:tr>
      <w:tr>
        <w:tc>
          <w:tcPr>
            <w:tcW w:type="dxa" w:w="2304"/>
            <w:shd w:fill="F2F6FA"/>
          </w:tcPr>
          <w:p>
            <w:r/>
            <w:r>
              <w:rPr>
                <w:rFonts w:ascii="Calibri" w:hAnsi="Calibri"/>
                <w:sz w:val="18"/>
              </w:rPr>
              <w:t>Compliance health score</w:t>
            </w:r>
          </w:p>
        </w:tc>
        <w:tc>
          <w:tcPr>
            <w:tcW w:type="dxa" w:w="6912"/>
            <w:shd w:fill="F2F6FA"/>
          </w:tcPr>
          <w:p>
            <w:r/>
            <w:r>
              <w:rPr>
                <w:rFonts w:ascii="Calibri" w:hAnsi="Calibri"/>
                <w:sz w:val="18"/>
              </w:rPr>
              <w:t>A composite score per active grant on a 0–100 scale, combining completion, timeliness, workflow, and importance pillars.</w:t>
            </w:r>
          </w:p>
        </w:tc>
      </w:tr>
      <w:tr>
        <w:tc>
          <w:tcPr>
            <w:tcW w:type="dxa" w:w="2304"/>
            <w:shd w:fill="FFFFFF"/>
          </w:tcPr>
          <w:p>
            <w:r/>
            <w:r>
              <w:rPr>
                <w:rFonts w:ascii="Calibri" w:hAnsi="Calibri"/>
                <w:sz w:val="18"/>
              </w:rPr>
              <w:t>Embedded AI intelligence rail</w:t>
            </w:r>
          </w:p>
        </w:tc>
        <w:tc>
          <w:tcPr>
            <w:tcW w:type="dxa" w:w="6912"/>
            <w:shd w:fill="FFFFFF"/>
          </w:tcPr>
          <w:p>
            <w:r/>
            <w:r>
              <w:rPr>
                <w:rFonts w:ascii="Calibri" w:hAnsi="Calibri"/>
                <w:sz w:val="18"/>
              </w:rPr>
              <w:t>The persistent assistive surface in the user interface offering context-appropriate AI-driven actions, drafts, and answers without leaving the current workspace.</w:t>
            </w:r>
          </w:p>
        </w:tc>
      </w:tr>
      <w:tr>
        <w:tc>
          <w:tcPr>
            <w:tcW w:type="dxa" w:w="2304"/>
            <w:shd w:fill="F2F6FA"/>
          </w:tcPr>
          <w:p>
            <w:r/>
            <w:r>
              <w:rPr>
                <w:rFonts w:ascii="Calibri" w:hAnsi="Calibri"/>
                <w:sz w:val="18"/>
              </w:rPr>
              <w:t>Grant</w:t>
            </w:r>
          </w:p>
        </w:tc>
        <w:tc>
          <w:tcPr>
            <w:tcW w:type="dxa" w:w="6912"/>
            <w:shd w:fill="F2F6FA"/>
          </w:tcPr>
          <w:p>
            <w:r/>
            <w:r>
              <w:rPr>
                <w:rFonts w:ascii="Calibri" w:hAnsi="Calibri"/>
                <w:sz w:val="18"/>
              </w:rPr>
              <w:t>A donor-published funding opportunity comprising title, description, eligibility, evaluation criteria, document requirements, reporting requirements, and deadline.</w:t>
            </w:r>
          </w:p>
        </w:tc>
      </w:tr>
      <w:tr>
        <w:tc>
          <w:tcPr>
            <w:tcW w:type="dxa" w:w="2304"/>
            <w:shd w:fill="FFFFFF"/>
          </w:tcPr>
          <w:p>
            <w:r/>
            <w:r>
              <w:rPr>
                <w:rFonts w:ascii="Calibri" w:hAnsi="Calibri"/>
                <w:sz w:val="18"/>
              </w:rPr>
              <w:t>Match score</w:t>
            </w:r>
          </w:p>
        </w:tc>
        <w:tc>
          <w:tcPr>
            <w:tcW w:type="dxa" w:w="6912"/>
            <w:shd w:fill="FFFFFF"/>
          </w:tcPr>
          <w:p>
            <w:r/>
            <w:r>
              <w:rPr>
                <w:rFonts w:ascii="Calibri" w:hAnsi="Calibri"/>
                <w:sz w:val="18"/>
              </w:rPr>
              <w:t>A composite score per NGO-grant pair indicating alignment on eligibility, sector, geography, capacity, and track record.</w:t>
            </w:r>
          </w:p>
        </w:tc>
      </w:tr>
      <w:tr>
        <w:tc>
          <w:tcPr>
            <w:tcW w:type="dxa" w:w="2304"/>
            <w:shd w:fill="F2F6FA"/>
          </w:tcPr>
          <w:p>
            <w:r/>
            <w:r>
              <w:rPr>
                <w:rFonts w:ascii="Calibri" w:hAnsi="Calibri"/>
                <w:sz w:val="18"/>
              </w:rPr>
              <w:t>Organisational memory</w:t>
            </w:r>
          </w:p>
        </w:tc>
        <w:tc>
          <w:tcPr>
            <w:tcW w:type="dxa" w:w="6912"/>
            <w:shd w:fill="F2F6FA"/>
          </w:tcPr>
          <w:p>
            <w:r/>
            <w:r>
              <w:rPr>
                <w:rFonts w:ascii="Calibri" w:hAnsi="Calibri"/>
                <w:sz w:val="18"/>
              </w:rPr>
              <w:t>The store of consistent facts derived from an organisation's submissions, used to ground AI drafting and surface provenance.</w:t>
            </w:r>
          </w:p>
        </w:tc>
      </w:tr>
      <w:tr>
        <w:tc>
          <w:tcPr>
            <w:tcW w:type="dxa" w:w="2304"/>
            <w:shd w:fill="FFFFFF"/>
          </w:tcPr>
          <w:p>
            <w:r/>
            <w:r>
              <w:rPr>
                <w:rFonts w:ascii="Calibri" w:hAnsi="Calibri"/>
                <w:sz w:val="18"/>
              </w:rPr>
              <w:t>Passporting</w:t>
            </w:r>
          </w:p>
        </w:tc>
        <w:tc>
          <w:tcPr>
            <w:tcW w:type="dxa" w:w="6912"/>
            <w:shd w:fill="FFFFFF"/>
          </w:tcPr>
          <w:p>
            <w:r/>
            <w:r>
              <w:rPr>
                <w:rFonts w:ascii="Calibri" w:hAnsi="Calibri"/>
                <w:sz w:val="18"/>
              </w:rPr>
              <w:t>The act of carrying an existing capacity assessment forward to a new application, with prefill across frameworks and clearly marked provenance.</w:t>
            </w:r>
          </w:p>
        </w:tc>
      </w:tr>
      <w:tr>
        <w:tc>
          <w:tcPr>
            <w:tcW w:type="dxa" w:w="2304"/>
            <w:shd w:fill="F2F6FA"/>
          </w:tcPr>
          <w:p>
            <w:r/>
            <w:r>
              <w:rPr>
                <w:rFonts w:ascii="Calibri" w:hAnsi="Calibri"/>
                <w:sz w:val="18"/>
              </w:rPr>
              <w:t>Pre-flight check</w:t>
            </w:r>
          </w:p>
        </w:tc>
        <w:tc>
          <w:tcPr>
            <w:tcW w:type="dxa" w:w="6912"/>
            <w:shd w:fill="F2F6FA"/>
          </w:tcPr>
          <w:p>
            <w:r/>
            <w:r>
              <w:rPr>
                <w:rFonts w:ascii="Calibri" w:hAnsi="Calibri"/>
                <w:sz w:val="18"/>
              </w:rPr>
              <w:t>An AI-driven analysis run before submission of an application or report, identifying gaps, overclaims, and weak passages with proposed fixes.</w:t>
            </w:r>
          </w:p>
        </w:tc>
      </w:tr>
      <w:tr>
        <w:tc>
          <w:tcPr>
            <w:tcW w:type="dxa" w:w="2304"/>
            <w:shd w:fill="FFFFFF"/>
          </w:tcPr>
          <w:p>
            <w:r/>
            <w:r>
              <w:rPr>
                <w:rFonts w:ascii="Calibri" w:hAnsi="Calibri"/>
                <w:sz w:val="18"/>
              </w:rPr>
              <w:t>Provenance</w:t>
            </w:r>
          </w:p>
        </w:tc>
        <w:tc>
          <w:tcPr>
            <w:tcW w:type="dxa" w:w="6912"/>
            <w:shd w:fill="FFFFFF"/>
          </w:tcPr>
          <w:p>
            <w:r/>
            <w:r>
              <w:rPr>
                <w:rFonts w:ascii="Calibri" w:hAnsi="Calibri"/>
                <w:sz w:val="18"/>
              </w:rPr>
              <w:t>The traceable link from an AI-drafted claim to its source: organisation profile, prior submission, uploaded document, organisational memory, or AI-general.</w:t>
            </w:r>
          </w:p>
        </w:tc>
      </w:tr>
      <w:tr>
        <w:tc>
          <w:tcPr>
            <w:tcW w:type="dxa" w:w="2304"/>
            <w:shd w:fill="F2F6FA"/>
          </w:tcPr>
          <w:p>
            <w:r/>
            <w:r>
              <w:rPr>
                <w:rFonts w:ascii="Calibri" w:hAnsi="Calibri"/>
                <w:sz w:val="18"/>
              </w:rPr>
              <w:t>Reviewer summary</w:t>
            </w:r>
          </w:p>
        </w:tc>
        <w:tc>
          <w:tcPr>
            <w:tcW w:type="dxa" w:w="6912"/>
            <w:shd w:fill="F2F6FA"/>
          </w:tcPr>
          <w:p>
            <w:r/>
            <w:r>
              <w:rPr>
                <w:rFonts w:ascii="Calibri" w:hAnsi="Calibri"/>
                <w:sz w:val="18"/>
              </w:rPr>
              <w:t>A one-screen synthesis of an application produced by the system for the reviewer, with evidence per criterion and a draft rationale.</w:t>
            </w:r>
          </w:p>
        </w:tc>
      </w:tr>
      <w:tr>
        <w:tc>
          <w:tcPr>
            <w:tcW w:type="dxa" w:w="2304"/>
            <w:shd w:fill="FFFFFF"/>
          </w:tcPr>
          <w:p>
            <w:r/>
            <w:r>
              <w:rPr>
                <w:rFonts w:ascii="Calibri" w:hAnsi="Calibri"/>
                <w:sz w:val="18"/>
              </w:rPr>
              <w:t>Risk register</w:t>
            </w:r>
          </w:p>
        </w:tc>
        <w:tc>
          <w:tcPr>
            <w:tcW w:type="dxa" w:w="6912"/>
            <w:shd w:fill="FFFFFF"/>
          </w:tcPr>
          <w:p>
            <w:r/>
            <w:r>
              <w:rPr>
                <w:rFonts w:ascii="Calibri" w:hAnsi="Calibri"/>
                <w:sz w:val="18"/>
              </w:rPr>
              <w:t>The structured list of risks identified across organisations, applications, and grants, each with severity, status, owner, due date, and response.</w:t>
            </w:r>
          </w:p>
        </w:tc>
      </w:tr>
      <w:tr>
        <w:tc>
          <w:tcPr>
            <w:tcW w:type="dxa" w:w="2304"/>
            <w:shd w:fill="F2F6FA"/>
          </w:tcPr>
          <w:p>
            <w:r/>
            <w:r>
              <w:rPr>
                <w:rFonts w:ascii="Calibri" w:hAnsi="Calibri"/>
                <w:sz w:val="18"/>
              </w:rPr>
              <w:t>Sanctions screening</w:t>
            </w:r>
          </w:p>
        </w:tc>
        <w:tc>
          <w:tcPr>
            <w:tcW w:type="dxa" w:w="6912"/>
            <w:shd w:fill="F2F6FA"/>
          </w:tcPr>
          <w:p>
            <w:r/>
            <w:r>
              <w:rPr>
                <w:rFonts w:ascii="Calibri" w:hAnsi="Calibri"/>
                <w:sz w:val="18"/>
              </w:rPr>
              <w:t>The continuous matching of organisations and named principals against UN, OFAC, and EU sanctions lists.</w:t>
            </w:r>
          </w:p>
        </w:tc>
      </w:tr>
      <w:tr>
        <w:tc>
          <w:tcPr>
            <w:tcW w:type="dxa" w:w="2304"/>
            <w:shd w:fill="FFFFFF"/>
          </w:tcPr>
          <w:p>
            <w:r/>
            <w:r>
              <w:rPr>
                <w:rFonts w:ascii="Calibri" w:hAnsi="Calibri"/>
                <w:sz w:val="18"/>
              </w:rPr>
              <w:t>Slips badge</w:t>
            </w:r>
          </w:p>
        </w:tc>
        <w:tc>
          <w:tcPr>
            <w:tcW w:type="dxa" w:w="6912"/>
            <w:shd w:fill="FFFFFF"/>
          </w:tcPr>
          <w:p>
            <w:r/>
            <w:r>
              <w:rPr>
                <w:rFonts w:ascii="Calibri" w:hAnsi="Calibri"/>
                <w:sz w:val="18"/>
              </w:rPr>
              <w:t>A visual indicator surfaced on grants forecast to drop below the at-risk threshold within a configurable window (default 30 days).</w:t>
            </w:r>
          </w:p>
        </w:tc>
      </w:tr>
      <w:tr>
        <w:tc>
          <w:tcPr>
            <w:tcW w:type="dxa" w:w="2304"/>
            <w:shd w:fill="F2F6FA"/>
          </w:tcPr>
          <w:p>
            <w:r/>
            <w:r>
              <w:rPr>
                <w:rFonts w:ascii="Calibri" w:hAnsi="Calibri"/>
                <w:sz w:val="18"/>
              </w:rPr>
              <w:t>Trajectory</w:t>
            </w:r>
          </w:p>
        </w:tc>
        <w:tc>
          <w:tcPr>
            <w:tcW w:type="dxa" w:w="6912"/>
            <w:shd w:fill="F2F6FA"/>
          </w:tcPr>
          <w:p>
            <w:r/>
            <w:r>
              <w:rPr>
                <w:rFonts w:ascii="Calibri" w:hAnsi="Calibri"/>
                <w:sz w:val="18"/>
              </w:rPr>
              <w:t>The series of daily compliance health snapshots for an active grant, used to detect deterioration before it crosses a band threshold.</w:t>
            </w:r>
          </w:p>
        </w:tc>
      </w:tr>
    </w:tbl>
    <w:sectPr w:rsidR="00FC693F" w:rsidRPr="0006063C" w:rsidSect="00034616">
      <w:pgSz w:w="12240" w:h="15840"/>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C5F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