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160"/>
        <w:jc w:val="center"/>
      </w:pPr>
      <w:r>
        <w:rPr>
          <w:rFonts w:ascii="Calibri" w:hAnsi="Calibri"/>
          <w:b/>
          <w:color w:val="1E40AF"/>
          <w:sz w:val="72"/>
        </w:rPr>
        <w:t>KUJA GRANT PLATFORM</w:t>
      </w:r>
    </w:p>
    <w:p>
      <w:pPr>
        <w:spacing w:after="320"/>
        <w:jc w:val="center"/>
      </w:pPr>
      <w:r>
        <w:rPr>
          <w:color w:val="0D9488"/>
          <w:sz w:val="20"/>
        </w:rPr>
        <w:t>____________________________________________________________</w:t>
      </w:r>
    </w:p>
    <w:p>
      <w:pPr>
        <w:spacing w:after="480"/>
        <w:jc w:val="center"/>
      </w:pPr>
      <w:r>
        <w:rPr>
          <w:rFonts w:ascii="Calibri" w:hAnsi="Calibri"/>
          <w:color w:val="333333"/>
          <w:sz w:val="36"/>
        </w:rPr>
        <w:t>Product &amp; Market Analysis</w:t>
      </w:r>
    </w:p>
    <w:p>
      <w:pPr>
        <w:spacing w:after="240"/>
        <w:jc w:val="center"/>
      </w:pPr>
      <w:r>
        <w:rPr>
          <w:rFonts w:ascii="Calibri" w:hAnsi="Calibri"/>
          <w:color w:val="999999"/>
          <w:sz w:val="24"/>
        </w:rPr>
        <w:t>March 2026</w:t>
      </w:r>
    </w:p>
    <w:p>
      <w:pPr>
        <w:spacing w:after="960"/>
        <w:jc w:val="center"/>
      </w:pPr>
      <w:r>
        <w:rPr>
          <w:rFonts w:ascii="Calibri" w:hAnsi="Calibri"/>
          <w:b/>
          <w:color w:val="0D9488"/>
          <w:sz w:val="28"/>
        </w:rPr>
        <w:t>Adeso — African Development Solutions</w:t>
      </w:r>
    </w:p>
    <w:p>
      <w:pPr>
        <w:jc w:val="center"/>
      </w:pPr>
      <w:r>
        <w:rPr>
          <w:rFonts w:ascii="Calibri" w:hAnsi="Calibri"/>
          <w:b/>
          <w:color w:val="DC2626"/>
          <w:sz w:val="20"/>
        </w:rPr>
        <w:t>INTERNAL — FOR TEAM &amp; TECHNICAL PARTNERS</w:t>
      </w:r>
    </w:p>
    <w:p>
      <w:r>
        <w:br w:type="page"/>
      </w:r>
    </w:p>
    <w:p>
      <w:pPr>
        <w:pStyle w:val="Heading1"/>
        <w:spacing w:before="360" w:after="160"/>
      </w:pPr>
      <w:r>
        <w:rPr>
          <w:rFonts w:ascii="Calibri" w:hAnsi="Calibri"/>
          <w:color w:val="1E40AF"/>
        </w:rPr>
        <w:t>Table of Contents</w:t>
      </w:r>
    </w:p>
    <w:p>
      <w:pPr>
        <w:spacing w:after="80"/>
        <w:ind w:left="283"/>
      </w:pPr>
      <w:r>
        <w:rPr>
          <w:rFonts w:ascii="Calibri" w:hAnsi="Calibri"/>
          <w:color w:val="333333"/>
          <w:sz w:val="24"/>
        </w:rPr>
        <w:t>1.   Executive Summary</w:t>
      </w:r>
    </w:p>
    <w:p>
      <w:pPr>
        <w:spacing w:after="80"/>
        <w:ind w:left="283"/>
      </w:pPr>
      <w:r>
        <w:rPr>
          <w:rFonts w:ascii="Calibri" w:hAnsi="Calibri"/>
          <w:color w:val="333333"/>
          <w:sz w:val="24"/>
        </w:rPr>
        <w:t>2.   Product Architecture — 8-Stage Grant Lifecycle</w:t>
      </w:r>
    </w:p>
    <w:p>
      <w:pPr>
        <w:spacing w:after="80"/>
        <w:ind w:left="283"/>
      </w:pPr>
      <w:r>
        <w:rPr>
          <w:rFonts w:ascii="Calibri" w:hAnsi="Calibri"/>
          <w:color w:val="333333"/>
          <w:sz w:val="24"/>
        </w:rPr>
        <w:t>3.   AI Capabilities &amp; Technical Architecture</w:t>
      </w:r>
    </w:p>
    <w:p>
      <w:pPr>
        <w:spacing w:after="80"/>
        <w:ind w:left="283"/>
      </w:pPr>
      <w:r>
        <w:rPr>
          <w:rFonts w:ascii="Calibri" w:hAnsi="Calibri"/>
          <w:color w:val="333333"/>
          <w:sz w:val="24"/>
        </w:rPr>
        <w:t>4.   Detailed Competitive Analysis</w:t>
      </w:r>
    </w:p>
    <w:p>
      <w:pPr>
        <w:spacing w:after="80"/>
        <w:ind w:left="283"/>
      </w:pPr>
      <w:r>
        <w:rPr>
          <w:rFonts w:ascii="Calibri" w:hAnsi="Calibri"/>
          <w:color w:val="333333"/>
          <w:sz w:val="24"/>
        </w:rPr>
        <w:t>5.   Feature Comparison Matrix</w:t>
      </w:r>
    </w:p>
    <w:p>
      <w:pPr>
        <w:spacing w:after="80"/>
        <w:ind w:left="283"/>
      </w:pPr>
      <w:r>
        <w:rPr>
          <w:rFonts w:ascii="Calibri" w:hAnsi="Calibri"/>
          <w:color w:val="333333"/>
          <w:sz w:val="24"/>
        </w:rPr>
        <w:t>6.   Market Research &amp; Data</w:t>
      </w:r>
    </w:p>
    <w:p>
      <w:pPr>
        <w:spacing w:after="80"/>
        <w:ind w:left="283"/>
      </w:pPr>
      <w:r>
        <w:rPr>
          <w:rFonts w:ascii="Calibri" w:hAnsi="Calibri"/>
          <w:color w:val="333333"/>
          <w:sz w:val="24"/>
        </w:rPr>
        <w:t>7.   Competitive Advantages</w:t>
      </w:r>
    </w:p>
    <w:p>
      <w:pPr>
        <w:spacing w:after="80"/>
        <w:ind w:left="283"/>
      </w:pPr>
      <w:r>
        <w:rPr>
          <w:rFonts w:ascii="Calibri" w:hAnsi="Calibri"/>
          <w:color w:val="333333"/>
          <w:sz w:val="24"/>
        </w:rPr>
        <w:t>8.   Risk Analysis &amp; Mitigation</w:t>
      </w:r>
    </w:p>
    <w:p>
      <w:pPr>
        <w:spacing w:after="80"/>
        <w:ind w:left="283"/>
      </w:pPr>
      <w:r>
        <w:rPr>
          <w:rFonts w:ascii="Calibri" w:hAnsi="Calibri"/>
          <w:color w:val="333333"/>
          <w:sz w:val="24"/>
        </w:rPr>
        <w:t>9.   Product Roadmap</w:t>
      </w:r>
    </w:p>
    <w:p>
      <w:pPr>
        <w:spacing w:after="80"/>
        <w:ind w:left="283"/>
      </w:pPr>
      <w:r>
        <w:rPr>
          <w:rFonts w:ascii="Calibri" w:hAnsi="Calibri"/>
          <w:color w:val="333333"/>
          <w:sz w:val="24"/>
        </w:rPr>
        <w:t>10.   Appendix — Source References</w:t>
      </w:r>
    </w:p>
    <w:p>
      <w:r>
        <w:br w:type="page"/>
      </w:r>
    </w:p>
    <w:p>
      <w:pPr>
        <w:pStyle w:val="Heading1"/>
        <w:spacing w:before="360" w:after="160"/>
      </w:pPr>
      <w:r>
        <w:rPr>
          <w:rFonts w:ascii="Calibri" w:hAnsi="Calibri"/>
          <w:color w:val="1E40AF"/>
        </w:rPr>
        <w:t>1. Executive Summary</w:t>
      </w:r>
    </w:p>
    <w:p>
      <w:pPr>
        <w:spacing w:after="120" w:line="300" w:lineRule="exact"/>
      </w:pPr>
      <w:r>
        <w:rPr>
          <w:rFonts w:ascii="Calibri" w:hAnsi="Calibri"/>
          <w:b w:val="0"/>
          <w:i w:val="0"/>
          <w:color w:val="333333"/>
          <w:sz w:val="21"/>
        </w:rPr>
        <w:t>Kuja is the first AI-powered end-to-end grant management platform purpose-built for the Global South. Incubated by Adeso, a Somali-founded African social enterprise with over 30 years of humanitarian experience, Kuja addresses a fundamental imbalance in the aid sector: local organizations closest to communities have the most effective solutions but the least resources. Billions in aid funding remain concentrated at Global North headquarters while local civil society organizations face systemic barriers — lack of visibility to donors, limited capacity to navigate complex funding processes, extensive and duplicative donor compliance requirements, and fragmented grants management tooling.</w:t>
      </w:r>
    </w:p>
    <w:p>
      <w:pPr>
        <w:spacing w:after="120" w:line="300" w:lineRule="exact"/>
      </w:pPr>
      <w:r>
        <w:rPr>
          <w:rFonts w:ascii="Calibri" w:hAnsi="Calibri"/>
          <w:b w:val="0"/>
          <w:i w:val="0"/>
          <w:color w:val="333333"/>
          <w:sz w:val="21"/>
        </w:rPr>
        <w:t>The platform covers the complete grant lifecycle across eight integrated stages and is anchored by three category-defining commitments. First, every organization presents a two-pillar Organisation Trust Profile that travels with them across applications: a Capacity Profile sourced from five embedded assessment frameworks (Kuja, STEP, UN-HACT, CHS, NUPAS) that is completed once and passported across donor-specific frameworks; and a Due Diligence Profile combining continuous sanctions, AML and counter-terrorism financing screening, government registry and tax-exempt verification across seven African countries (expanding to all jurisdictions with public verification portals), beneficial-ownership transparency with donor-staff conflict checks, and daily adverse-media monitoring. Second, Embedded AI Intelligence is woven into every workflow as a working partner — it drafts applications and reports, scores documents in real time as they upload, extracts donor reporting requirements into a compliance calendar, predicts donor concerns before submission, explains compliance findings in plain language, generates auditable reviewer rationales, and answers operational questions — grounded in the user's own evidence, traceable to its sources, and editable end to end. Third, compliance is simplified for both sides of the relationship: NGOs are supported through every obligation (extract, plan, draft, score, submit); donors receive pre-assessed, pre-scored reports plus a 4-pillar health score with trajectory forecasting that surfaces grants drifting off track before they slip.</w:t>
      </w:r>
    </w:p>
    <w:p>
      <w:pPr>
        <w:spacing w:after="120" w:line="300" w:lineRule="exact"/>
      </w:pPr>
      <w:r>
        <w:rPr>
          <w:rFonts w:ascii="Calibri" w:hAnsi="Calibri"/>
          <w:b w:val="0"/>
          <w:i w:val="0"/>
          <w:color w:val="333333"/>
          <w:sz w:val="21"/>
        </w:rPr>
        <w:t>The eight lifecycle stages are marketplace discovery (kuja.org), the Capacity Profile pillar, the Due Diligence Profile pillar, AI-powered grant matching with top-strength and top-blocker signals, two-path grant creation and AI-co-authored application drafting with real-time document scoring and pre-submission readiness checks, reviewer evaluation with one-screen summaries and evidence extraction, AI-supported reporting with donor-perspective pre-flight checks and a 4-pillar compliance health score, and back-end ERP for operations built on Odoo 17. The entire platform is delivered as a progressive web application that operates offline-first on mobile devices — a requirement, not an afterthought, for the low-connectivity environments where Global South CSOs operate.</w:t>
      </w:r>
    </w:p>
    <w:p>
      <w:pPr>
        <w:spacing w:after="120" w:line="300" w:lineRule="exact"/>
      </w:pPr>
      <w:r>
        <w:rPr>
          <w:rFonts w:ascii="Calibri" w:hAnsi="Calibri"/>
          <w:b w:val="0"/>
          <w:i w:val="0"/>
          <w:color w:val="333333"/>
          <w:sz w:val="21"/>
        </w:rPr>
        <w:t>The global grant management software market is valued at $2.75 billion (2024) and is projected to reach $4.79 billion by 2030, growing at a CAGR of 10.3%. No existing platform combines marketplace, two-pillar trust profile, embedded AI intelligence, compliance support for both sides, and ERP operations in a single integrated solution designed specifically for the Global South. The dissolution of USAID in 2025 — with 83% of programs cancelled and $36 billion in aid cuts — has created urgent demand for diversified funding infrastructure and direct donor-to-NGO connections, positioning Kuja at the intersection of market need and sector transformation.</w:t>
      </w:r>
    </w:p>
    <w:p>
      <w:r>
        <w:br w:type="page"/>
      </w:r>
    </w:p>
    <w:p>
      <w:pPr>
        <w:pStyle w:val="Heading1"/>
        <w:spacing w:before="360" w:after="160"/>
      </w:pPr>
      <w:r>
        <w:rPr>
          <w:rFonts w:ascii="Calibri" w:hAnsi="Calibri"/>
          <w:color w:val="1E40AF"/>
        </w:rPr>
        <w:t>2. Product Architecture — 8-Stage Grant Lifecycle</w:t>
      </w:r>
    </w:p>
    <w:p>
      <w:pPr>
        <w:pStyle w:val="Heading2"/>
        <w:spacing w:before="280" w:after="120"/>
      </w:pPr>
      <w:r>
        <w:rPr>
          <w:rFonts w:ascii="Calibri" w:hAnsi="Calibri"/>
          <w:color w:val="0D9488"/>
        </w:rPr>
        <w:t>Stage 1 — Marketplace Discovery (kuja.org)</w:t>
      </w:r>
    </w:p>
    <w:p>
      <w:pPr>
        <w:spacing w:after="120" w:line="300" w:lineRule="exact"/>
      </w:pPr>
      <w:r>
        <w:rPr>
          <w:rFonts w:ascii="Calibri" w:hAnsi="Calibri"/>
          <w:b w:val="0"/>
          <w:i w:val="0"/>
          <w:color w:val="333333"/>
          <w:sz w:val="21"/>
        </w:rPr>
        <w:t>The foundation of the Kuja ecosystem is a free networking platform serving CSOs, Networks, INGOs, Donors, and Individual professionals.</w:t>
      </w:r>
    </w:p>
    <w:p>
      <w:pPr>
        <w:pStyle w:val="ListBullet"/>
        <w:spacing w:after="60" w:line="300" w:lineRule="exact"/>
      </w:pPr>
      <w:r>
        <w:rPr>
          <w:rFonts w:ascii="Calibri" w:hAnsi="Calibri"/>
          <w:color w:val="333333"/>
          <w:sz w:val="21"/>
        </w:rPr>
        <w:t>Profile types: CSO, Network, INGO, Donor, Individual — each with tailored fields and verification requirements</w:t>
      </w:r>
    </w:p>
    <w:p>
      <w:pPr>
        <w:pStyle w:val="ListBullet"/>
        <w:spacing w:after="60" w:line="300" w:lineRule="exact"/>
      </w:pPr>
      <w:r>
        <w:rPr>
          <w:rFonts w:ascii="Calibri" w:hAnsi="Calibri"/>
          <w:color w:val="333333"/>
          <w:sz w:val="21"/>
        </w:rPr>
        <w:t>Three-tier verification: referral-based, legal registration verification, and community/peer verification</w:t>
      </w:r>
    </w:p>
    <w:p>
      <w:pPr>
        <w:pStyle w:val="ListBullet"/>
        <w:spacing w:after="60" w:line="300" w:lineRule="exact"/>
      </w:pPr>
      <w:r>
        <w:rPr>
          <w:rFonts w:ascii="Calibri" w:hAnsi="Calibri"/>
          <w:color w:val="333333"/>
          <w:sz w:val="21"/>
        </w:rPr>
        <w:t>Discussion forums, direct messaging, curated resource library</w:t>
      </w:r>
    </w:p>
    <w:p>
      <w:pPr>
        <w:pStyle w:val="ListBullet"/>
        <w:spacing w:after="60" w:line="300" w:lineRule="exact"/>
      </w:pPr>
      <w:r>
        <w:rPr>
          <w:rFonts w:ascii="Calibri" w:hAnsi="Calibri"/>
          <w:color w:val="333333"/>
          <w:sz w:val="21"/>
        </w:rPr>
        <w:t>Grant feed with advanced filtering by sector, country, organization type, funding size, keywords</w:t>
      </w:r>
    </w:p>
    <w:p>
      <w:pPr>
        <w:pStyle w:val="ListBullet"/>
        <w:spacing w:after="60" w:line="300" w:lineRule="exact"/>
      </w:pPr>
      <w:r>
        <w:rPr>
          <w:rFonts w:ascii="Calibri" w:hAnsi="Calibri"/>
          <w:color w:val="333333"/>
          <w:sz w:val="21"/>
        </w:rPr>
        <w:t>600+ active users in pre-launch phase</w:t>
      </w:r>
    </w:p>
    <w:p>
      <w:pPr>
        <w:pStyle w:val="Heading3"/>
        <w:spacing w:before="200" w:after="80"/>
      </w:pPr>
      <w:r>
        <w:rPr>
          <w:rFonts w:ascii="Calibri" w:hAnsi="Calibri"/>
          <w:color w:val="1E40AF"/>
          <w:sz w:val="24"/>
        </w:rPr>
        <w:t>Technical Implementation</w:t>
      </w:r>
    </w:p>
    <w:p>
      <w:pPr>
        <w:pStyle w:val="ListBullet"/>
        <w:spacing w:after="60" w:line="300" w:lineRule="exact"/>
      </w:pPr>
      <w:r>
        <w:rPr>
          <w:rFonts w:ascii="Calibri" w:hAnsi="Calibri"/>
          <w:color w:val="333333"/>
          <w:sz w:val="21"/>
        </w:rPr>
        <w:t>Stack: Python/Flask backend, Vanilla JS SPA frontend, PostgreSQL (production)</w:t>
      </w:r>
    </w:p>
    <w:p>
      <w:pPr>
        <w:pStyle w:val="ListBullet"/>
        <w:spacing w:after="60" w:line="300" w:lineRule="exact"/>
      </w:pPr>
      <w:r>
        <w:rPr>
          <w:rFonts w:ascii="Calibri" w:hAnsi="Calibri"/>
          <w:color w:val="333333"/>
          <w:sz w:val="21"/>
        </w:rPr>
        <w:t>API: RESTful, JWT authentication, role-based access control (admin, ngo, donor, reviewer)</w:t>
      </w:r>
    </w:p>
    <w:p>
      <w:pPr>
        <w:pStyle w:val="ListBullet"/>
        <w:spacing w:after="60" w:line="300" w:lineRule="exact"/>
      </w:pPr>
      <w:r>
        <w:rPr>
          <w:rFonts w:ascii="Calibri" w:hAnsi="Calibri"/>
          <w:color w:val="333333"/>
          <w:sz w:val="21"/>
        </w:rPr>
        <w:t>Production URL: https://web-production-6f8a.up.railway.app</w:t>
      </w:r>
    </w:p>
    <w:p>
      <w:pPr>
        <w:pStyle w:val="Heading2"/>
        <w:spacing w:before="280" w:after="120"/>
      </w:pPr>
      <w:r>
        <w:rPr>
          <w:rFonts w:ascii="Calibri" w:hAnsi="Calibri"/>
          <w:color w:val="0D9488"/>
        </w:rPr>
        <w:t>Stage 2 — Capacity Profile with Passporting (Trust Pillar 1)</w:t>
      </w:r>
    </w:p>
    <w:p>
      <w:pPr>
        <w:spacing w:after="120" w:line="300" w:lineRule="exact"/>
      </w:pPr>
      <w:r>
        <w:rPr>
          <w:rFonts w:ascii="Calibri" w:hAnsi="Calibri"/>
          <w:b w:val="0"/>
          <w:i w:val="0"/>
          <w:color w:val="333333"/>
          <w:sz w:val="21"/>
        </w:rPr>
        <w:t>Kuja’s capacity assessment is built around a single product principle: the NGO should do the work once and have it carry forward to every donor. Five industry-standard frameworks ship today (Kuja, STEP, UN-HACT, CHS, NUPAS); donors can also define entirely custom frameworks tailored to their portfolio. Regardless of which framework the donor requires, the system passports the NGO’s prior assessment across by mapping equivalent questions and prefilling responses with traceable provenance back to the original answer.</w:t>
      </w:r>
    </w:p>
    <w:p>
      <w:pPr>
        <w:pStyle w:val="ListBullet"/>
        <w:spacing w:after="60" w:line="300" w:lineRule="exact"/>
      </w:pPr>
      <w:r>
        <w:rPr>
          <w:rFonts w:ascii="Calibri" w:hAnsi="Calibri"/>
          <w:color w:val="333333"/>
          <w:sz w:val="21"/>
        </w:rPr>
        <w:t>Five frameworks live today: Kuja (proprietary), STEP (TechSoup), UN-HACT, CHS, NUPAS</w:t>
      </w:r>
    </w:p>
    <w:p>
      <w:pPr>
        <w:pStyle w:val="ListBullet"/>
        <w:spacing w:after="60" w:line="300" w:lineRule="exact"/>
      </w:pPr>
      <w:r>
        <w:rPr>
          <w:rFonts w:ascii="Calibri" w:hAnsi="Calibri"/>
          <w:color w:val="333333"/>
          <w:sz w:val="21"/>
        </w:rPr>
        <w:t>Custom donor framework builder: Donors can compose their own assessment from a question bank with configurable weights, evidence requirements, and scoring rubric — with an AI-drafted starting point derived from the grant’s focus area</w:t>
      </w:r>
    </w:p>
    <w:p>
      <w:pPr>
        <w:pStyle w:val="ListBullet"/>
        <w:spacing w:after="60" w:line="300" w:lineRule="exact"/>
      </w:pPr>
      <w:r>
        <w:rPr>
          <w:rFonts w:ascii="Calibri" w:hAnsi="Calibri"/>
          <w:color w:val="333333"/>
          <w:sz w:val="21"/>
        </w:rPr>
        <w:t>Passporting: An NGO’s completed assessment becomes their Capacity Profile (the first pillar of the Trust Profile). When applying to any grant, the system passports the profile into the target framework via maintained translation tables, with AI proposing mappings where curated translations don’t exist. Each prefilled response carries provenance showing the source assessment, framework, and date.</w:t>
      </w:r>
    </w:p>
    <w:p>
      <w:pPr>
        <w:pStyle w:val="ListBullet"/>
        <w:spacing w:after="60" w:line="300" w:lineRule="exact"/>
      </w:pPr>
      <w:r>
        <w:rPr>
          <w:rFonts w:ascii="Calibri" w:hAnsi="Calibri"/>
          <w:color w:val="333333"/>
          <w:sz w:val="21"/>
        </w:rPr>
        <w:t>Effort reduction: First-time NGOs complete a capacity assessment in days; subsequent applications complete the capacity section in under an hour rather than twelve.</w:t>
      </w:r>
    </w:p>
    <w:p>
      <w:pPr>
        <w:pStyle w:val="ListBullet"/>
        <w:spacing w:after="60" w:line="300" w:lineRule="exact"/>
      </w:pPr>
      <w:r>
        <w:rPr>
          <w:rFonts w:ascii="Calibri" w:hAnsi="Calibri"/>
          <w:color w:val="333333"/>
          <w:sz w:val="21"/>
        </w:rPr>
        <w:t>AI co-authoring: Initial responses drafted by drawing on prior assessments, uploaded supporting documents, and organisational memory — with claim-level provenance</w:t>
      </w:r>
    </w:p>
    <w:p>
      <w:pPr>
        <w:pStyle w:val="ListBullet"/>
        <w:spacing w:after="60" w:line="300" w:lineRule="exact"/>
      </w:pPr>
      <w:r>
        <w:rPr>
          <w:rFonts w:ascii="Calibri" w:hAnsi="Calibri"/>
          <w:color w:val="333333"/>
          <w:sz w:val="21"/>
        </w:rPr>
        <w:t>AI gap prioritisation: Predicts which capacity gaps are most likely to disqualify the NGO from a specific grant, helping them prioritise improvement effort</w:t>
      </w:r>
    </w:p>
    <w:p>
      <w:pPr>
        <w:pStyle w:val="ListBullet"/>
        <w:spacing w:after="60" w:line="300" w:lineRule="exact"/>
      </w:pPr>
      <w:r>
        <w:rPr>
          <w:rFonts w:ascii="Calibri" w:hAnsi="Calibri"/>
          <w:color w:val="333333"/>
          <w:sz w:val="21"/>
        </w:rPr>
        <w:t>Donor readiness scoring: private philanthropy, bilateral donors, multilateral agencies, UN system</w:t>
      </w:r>
    </w:p>
    <w:p>
      <w:pPr>
        <w:pStyle w:val="ListBullet"/>
        <w:spacing w:after="60" w:line="300" w:lineRule="exact"/>
      </w:pPr>
      <w:r>
        <w:rPr>
          <w:rFonts w:ascii="Calibri" w:hAnsi="Calibri"/>
          <w:color w:val="333333"/>
          <w:sz w:val="21"/>
        </w:rPr>
        <w:t>Passport completion percentage surfaced on the NGO dashboard so they see how application-ready they are across major frameworks</w:t>
      </w:r>
    </w:p>
    <w:p>
      <w:pPr>
        <w:pStyle w:val="Heading3"/>
        <w:spacing w:before="200" w:after="80"/>
      </w:pPr>
      <w:r>
        <w:rPr>
          <w:rFonts w:ascii="Calibri" w:hAnsi="Calibri"/>
          <w:color w:val="1E40AF"/>
          <w:sz w:val="24"/>
        </w:rPr>
        <w:t>Technical Implementation</w:t>
      </w:r>
    </w:p>
    <w:p>
      <w:pPr>
        <w:pStyle w:val="ListBullet"/>
        <w:spacing w:after="60" w:line="300" w:lineRule="exact"/>
      </w:pPr>
      <w:r>
        <w:rPr>
          <w:rFonts w:ascii="Calibri" w:hAnsi="Calibri"/>
          <w:color w:val="333333"/>
          <w:sz w:val="21"/>
        </w:rPr>
        <w:t>AI inference via the platform’s language-model integration; vendor-agnostic, easily swappable as the model market evolves</w:t>
      </w:r>
    </w:p>
    <w:p>
      <w:pPr>
        <w:pStyle w:val="ListBullet"/>
        <w:spacing w:after="60" w:line="300" w:lineRule="exact"/>
      </w:pPr>
      <w:r>
        <w:rPr>
          <w:rFonts w:ascii="Calibri" w:hAnsi="Calibri"/>
          <w:color w:val="333333"/>
          <w:sz w:val="21"/>
        </w:rPr>
        <w:t>Assessment prompts structured per-framework with framework-specific scoring rubrics</w:t>
      </w:r>
    </w:p>
    <w:p>
      <w:pPr>
        <w:pStyle w:val="ListBullet"/>
        <w:spacing w:after="60" w:line="300" w:lineRule="exact"/>
      </w:pPr>
      <w:r>
        <w:rPr>
          <w:rFonts w:ascii="Calibri" w:hAnsi="Calibri"/>
          <w:color w:val="333333"/>
          <w:sz w:val="21"/>
        </w:rPr>
        <w:t>Document analysis: PDF (text + scanned via vision fallback), DOCX, XLSX, plain text, images → extraction → AI evaluation against framework criteria</w:t>
      </w:r>
    </w:p>
    <w:p>
      <w:pPr>
        <w:pStyle w:val="ListBullet"/>
        <w:spacing w:after="60" w:line="300" w:lineRule="exact"/>
      </w:pPr>
      <w:r>
        <w:rPr>
          <w:rFonts w:ascii="Calibri" w:hAnsi="Calibri"/>
          <w:color w:val="333333"/>
          <w:sz w:val="21"/>
        </w:rPr>
        <w:t>Cross-framework mapping tables maintained for curated equivalents; AI proposes mappings for novel framework pairs with low-confidence flagging for human confirmation</w:t>
      </w:r>
    </w:p>
    <w:p>
      <w:pPr>
        <w:pStyle w:val="ListBullet"/>
        <w:spacing w:after="60" w:line="300" w:lineRule="exact"/>
      </w:pPr>
      <w:r>
        <w:rPr>
          <w:rFonts w:ascii="Calibri" w:hAnsi="Calibri"/>
          <w:color w:val="333333"/>
          <w:sz w:val="21"/>
        </w:rPr>
        <w:t>Results stored as structured JSON with per-criterion scores (0-100) and provenance ledger</w:t>
      </w:r>
    </w:p>
    <w:p>
      <w:pPr>
        <w:pStyle w:val="Heading2"/>
        <w:spacing w:before="280" w:after="120"/>
      </w:pPr>
      <w:r>
        <w:rPr>
          <w:rFonts w:ascii="Calibri" w:hAnsi="Calibri"/>
          <w:color w:val="0D9488"/>
        </w:rPr>
        <w:t>Stage 3 — Due Diligence Profile (Trust Pillar 2)</w:t>
      </w:r>
    </w:p>
    <w:p>
      <w:pPr>
        <w:spacing w:after="120" w:line="300" w:lineRule="exact"/>
      </w:pPr>
      <w:r>
        <w:rPr>
          <w:rFonts w:ascii="Calibri" w:hAnsi="Calibri"/>
          <w:b w:val="0"/>
          <w:i w:val="0"/>
          <w:color w:val="333333"/>
          <w:sz w:val="21"/>
        </w:rPr>
        <w:t>The second pillar of the Organisation Trust Profile is a continuous due-diligence record that verifies legal standing, screens against sanctions and watchlists, tracks beneficial ownership, and monitors adverse media — all done once per organisation and passported across applications. This replaces manual due-diligence processes that typically cost donors $5,000-$15,000 per organisation and reduces friction for NGOs facing fragmented compliance requirements from every donor.</w:t>
      </w:r>
    </w:p>
    <w:p>
      <w:pPr>
        <w:spacing w:after="120" w:line="300" w:lineRule="exact"/>
      </w:pPr>
      <w:r>
        <w:rPr>
          <w:rFonts w:ascii="Calibri" w:hAnsi="Calibri"/>
          <w:b w:val="0"/>
          <w:i w:val="0"/>
          <w:color w:val="333333"/>
          <w:sz w:val="21"/>
        </w:rPr>
        <w:t>Due diligence on Kuja comprises four sub-pillars, all passported via the Trust Profile.</w:t>
      </w:r>
    </w:p>
    <w:p>
      <w:pPr>
        <w:pStyle w:val="Heading3"/>
        <w:spacing w:before="200" w:after="80"/>
      </w:pPr>
      <w:r>
        <w:rPr>
          <w:rFonts w:ascii="Calibri" w:hAnsi="Calibri"/>
          <w:color w:val="1E40AF"/>
          <w:sz w:val="24"/>
        </w:rPr>
        <w:t>Sanctions, AML &amp; CTF screening</w:t>
      </w:r>
    </w:p>
    <w:p>
      <w:pPr>
        <w:pStyle w:val="ListBullet"/>
        <w:spacing w:after="60" w:line="300" w:lineRule="exact"/>
      </w:pPr>
      <w:r>
        <w:rPr>
          <w:rFonts w:ascii="Calibri" w:hAnsi="Calibri"/>
          <w:color w:val="333333"/>
          <w:sz w:val="21"/>
        </w:rPr>
        <w:t>Screened against UN Security Council, US OFAC SDN, EU Financial Sanctions, and World Bank Debarment lists, extended to AML watchlists and counter-terrorism-financing designations for procurement-grade coverage</w:t>
      </w:r>
    </w:p>
    <w:p>
      <w:pPr>
        <w:pStyle w:val="ListBullet"/>
        <w:spacing w:after="60" w:line="300" w:lineRule="exact"/>
      </w:pPr>
      <w:r>
        <w:rPr>
          <w:rFonts w:ascii="Calibri" w:hAnsi="Calibri"/>
          <w:color w:val="333333"/>
          <w:sz w:val="21"/>
        </w:rPr>
        <w:t>Continuous re-screening on schedule, on change events, and on every new application</w:t>
      </w:r>
    </w:p>
    <w:p>
      <w:pPr>
        <w:pStyle w:val="ListBullet"/>
        <w:spacing w:after="60" w:line="300" w:lineRule="exact"/>
      </w:pPr>
      <w:r>
        <w:rPr>
          <w:rFonts w:ascii="Calibri" w:hAnsi="Calibri"/>
          <w:color w:val="333333"/>
          <w:sz w:val="21"/>
        </w:rPr>
        <w:t>Coverage extends to declared beneficial owners and named officers, not just the organisation entity</w:t>
      </w:r>
    </w:p>
    <w:p>
      <w:pPr>
        <w:pStyle w:val="ListBullet"/>
        <w:spacing w:after="60" w:line="300" w:lineRule="exact"/>
      </w:pPr>
      <w:r>
        <w:rPr>
          <w:rFonts w:ascii="Calibri" w:hAnsi="Calibri"/>
          <w:color w:val="333333"/>
          <w:sz w:val="21"/>
        </w:rPr>
        <w:t>AI false-positive triage: weighs disambiguators (country, sector, date of birth, address) and recommends a determination that a compliance officer confirms</w:t>
      </w:r>
    </w:p>
    <w:p>
      <w:pPr>
        <w:pStyle w:val="Heading3"/>
        <w:spacing w:before="200" w:after="80"/>
      </w:pPr>
      <w:r>
        <w:rPr>
          <w:rFonts w:ascii="Calibri" w:hAnsi="Calibri"/>
          <w:color w:val="1E40AF"/>
          <w:sz w:val="24"/>
        </w:rPr>
        <w:t>Registration &amp; Standing Verification</w:t>
      </w:r>
    </w:p>
    <w:p>
      <w:pPr>
        <w:pStyle w:val="ListBullet"/>
        <w:spacing w:after="60" w:line="300" w:lineRule="exact"/>
      </w:pPr>
      <w:r>
        <w:rPr>
          <w:rFonts w:ascii="Calibri" w:hAnsi="Calibri"/>
          <w:color w:val="333333"/>
          <w:sz w:val="21"/>
        </w:rPr>
        <w:t>7 government registries live today: Kenya NGO Coordination Board, Nigeria CAC, South Africa DSD NPO Registry, Uganda NGO Bureau, Tanzania NiS, Somalia MOIFAR, Ethiopia ACSO</w:t>
      </w:r>
    </w:p>
    <w:p>
      <w:pPr>
        <w:pStyle w:val="ListBullet"/>
        <w:spacing w:after="60" w:line="300" w:lineRule="exact"/>
      </w:pPr>
      <w:r>
        <w:rPr>
          <w:rFonts w:ascii="Calibri" w:hAnsi="Calibri"/>
          <w:color w:val="333333"/>
          <w:sz w:val="21"/>
        </w:rPr>
        <w:t>Expansion-ready architecture: Adding a new country requires only a registry adapter; goal is all Global South countries with public verification portals</w:t>
      </w:r>
    </w:p>
    <w:p>
      <w:pPr>
        <w:pStyle w:val="ListBullet"/>
        <w:spacing w:after="60" w:line="300" w:lineRule="exact"/>
      </w:pPr>
      <w:r>
        <w:rPr>
          <w:rFonts w:ascii="Calibri" w:hAnsi="Calibri"/>
          <w:color w:val="333333"/>
          <w:sz w:val="21"/>
        </w:rPr>
        <w:t>Verifies registered legal name, status, registration number, and (where available) principal officer names against organisation-claimed values</w:t>
      </w:r>
    </w:p>
    <w:p>
      <w:pPr>
        <w:pStyle w:val="ListBullet"/>
        <w:spacing w:after="60" w:line="300" w:lineRule="exact"/>
      </w:pPr>
      <w:r>
        <w:rPr>
          <w:rFonts w:ascii="Calibri" w:hAnsi="Calibri"/>
          <w:color w:val="333333"/>
          <w:sz w:val="21"/>
        </w:rPr>
        <w:t>Tax-exempt and charitable-status certification verified per country where the platform has access to the authoritative registry</w:t>
      </w:r>
    </w:p>
    <w:p>
      <w:pPr>
        <w:pStyle w:val="ListBullet"/>
        <w:spacing w:after="60" w:line="300" w:lineRule="exact"/>
      </w:pPr>
      <w:r>
        <w:rPr>
          <w:rFonts w:ascii="Calibri" w:hAnsi="Calibri"/>
          <w:color w:val="333333"/>
          <w:sz w:val="21"/>
        </w:rPr>
        <w:t>Periodic re-verification with active alerts when a previously verified registration lapses, is suspended, or changes status</w:t>
      </w:r>
    </w:p>
    <w:p>
      <w:pPr>
        <w:pStyle w:val="Heading3"/>
        <w:spacing w:before="200" w:after="80"/>
      </w:pPr>
      <w:r>
        <w:rPr>
          <w:rFonts w:ascii="Calibri" w:hAnsi="Calibri"/>
          <w:color w:val="1E40AF"/>
          <w:sz w:val="24"/>
        </w:rPr>
        <w:t>Beneficial Ownership Transparency</w:t>
      </w:r>
    </w:p>
    <w:p>
      <w:pPr>
        <w:pStyle w:val="ListBullet"/>
        <w:spacing w:after="60" w:line="300" w:lineRule="exact"/>
      </w:pPr>
      <w:r>
        <w:rPr>
          <w:rFonts w:ascii="Calibri" w:hAnsi="Calibri"/>
          <w:color w:val="333333"/>
          <w:sz w:val="21"/>
        </w:rPr>
        <w:t>Captures and verifies declared beneficial owners, board officers, and key principals, with each disclosure timestamped and signed</w:t>
      </w:r>
    </w:p>
    <w:p>
      <w:pPr>
        <w:pStyle w:val="ListBullet"/>
        <w:spacing w:after="60" w:line="300" w:lineRule="exact"/>
      </w:pPr>
      <w:r>
        <w:rPr>
          <w:rFonts w:ascii="Calibri" w:hAnsi="Calibri"/>
          <w:color w:val="333333"/>
          <w:sz w:val="21"/>
        </w:rPr>
        <w:t>Conflict-of-interest checks against donor staff directories surface potential conflicts for compliance review before award</w:t>
      </w:r>
    </w:p>
    <w:p>
      <w:pPr>
        <w:pStyle w:val="ListBullet"/>
        <w:spacing w:after="60" w:line="300" w:lineRule="exact"/>
      </w:pPr>
      <w:r>
        <w:rPr>
          <w:rFonts w:ascii="Calibri" w:hAnsi="Calibri"/>
          <w:color w:val="333333"/>
          <w:sz w:val="21"/>
        </w:rPr>
        <w:t>Ownership-chain disclosure for parent and affiliate entities</w:t>
      </w:r>
    </w:p>
    <w:p>
      <w:pPr>
        <w:pStyle w:val="ListBullet"/>
        <w:spacing w:after="60" w:line="300" w:lineRule="exact"/>
      </w:pPr>
      <w:r>
        <w:rPr>
          <w:rFonts w:ascii="Calibri" w:hAnsi="Calibri"/>
          <w:color w:val="333333"/>
          <w:sz w:val="21"/>
        </w:rPr>
        <w:t>Historical preservation: who owned or controlled the organisation at the time of any grant</w:t>
      </w:r>
    </w:p>
    <w:p>
      <w:pPr>
        <w:pStyle w:val="Heading3"/>
        <w:spacing w:before="200" w:after="80"/>
      </w:pPr>
      <w:r>
        <w:rPr>
          <w:rFonts w:ascii="Calibri" w:hAnsi="Calibri"/>
          <w:color w:val="1E40AF"/>
          <w:sz w:val="24"/>
        </w:rPr>
        <w:t>Adverse Media Monitoring</w:t>
      </w:r>
    </w:p>
    <w:p>
      <w:pPr>
        <w:pStyle w:val="ListBullet"/>
        <w:spacing w:after="60" w:line="300" w:lineRule="exact"/>
      </w:pPr>
      <w:r>
        <w:rPr>
          <w:rFonts w:ascii="Calibri" w:hAnsi="Calibri"/>
          <w:color w:val="333333"/>
          <w:sz w:val="21"/>
        </w:rPr>
        <w:t>Daily scan of curated regional and international news sources for adverse-media mentions referencing organisations on the platform</w:t>
      </w:r>
    </w:p>
    <w:p>
      <w:pPr>
        <w:pStyle w:val="ListBullet"/>
        <w:spacing w:after="60" w:line="300" w:lineRule="exact"/>
      </w:pPr>
      <w:r>
        <w:rPr>
          <w:rFonts w:ascii="Calibri" w:hAnsi="Calibri"/>
          <w:color w:val="333333"/>
          <w:sz w:val="21"/>
        </w:rPr>
        <w:t>AI classifies relevance (does the article actually reference this org?) and severity, then raises a risk register entry automatically when thresholds are crossed</w:t>
      </w:r>
    </w:p>
    <w:p>
      <w:pPr>
        <w:pStyle w:val="ListBullet"/>
        <w:spacing w:after="60" w:line="300" w:lineRule="exact"/>
      </w:pPr>
      <w:r>
        <w:rPr>
          <w:rFonts w:ascii="Calibri" w:hAnsi="Calibri"/>
          <w:color w:val="333333"/>
          <w:sz w:val="21"/>
        </w:rPr>
        <w:t>Plain-language summary of each finding with source link and suggested next steps — respecting press-freedom considerations by surfacing findings as signals for review, not judgments</w:t>
      </w:r>
    </w:p>
    <w:p>
      <w:pPr>
        <w:pStyle w:val="ListBullet"/>
        <w:spacing w:after="60" w:line="300" w:lineRule="exact"/>
      </w:pPr>
      <w:r>
        <w:rPr>
          <w:rFonts w:ascii="Calibri" w:hAnsi="Calibri"/>
          <w:color w:val="333333"/>
          <w:sz w:val="21"/>
        </w:rPr>
        <w:t>Namesake disambiguation using country, sector, and prior context</w:t>
      </w:r>
    </w:p>
    <w:p>
      <w:pPr>
        <w:pStyle w:val="Heading3"/>
        <w:spacing w:before="200" w:after="80"/>
      </w:pPr>
      <w:r>
        <w:rPr>
          <w:rFonts w:ascii="Calibri" w:hAnsi="Calibri"/>
          <w:color w:val="1E40AF"/>
          <w:sz w:val="24"/>
        </w:rPr>
        <w:t>Technical Implementation</w:t>
      </w:r>
    </w:p>
    <w:p>
      <w:pPr>
        <w:pStyle w:val="ListBullet"/>
        <w:spacing w:after="60" w:line="300" w:lineRule="exact"/>
      </w:pPr>
      <w:r>
        <w:rPr>
          <w:rFonts w:ascii="Calibri" w:hAnsi="Calibri"/>
          <w:color w:val="333333"/>
          <w:sz w:val="21"/>
        </w:rPr>
        <w:t>Primary screening: OpenSanctions API with API key authentication</w:t>
      </w:r>
    </w:p>
    <w:p>
      <w:pPr>
        <w:pStyle w:val="ListBullet"/>
        <w:spacing w:after="60" w:line="300" w:lineRule="exact"/>
      </w:pPr>
      <w:r>
        <w:rPr>
          <w:rFonts w:ascii="Calibri" w:hAnsi="Calibri"/>
          <w:color w:val="333333"/>
          <w:sz w:val="21"/>
        </w:rPr>
        <w:t>Fallback: Direct download and parse of UN XML, OFAC CSV, EU CSV when the primary feed is unavailable</w:t>
      </w:r>
    </w:p>
    <w:p>
      <w:pPr>
        <w:pStyle w:val="ListBullet"/>
        <w:spacing w:after="60" w:line="300" w:lineRule="exact"/>
      </w:pPr>
      <w:r>
        <w:rPr>
          <w:rFonts w:ascii="Calibri" w:hAnsi="Calibri"/>
          <w:color w:val="333333"/>
          <w:sz w:val="21"/>
        </w:rPr>
        <w:t>Government registries: HTTP-based country-specific parsers</w:t>
      </w:r>
    </w:p>
    <w:p>
      <w:pPr>
        <w:pStyle w:val="ListBullet"/>
        <w:spacing w:after="60" w:line="300" w:lineRule="exact"/>
      </w:pPr>
      <w:r>
        <w:rPr>
          <w:rFonts w:ascii="Calibri" w:hAnsi="Calibri"/>
          <w:color w:val="333333"/>
          <w:sz w:val="21"/>
        </w:rPr>
        <w:t>Certificate analysis and adverse-media summarisation: language-model extraction with structured output</w:t>
      </w:r>
    </w:p>
    <w:p>
      <w:pPr>
        <w:pStyle w:val="ListBullet"/>
        <w:spacing w:after="60" w:line="300" w:lineRule="exact"/>
      </w:pPr>
      <w:r>
        <w:rPr>
          <w:rFonts w:ascii="Calibri" w:hAnsi="Calibri"/>
          <w:color w:val="333333"/>
          <w:sz w:val="21"/>
        </w:rPr>
        <w:t>Trust Profile passports across applications: verifications are reusable across donors with appropriate refresh cadence; donors see the stamp and validity window without burdening the NGO to re-submit</w:t>
      </w:r>
    </w:p>
    <w:p>
      <w:pPr>
        <w:pStyle w:val="Heading2"/>
        <w:spacing w:before="280" w:after="120"/>
      </w:pPr>
      <w:r>
        <w:rPr>
          <w:rFonts w:ascii="Calibri" w:hAnsi="Calibri"/>
          <w:color w:val="0D9488"/>
        </w:rPr>
        <w:t>Stage 4 — AI-Powered Grant Matching</w:t>
      </w:r>
    </w:p>
    <w:p>
      <w:pPr>
        <w:pStyle w:val="ListBullet"/>
        <w:spacing w:after="60" w:line="300" w:lineRule="exact"/>
      </w:pPr>
      <w:r>
        <w:rPr>
          <w:rFonts w:ascii="Calibri" w:hAnsi="Calibri"/>
          <w:color w:val="333333"/>
          <w:sz w:val="21"/>
        </w:rPr>
        <w:t>Computes an alignment score per NGO-grant pair on eligibility, sector, geography, capacity (from the passport), and track record</w:t>
      </w:r>
    </w:p>
    <w:p>
      <w:pPr>
        <w:pStyle w:val="ListBullet"/>
        <w:spacing w:after="60" w:line="300" w:lineRule="exact"/>
      </w:pPr>
      <w:r>
        <w:rPr>
          <w:rFonts w:ascii="Calibri" w:hAnsi="Calibri"/>
          <w:color w:val="333333"/>
          <w:sz w:val="21"/>
        </w:rPr>
        <w:t>Surfaces top strength and top blocker on every match so NGOs know whether the grant is worth the investment of time before they start</w:t>
      </w:r>
    </w:p>
    <w:p>
      <w:pPr>
        <w:pStyle w:val="ListBullet"/>
        <w:spacing w:after="60" w:line="300" w:lineRule="exact"/>
      </w:pPr>
      <w:r>
        <w:rPr>
          <w:rFonts w:ascii="Calibri" w:hAnsi="Calibri"/>
          <w:color w:val="333333"/>
          <w:sz w:val="21"/>
        </w:rPr>
        <w:t>Donor-side: ranks qualified grantees with the same multi-factor scoring</w:t>
      </w:r>
    </w:p>
    <w:p>
      <w:pPr>
        <w:pStyle w:val="ListBullet"/>
        <w:spacing w:after="60" w:line="300" w:lineRule="exact"/>
      </w:pPr>
      <w:r>
        <w:rPr>
          <w:rFonts w:ascii="Calibri" w:hAnsi="Calibri"/>
          <w:color w:val="333333"/>
          <w:sz w:val="21"/>
        </w:rPr>
        <w:t>Multi-language: EN, FR, AR, SW, SO, ES natively — six interface languages at parity</w:t>
      </w:r>
    </w:p>
    <w:p>
      <w:pPr>
        <w:pStyle w:val="Heading2"/>
        <w:spacing w:before="280" w:after="120"/>
      </w:pPr>
      <w:r>
        <w:rPr>
          <w:rFonts w:ascii="Calibri" w:hAnsi="Calibri"/>
          <w:color w:val="0D9488"/>
        </w:rPr>
        <w:t>Stage 5 — Two-Path Grant Creation and AI-Co-Authored Applications</w:t>
      </w:r>
    </w:p>
    <w:p>
      <w:pPr>
        <w:spacing w:after="120" w:line="300" w:lineRule="exact"/>
      </w:pPr>
      <w:r>
        <w:rPr>
          <w:rFonts w:ascii="Calibri" w:hAnsi="Calibri"/>
          <w:b w:val="0"/>
          <w:i w:val="0"/>
          <w:color w:val="333333"/>
          <w:sz w:val="21"/>
        </w:rPr>
        <w:t>The system supports two equally-fast paths for donors to create a grant and an AI-co-authored experience for NGOs to apply. Real-time document scoring tightens the feedback loop during upload, and the pre-submission readiness check catches gaps before they become rejections.</w:t>
      </w:r>
    </w:p>
    <w:p>
      <w:pPr>
        <w:pStyle w:val="Heading3"/>
        <w:spacing w:before="200" w:after="80"/>
      </w:pPr>
      <w:r>
        <w:rPr>
          <w:rFonts w:ascii="Calibri" w:hAnsi="Calibri"/>
          <w:color w:val="1E40AF"/>
          <w:sz w:val="24"/>
        </w:rPr>
        <w:t>Two paths for donors to create a grant</w:t>
      </w:r>
    </w:p>
    <w:p>
      <w:pPr>
        <w:pStyle w:val="ListBullet"/>
        <w:spacing w:after="60" w:line="300" w:lineRule="exact"/>
      </w:pPr>
      <w:r>
        <w:rPr>
          <w:rFonts w:ascii="Calibri" w:hAnsi="Calibri"/>
          <w:color w:val="333333"/>
          <w:sz w:val="21"/>
        </w:rPr>
        <w:t>Path A — Provide a 2-line donor prompt; the system drafts a complete grant scaffold (title, description, criteria with weights, eligibility, document and reporting requirements, recommended deadline) as an editable starting point</w:t>
      </w:r>
    </w:p>
    <w:p>
      <w:pPr>
        <w:pStyle w:val="ListBullet"/>
        <w:spacing w:after="60" w:line="300" w:lineRule="exact"/>
      </w:pPr>
      <w:r>
        <w:rPr>
          <w:rFonts w:ascii="Calibri" w:hAnsi="Calibri"/>
          <w:color w:val="333333"/>
          <w:sz w:val="21"/>
        </w:rPr>
        <w:t>Path B — Upload an existing brief (PDF, DOCX, plain text); the system extracts the structured content and maps it into the wizard’s six steps</w:t>
      </w:r>
    </w:p>
    <w:p>
      <w:pPr>
        <w:pStyle w:val="ListBullet"/>
        <w:spacing w:after="60" w:line="300" w:lineRule="exact"/>
      </w:pPr>
      <w:r>
        <w:rPr>
          <w:rFonts w:ascii="Calibri" w:hAnsi="Calibri"/>
          <w:color w:val="333333"/>
          <w:sz w:val="21"/>
        </w:rPr>
        <w:t>Either path lands in the same editable six-step wizard. The donor refines, then runs the applicant-burden critique and median-NGO preview before publishing</w:t>
      </w:r>
    </w:p>
    <w:p>
      <w:pPr>
        <w:pStyle w:val="Heading3"/>
        <w:spacing w:before="200" w:after="80"/>
      </w:pPr>
      <w:r>
        <w:rPr>
          <w:rFonts w:ascii="Calibri" w:hAnsi="Calibri"/>
          <w:color w:val="1E40AF"/>
          <w:sz w:val="24"/>
        </w:rPr>
        <w:t>NGO application experience</w:t>
      </w:r>
    </w:p>
    <w:p>
      <w:pPr>
        <w:pStyle w:val="ListBullet"/>
        <w:spacing w:after="60" w:line="300" w:lineRule="exact"/>
      </w:pPr>
      <w:r>
        <w:rPr>
          <w:rFonts w:ascii="Calibri" w:hAnsi="Calibri"/>
          <w:color w:val="333333"/>
          <w:sz w:val="21"/>
        </w:rPr>
        <w:t>Four-step application wizard with AI co-author drafting each criterion response by drawing on the NGO’s capacity passport, prior applications, uploaded documents, and organisational memory — every claim linked to its source</w:t>
      </w:r>
    </w:p>
    <w:p>
      <w:pPr>
        <w:pStyle w:val="ListBullet"/>
        <w:spacing w:after="60" w:line="300" w:lineRule="exact"/>
      </w:pPr>
      <w:r>
        <w:rPr>
          <w:rFonts w:ascii="Calibri" w:hAnsi="Calibri"/>
          <w:color w:val="333333"/>
          <w:sz w:val="21"/>
        </w:rPr>
        <w:t>Real-time document scoring: as files upload (PDF text + scanned, DOCX, XLSX, plain text, JPG, PNG), the system displays a score against the donor’s specific requirements with classified findings and one-click clarification notes</w:t>
      </w:r>
    </w:p>
    <w:p>
      <w:pPr>
        <w:pStyle w:val="ListBullet"/>
        <w:spacing w:after="60" w:line="300" w:lineRule="exact"/>
      </w:pPr>
      <w:r>
        <w:rPr>
          <w:rFonts w:ascii="Calibri" w:hAnsi="Calibri"/>
          <w:color w:val="333333"/>
          <w:sz w:val="21"/>
        </w:rPr>
        <w:t>Supported types: financial reports, audit reports, project proposals, budgets, impact reports, certificates, policies, photographs taken in the field</w:t>
      </w:r>
    </w:p>
    <w:p>
      <w:pPr>
        <w:pStyle w:val="ListBullet"/>
        <w:spacing w:after="60" w:line="300" w:lineRule="exact"/>
      </w:pPr>
      <w:r>
        <w:rPr>
          <w:rFonts w:ascii="Calibri" w:hAnsi="Calibri"/>
          <w:color w:val="333333"/>
          <w:sz w:val="21"/>
        </w:rPr>
        <w:t>Pre-submission readiness check identifies missing evidence, overclaims, generic answers, and weak passages with one-click rewrites — each classified blocker, weak, or polish</w:t>
      </w:r>
    </w:p>
    <w:p>
      <w:pPr>
        <w:pStyle w:val="ListBullet"/>
        <w:spacing w:after="60" w:line="300" w:lineRule="exact"/>
      </w:pPr>
      <w:r>
        <w:rPr>
          <w:rFonts w:ascii="Calibri" w:hAnsi="Calibri"/>
          <w:color w:val="333333"/>
          <w:sz w:val="21"/>
        </w:rPr>
        <w:t>Compliance pre-empt: scans the application for compliance risks before submission (eligibility gaps, missing documents, financial inconsistencies, narrative-versus-data contradictions) and proposes specific fixes</w:t>
      </w:r>
    </w:p>
    <w:p>
      <w:pPr>
        <w:pStyle w:val="Heading3"/>
        <w:spacing w:before="200" w:after="80"/>
      </w:pPr>
      <w:r>
        <w:rPr>
          <w:rFonts w:ascii="Calibri" w:hAnsi="Calibri"/>
          <w:color w:val="1E40AF"/>
          <w:sz w:val="24"/>
        </w:rPr>
        <w:t>Technical Implementation</w:t>
      </w:r>
    </w:p>
    <w:p>
      <w:pPr>
        <w:pStyle w:val="ListBullet"/>
        <w:spacing w:after="60" w:line="300" w:lineRule="exact"/>
      </w:pPr>
      <w:r>
        <w:rPr>
          <w:rFonts w:ascii="Calibri" w:hAnsi="Calibri"/>
          <w:color w:val="333333"/>
          <w:sz w:val="21"/>
        </w:rPr>
        <w:t>Document analysis applies donor-specific evaluation criteria with priority levels (Critical, Important, Nice to Have)</w:t>
      </w:r>
    </w:p>
    <w:p>
      <w:pPr>
        <w:pStyle w:val="ListBullet"/>
        <w:spacing w:after="60" w:line="300" w:lineRule="exact"/>
      </w:pPr>
      <w:r>
        <w:rPr>
          <w:rFonts w:ascii="Calibri" w:hAnsi="Calibri"/>
          <w:color w:val="333333"/>
          <w:sz w:val="21"/>
        </w:rPr>
        <w:t>AI response parsed into structured findings with per-requirement scores, risk flags, and improvement suggestions</w:t>
      </w:r>
    </w:p>
    <w:p>
      <w:pPr>
        <w:pStyle w:val="ListBullet"/>
        <w:spacing w:after="60" w:line="300" w:lineRule="exact"/>
      </w:pPr>
      <w:r>
        <w:rPr>
          <w:rFonts w:ascii="Calibri" w:hAnsi="Calibri"/>
          <w:color w:val="333333"/>
          <w:sz w:val="21"/>
        </w:rPr>
        <w:t>Scanned/image-only PDFs fall back to vision-based extraction so field-collected evidence is never silently rejected</w:t>
      </w:r>
    </w:p>
    <w:p>
      <w:pPr>
        <w:pStyle w:val="ListBullet"/>
        <w:spacing w:after="60" w:line="300" w:lineRule="exact"/>
      </w:pPr>
      <w:r>
        <w:rPr>
          <w:rFonts w:ascii="Calibri" w:hAnsi="Calibri"/>
          <w:color w:val="333333"/>
          <w:sz w:val="21"/>
        </w:rPr>
        <w:t>File size limit: 25MB per upload; text extracted before AI evaluation to manage token costs</w:t>
      </w:r>
    </w:p>
    <w:p>
      <w:r>
        <w:br w:type="page"/>
      </w:r>
    </w:p>
    <w:p>
      <w:pPr>
        <w:pStyle w:val="Heading2"/>
        <w:spacing w:before="280" w:after="120"/>
      </w:pPr>
      <w:r>
        <w:rPr>
          <w:rFonts w:ascii="Calibri" w:hAnsi="Calibri"/>
          <w:color w:val="0D9488"/>
        </w:rPr>
        <w:t>Stage 6 — Review with One-Screen AI Summary</w:t>
      </w:r>
    </w:p>
    <w:p>
      <w:pPr>
        <w:spacing w:after="120" w:line="300" w:lineRule="exact"/>
      </w:pPr>
      <w:r>
        <w:rPr>
          <w:rFonts w:ascii="Calibri" w:hAnsi="Calibri"/>
          <w:b w:val="0"/>
          <w:i w:val="0"/>
          <w:color w:val="333333"/>
          <w:sz w:val="21"/>
        </w:rPr>
        <w:t>Reviewer time is the scarcest resource in the grant lifecycle. The system shall give every reviewer a one-screen synthesis per application with evidence cited per criterion — turning hours of careful reading into minutes of structured judgment.</w:t>
      </w:r>
    </w:p>
    <w:p>
      <w:pPr>
        <w:pStyle w:val="ListBullet"/>
        <w:spacing w:after="60" w:line="300" w:lineRule="exact"/>
      </w:pPr>
      <w:r>
        <w:rPr>
          <w:rFonts w:ascii="Calibri" w:hAnsi="Calibri"/>
          <w:color w:val="333333"/>
          <w:sz w:val="21"/>
        </w:rPr>
        <w:t>One-screen summary: who the NGO is, what they propose, why-strong and why-weak summary, evidence per criterion (verbatim quotes for and against), decision-changers (what would shift the score), comparable signal against the cohort, red flags</w:t>
      </w:r>
    </w:p>
    <w:p>
      <w:pPr>
        <w:pStyle w:val="ListBullet"/>
        <w:spacing w:after="60" w:line="300" w:lineRule="exact"/>
      </w:pPr>
      <w:r>
        <w:rPr>
          <w:rFonts w:ascii="Calibri" w:hAnsi="Calibri"/>
          <w:color w:val="333333"/>
          <w:sz w:val="21"/>
        </w:rPr>
        <w:t>Evidence extraction: verbatim supporting, contradicting, and neutral quotes per rubric criterion so reviewers cite specific evidence instead of writing rationale from memory</w:t>
      </w:r>
    </w:p>
    <w:p>
      <w:pPr>
        <w:pStyle w:val="ListBullet"/>
        <w:spacing w:after="60" w:line="300" w:lineRule="exact"/>
      </w:pPr>
      <w:r>
        <w:rPr>
          <w:rFonts w:ascii="Calibri" w:hAnsi="Calibri"/>
          <w:color w:val="333333"/>
          <w:sz w:val="21"/>
        </w:rPr>
        <w:t>Draft rationale per criterion the reviewer accepts, edits, or overrides</w:t>
      </w:r>
    </w:p>
    <w:p>
      <w:pPr>
        <w:pStyle w:val="ListBullet"/>
        <w:spacing w:after="60" w:line="300" w:lineRule="exact"/>
      </w:pPr>
      <w:r>
        <w:rPr>
          <w:rFonts w:ascii="Calibri" w:hAnsi="Calibri"/>
          <w:color w:val="333333"/>
          <w:sz w:val="21"/>
        </w:rPr>
        <w:t>Suggest-criteria: when a grant has no rubric defined, AI proposes a calibrated rubric with labels, descriptions, weights summing to 100, and per-criterion rationale</w:t>
      </w:r>
    </w:p>
    <w:p>
      <w:pPr>
        <w:pStyle w:val="ListBullet"/>
        <w:spacing w:after="60" w:line="300" w:lineRule="exact"/>
      </w:pPr>
      <w:r>
        <w:rPr>
          <w:rFonts w:ascii="Calibri" w:hAnsi="Calibri"/>
          <w:color w:val="333333"/>
          <w:sz w:val="21"/>
        </w:rPr>
        <w:t>Dual scoring: AI baseline + human reviewer judgment, both recorded in the decision audit</w:t>
      </w:r>
    </w:p>
    <w:p>
      <w:pPr>
        <w:pStyle w:val="ListBullet"/>
        <w:spacing w:after="60" w:line="300" w:lineRule="exact"/>
      </w:pPr>
      <w:r>
        <w:rPr>
          <w:rFonts w:ascii="Calibri" w:hAnsi="Calibri"/>
          <w:color w:val="333333"/>
          <w:sz w:val="21"/>
        </w:rPr>
        <w:t>Donor-configurable evaluation criteria with 3 priority levels and custom weightings</w:t>
      </w:r>
    </w:p>
    <w:p>
      <w:pPr>
        <w:pStyle w:val="ListBullet"/>
        <w:spacing w:after="60" w:line="300" w:lineRule="exact"/>
      </w:pPr>
      <w:r>
        <w:rPr>
          <w:rFonts w:ascii="Calibri" w:hAnsi="Calibri"/>
          <w:color w:val="333333"/>
          <w:sz w:val="21"/>
        </w:rPr>
        <w:t>AI-ranked shortlists for reviewer efficiency</w:t>
      </w:r>
    </w:p>
    <w:p>
      <w:pPr>
        <w:pStyle w:val="ListBullet"/>
        <w:spacing w:after="60" w:line="300" w:lineRule="exact"/>
      </w:pPr>
      <w:r>
        <w:rPr>
          <w:rFonts w:ascii="Calibri" w:hAnsi="Calibri"/>
          <w:color w:val="333333"/>
          <w:sz w:val="21"/>
        </w:rPr>
        <w:t>Every decision recorded in the tamper-evident audit chain</w:t>
      </w:r>
    </w:p>
    <w:p>
      <w:pPr>
        <w:pStyle w:val="Heading2"/>
        <w:spacing w:before="280" w:after="120"/>
      </w:pPr>
      <w:r>
        <w:rPr>
          <w:rFonts w:ascii="Calibri" w:hAnsi="Calibri"/>
          <w:color w:val="0D9488"/>
        </w:rPr>
        <w:t>Stage 7 — Compliance Support for NGOs and Donor-Side Health Monitoring</w:t>
      </w:r>
    </w:p>
    <w:p>
      <w:pPr>
        <w:spacing w:after="120" w:line="300" w:lineRule="exact"/>
      </w:pPr>
      <w:r>
        <w:rPr>
          <w:rFonts w:ascii="Calibri" w:hAnsi="Calibri"/>
          <w:b w:val="0"/>
          <w:i w:val="0"/>
          <w:color w:val="333333"/>
          <w:sz w:val="21"/>
        </w:rPr>
        <w:t>The compliance stage is the platform’s flagship: it simplifies compliance and risk for BOTH sides. NGOs are supported through every obligation; donors receive pre-assessed, pre-scored reports plus a 4-pillar compliance health score with trajectory forecasting that surfaces grants drifting off track before they slip.</w:t>
      </w:r>
    </w:p>
    <w:p>
      <w:pPr>
        <w:pStyle w:val="Heading3"/>
        <w:spacing w:before="200" w:after="80"/>
      </w:pPr>
      <w:r>
        <w:rPr>
          <w:rFonts w:ascii="Calibri" w:hAnsi="Calibri"/>
          <w:color w:val="1E40AF"/>
          <w:sz w:val="24"/>
        </w:rPr>
        <w:t>For NGOs — embedded AI as compliance working partner</w:t>
      </w:r>
    </w:p>
    <w:p>
      <w:pPr>
        <w:pStyle w:val="ListBullet"/>
        <w:spacing w:after="60" w:line="300" w:lineRule="exact"/>
      </w:pPr>
      <w:r>
        <w:rPr>
          <w:rFonts w:ascii="Calibri" w:hAnsi="Calibri"/>
          <w:color w:val="333333"/>
          <w:sz w:val="21"/>
        </w:rPr>
        <w:t>Extracts donor reporting requirements from the grant agreement into a structured obligation list — cadence, indicators, narrative sections, budget format, document-of-record</w:t>
      </w:r>
    </w:p>
    <w:p>
      <w:pPr>
        <w:pStyle w:val="ListBullet"/>
        <w:spacing w:after="60" w:line="300" w:lineRule="exact"/>
      </w:pPr>
      <w:r>
        <w:rPr>
          <w:rFonts w:ascii="Calibri" w:hAnsi="Calibri"/>
          <w:color w:val="333333"/>
          <w:sz w:val="21"/>
        </w:rPr>
        <w:t>Translates donor-specific language into clear NGO-side action items: "submit Q1 progress report by 30 June including indicator data on visits completed, with budget reconciliation"</w:t>
      </w:r>
    </w:p>
    <w:p>
      <w:pPr>
        <w:pStyle w:val="ListBullet"/>
        <w:spacing w:after="60" w:line="300" w:lineRule="exact"/>
      </w:pPr>
      <w:r>
        <w:rPr>
          <w:rFonts w:ascii="Calibri" w:hAnsi="Calibri"/>
          <w:color w:val="333333"/>
          <w:sz w:val="21"/>
        </w:rPr>
        <w:t>Maintains a compliance calendar per NGO with every upcoming obligation across every active grant, with date, type, status, and grant attribution</w:t>
      </w:r>
    </w:p>
    <w:p>
      <w:pPr>
        <w:pStyle w:val="ListBullet"/>
        <w:spacing w:after="60" w:line="300" w:lineRule="exact"/>
      </w:pPr>
      <w:r>
        <w:rPr>
          <w:rFonts w:ascii="Calibri" w:hAnsi="Calibri"/>
          <w:color w:val="333333"/>
          <w:sz w:val="21"/>
        </w:rPr>
        <w:t>Sends proactive reminders ahead of each obligation — in-app, email, and web push to subscribed mobile devices — escalating as deadlines approach</w:t>
      </w:r>
    </w:p>
    <w:p>
      <w:pPr>
        <w:pStyle w:val="ListBullet"/>
        <w:spacing w:after="60" w:line="300" w:lineRule="exact"/>
      </w:pPr>
      <w:r>
        <w:rPr>
          <w:rFonts w:ascii="Calibri" w:hAnsi="Calibri"/>
          <w:color w:val="333333"/>
          <w:sz w:val="21"/>
        </w:rPr>
        <w:t>Drafts a first-pass narrative for each progress report from prior reports, captured indicator data, and uploaded evidence — the NGO refines</w:t>
      </w:r>
    </w:p>
    <w:p>
      <w:pPr>
        <w:pStyle w:val="ListBullet"/>
        <w:spacing w:after="60" w:line="300" w:lineRule="exact"/>
      </w:pPr>
      <w:r>
        <w:rPr>
          <w:rFonts w:ascii="Calibri" w:hAnsi="Calibri"/>
          <w:color w:val="333333"/>
          <w:sz w:val="21"/>
        </w:rPr>
        <w:t>Prompts the NGO to upload the right evidence at the right time: "your indicator data shows 88% CHW retention this quarter — attach training attendance records that support this"</w:t>
      </w:r>
    </w:p>
    <w:p>
      <w:pPr>
        <w:pStyle w:val="ListBullet"/>
        <w:spacing w:after="60" w:line="300" w:lineRule="exact"/>
      </w:pPr>
      <w:r>
        <w:rPr>
          <w:rFonts w:ascii="Calibri" w:hAnsi="Calibri"/>
          <w:color w:val="333333"/>
          <w:sz w:val="21"/>
        </w:rPr>
        <w:t>Scores every uploaded document against the donor’s specific requirements in real time, with classified findings and one-click clarifications</w:t>
      </w:r>
    </w:p>
    <w:p>
      <w:pPr>
        <w:pStyle w:val="ListBullet"/>
        <w:spacing w:after="60" w:line="300" w:lineRule="exact"/>
      </w:pPr>
      <w:r>
        <w:rPr>
          <w:rFonts w:ascii="Calibri" w:hAnsi="Calibri"/>
          <w:color w:val="333333"/>
          <w:sz w:val="21"/>
        </w:rPr>
        <w:t>Donor-perspective pre-flight: predicts the specific concerns the donor will raise (vague claims, unexplained budget variance, missing evidence) and offers a specific fix per concern</w:t>
      </w:r>
    </w:p>
    <w:p>
      <w:pPr>
        <w:pStyle w:val="ListBullet"/>
        <w:spacing w:after="60" w:line="300" w:lineRule="exact"/>
      </w:pPr>
      <w:r>
        <w:rPr>
          <w:rFonts w:ascii="Calibri" w:hAnsi="Calibri"/>
          <w:color w:val="333333"/>
          <w:sz w:val="21"/>
        </w:rPr>
        <w:t>Guides NGOs through donor revision requests with AI-drafted updates the NGO accepts, edits, or overrides — closing revision cycles in one round instead of three</w:t>
      </w:r>
    </w:p>
    <w:p>
      <w:pPr>
        <w:pStyle w:val="Heading3"/>
        <w:spacing w:before="200" w:after="80"/>
      </w:pPr>
      <w:r>
        <w:rPr>
          <w:rFonts w:ascii="Calibri" w:hAnsi="Calibri"/>
          <w:color w:val="1E40AF"/>
          <w:sz w:val="24"/>
        </w:rPr>
        <w:t>For donors — pre-assessed reports + portfolio health monitoring</w:t>
      </w:r>
    </w:p>
    <w:p>
      <w:pPr>
        <w:pStyle w:val="ListBullet"/>
        <w:spacing w:after="60" w:line="300" w:lineRule="exact"/>
      </w:pPr>
      <w:r>
        <w:rPr>
          <w:rFonts w:ascii="Calibri" w:hAnsi="Calibri"/>
          <w:color w:val="333333"/>
          <w:sz w:val="21"/>
        </w:rPr>
        <w:t>Every progress report arrives with an AI pre-assessment attached: section-level summary, indicator validation, budget reconciliation status, evidence coverage, composite quality score</w:t>
      </w:r>
    </w:p>
    <w:p>
      <w:pPr>
        <w:pStyle w:val="ListBullet"/>
        <w:spacing w:after="60" w:line="300" w:lineRule="exact"/>
      </w:pPr>
      <w:r>
        <w:rPr>
          <w:rFonts w:ascii="Calibri" w:hAnsi="Calibri"/>
          <w:color w:val="333333"/>
          <w:sz w:val="21"/>
        </w:rPr>
        <w:t>4-pillar compliance health score per active grant (completion 30%, timeliness 30%, workflow 20%, importance 20%) classifying each grant as on-track, at-risk, or high-risk</w:t>
      </w:r>
    </w:p>
    <w:p>
      <w:pPr>
        <w:pStyle w:val="ListBullet"/>
        <w:spacing w:after="60" w:line="300" w:lineRule="exact"/>
      </w:pPr>
      <w:r>
        <w:rPr>
          <w:rFonts w:ascii="Calibri" w:hAnsi="Calibri"/>
          <w:color w:val="333333"/>
          <w:sz w:val="21"/>
        </w:rPr>
        <w:t>Daily snapshot of each active grant’s compliance health; linear-regression trajectory forecast over the trailing 60 days projects when grants will slip</w:t>
      </w:r>
    </w:p>
    <w:p>
      <w:pPr>
        <w:pStyle w:val="ListBullet"/>
        <w:spacing w:after="60" w:line="300" w:lineRule="exact"/>
      </w:pPr>
      <w:r>
        <w:rPr>
          <w:rFonts w:ascii="Calibri" w:hAnsi="Calibri"/>
          <w:color w:val="333333"/>
          <w:sz w:val="21"/>
        </w:rPr>
        <w:t>Slips-in-N-days badge surfaced on the donor dashboard for grants forecast to drop below the at-risk threshold within 30 days, colour-coded by urgency</w:t>
      </w:r>
    </w:p>
    <w:p>
      <w:pPr>
        <w:pStyle w:val="ListBullet"/>
        <w:spacing w:after="60" w:line="300" w:lineRule="exact"/>
      </w:pPr>
      <w:r>
        <w:rPr>
          <w:rFonts w:ascii="Calibri" w:hAnsi="Calibri"/>
          <w:color w:val="333333"/>
          <w:sz w:val="21"/>
        </w:rPr>
        <w:t>Risk register: structured entries with severity, owner, due date, response, and lifecycle (open, mitigating, mitigated, accepted, dismissed)</w:t>
      </w:r>
    </w:p>
    <w:p>
      <w:pPr>
        <w:pStyle w:val="ListBullet"/>
        <w:spacing w:after="60" w:line="300" w:lineRule="exact"/>
      </w:pPr>
      <w:r>
        <w:rPr>
          <w:rFonts w:ascii="Calibri" w:hAnsi="Calibri"/>
          <w:color w:val="333333"/>
          <w:sz w:val="21"/>
        </w:rPr>
        <w:t>Portfolio insights panel: AI-generated headline, anomalies, and the next decisions the donor owes — tied to specific applications and grants</w:t>
      </w:r>
    </w:p>
    <w:p>
      <w:pPr>
        <w:pStyle w:val="ListBullet"/>
        <w:spacing w:after="60" w:line="300" w:lineRule="exact"/>
      </w:pPr>
      <w:r>
        <w:rPr>
          <w:rFonts w:ascii="Calibri" w:hAnsi="Calibri"/>
          <w:color w:val="333333"/>
          <w:sz w:val="21"/>
        </w:rPr>
        <w:t>Plain-language explanation of every finding: sanctions matches, registry discrepancies, compliance pillar contributors — translated for non-specialist readers</w:t>
      </w:r>
    </w:p>
    <w:p>
      <w:pPr>
        <w:pStyle w:val="ListBullet"/>
        <w:spacing w:after="60" w:line="300" w:lineRule="exact"/>
      </w:pPr>
      <w:r>
        <w:rPr>
          <w:rFonts w:ascii="Calibri" w:hAnsi="Calibri"/>
          <w:color w:val="333333"/>
          <w:sz w:val="21"/>
        </w:rPr>
        <w:t>Structured collaboration via threaded comments with @-mentions and web push — every clarification, revision request, and risk response preserved on the record</w:t>
      </w:r>
    </w:p>
    <w:p>
      <w:pPr>
        <w:pStyle w:val="Heading3"/>
        <w:spacing w:before="200" w:after="80"/>
      </w:pPr>
      <w:r>
        <w:rPr>
          <w:rFonts w:ascii="Calibri" w:hAnsi="Calibri"/>
          <w:color w:val="1E40AF"/>
          <w:sz w:val="24"/>
        </w:rPr>
        <w:t>Technical Implementation</w:t>
      </w:r>
    </w:p>
    <w:p>
      <w:pPr>
        <w:pStyle w:val="ListBullet"/>
        <w:spacing w:after="60" w:line="300" w:lineRule="exact"/>
      </w:pPr>
      <w:r>
        <w:rPr>
          <w:rFonts w:ascii="Calibri" w:hAnsi="Calibri"/>
          <w:color w:val="333333"/>
          <w:sz w:val="21"/>
        </w:rPr>
        <w:t>Grant agreement parsing: language-model extraction into structured JSON (requirement_type, description, deadline, frequency)</w:t>
      </w:r>
    </w:p>
    <w:p>
      <w:pPr>
        <w:pStyle w:val="ListBullet"/>
        <w:spacing w:after="60" w:line="300" w:lineRule="exact"/>
      </w:pPr>
      <w:r>
        <w:rPr>
          <w:rFonts w:ascii="Calibri" w:hAnsi="Calibri"/>
          <w:color w:val="333333"/>
          <w:sz w:val="21"/>
        </w:rPr>
        <w:t>Report evaluation: each submitted report scored against every extracted requirement with individual pass/fail/partial determinations</w:t>
      </w:r>
    </w:p>
    <w:p>
      <w:pPr>
        <w:pStyle w:val="ListBullet"/>
        <w:spacing w:after="60" w:line="300" w:lineRule="exact"/>
      </w:pPr>
      <w:r>
        <w:rPr>
          <w:rFonts w:ascii="Calibri" w:hAnsi="Calibri"/>
          <w:color w:val="333333"/>
          <w:sz w:val="21"/>
        </w:rPr>
        <w:t>Risk flag categories: Missing, Late, Incomplete, Non-Compliant</w:t>
      </w:r>
    </w:p>
    <w:p>
      <w:pPr>
        <w:pStyle w:val="ListBullet"/>
        <w:spacing w:after="60" w:line="300" w:lineRule="exact"/>
      </w:pPr>
      <w:r>
        <w:rPr>
          <w:rFonts w:ascii="Calibri" w:hAnsi="Calibri"/>
          <w:color w:val="333333"/>
          <w:sz w:val="21"/>
        </w:rPr>
        <w:t>Async dispatch: heavy AI work (drafting, scoring, summarisation) runs in the background so the user’s request returns immediately and the model has the time it needs</w:t>
      </w:r>
    </w:p>
    <w:p>
      <w:pPr>
        <w:pStyle w:val="ListBullet"/>
        <w:spacing w:after="60" w:line="300" w:lineRule="exact"/>
      </w:pPr>
      <w:r>
        <w:rPr>
          <w:rFonts w:ascii="Calibri" w:hAnsi="Calibri"/>
          <w:color w:val="333333"/>
          <w:sz w:val="21"/>
        </w:rPr>
        <w:t>Tamper-evident audit chain: every screening result, verification stamp, evidence score, report submission, decision, and risk lifecycle transition recorded with cryptographic linkage</w:t>
      </w:r>
    </w:p>
    <w:p>
      <w:pPr>
        <w:pStyle w:val="Heading2"/>
        <w:spacing w:before="280" w:after="120"/>
      </w:pPr>
      <w:r>
        <w:rPr>
          <w:rFonts w:ascii="Calibri" w:hAnsi="Calibri"/>
          <w:color w:val="0D9488"/>
        </w:rPr>
        <w:t>Stage 8 — ERP &amp; Operations (KujaBuild — Odoo 17)</w:t>
      </w:r>
    </w:p>
    <w:p>
      <w:pPr>
        <w:spacing w:after="120" w:line="300" w:lineRule="exact"/>
      </w:pPr>
      <w:r>
        <w:rPr>
          <w:rFonts w:ascii="Calibri" w:hAnsi="Calibri"/>
          <w:b w:val="0"/>
          <w:i w:val="0"/>
          <w:color w:val="333333"/>
          <w:sz w:val="21"/>
        </w:rPr>
        <w:t>The final stage extends grant management into full operational management.</w:t>
      </w:r>
    </w:p>
    <w:p>
      <w:pPr>
        <w:pStyle w:val="ListBullet"/>
        <w:spacing w:after="60" w:line="300" w:lineRule="exact"/>
      </w:pPr>
      <w:r>
        <w:rPr>
          <w:rFonts w:ascii="Calibri" w:hAnsi="Calibri"/>
          <w:color w:val="333333"/>
          <w:sz w:val="21"/>
        </w:rPr>
        <w:t>Three tiers: Basic (grant/donor mgmt, accounting, financial reporting), Premium (+asset mgmt, procurement, payroll), Premium+ (+project mgmt, HRIS, MEAL)</w:t>
      </w:r>
    </w:p>
    <w:p>
      <w:pPr>
        <w:pStyle w:val="ListBullet"/>
        <w:spacing w:after="60" w:line="300" w:lineRule="exact"/>
      </w:pPr>
      <w:r>
        <w:rPr>
          <w:rFonts w:ascii="Calibri" w:hAnsi="Calibri"/>
          <w:color w:val="333333"/>
          <w:sz w:val="21"/>
        </w:rPr>
        <w:t>Multi-tenancy: donors access real-time financial data for their grants</w:t>
      </w:r>
    </w:p>
    <w:p>
      <w:pPr>
        <w:pStyle w:val="ListBullet"/>
        <w:spacing w:after="60" w:line="300" w:lineRule="exact"/>
      </w:pPr>
      <w:r>
        <w:rPr>
          <w:rFonts w:ascii="Calibri" w:hAnsi="Calibri"/>
          <w:color w:val="333333"/>
          <w:sz w:val="21"/>
        </w:rPr>
        <w:t>Seamless onboarding: most data captured in Stages 1-7, reducing setup from weeks to hours</w:t>
      </w:r>
    </w:p>
    <w:p>
      <w:pPr>
        <w:pStyle w:val="ListBullet"/>
        <w:spacing w:after="60" w:line="300" w:lineRule="exact"/>
      </w:pPr>
      <w:r>
        <w:rPr>
          <w:rFonts w:ascii="Calibri" w:hAnsi="Calibri"/>
          <w:color w:val="333333"/>
          <w:sz w:val="21"/>
        </w:rPr>
        <w:t>Automatic data migration from marketplace profiles, assessment results, grant records</w:t>
      </w:r>
    </w:p>
    <w:p>
      <w:r>
        <w:br w:type="page"/>
      </w:r>
    </w:p>
    <w:p>
      <w:pPr>
        <w:pStyle w:val="Heading1"/>
        <w:spacing w:before="360" w:after="160"/>
      </w:pPr>
      <w:r>
        <w:rPr>
          <w:rFonts w:ascii="Calibri" w:hAnsi="Calibri"/>
          <w:color w:val="1E40AF"/>
        </w:rPr>
        <w:t>3. Embedded AI Intelligence &amp; Technical Architecture</w:t>
      </w:r>
    </w:p>
    <w:p>
      <w:pPr>
        <w:spacing w:after="120" w:line="300" w:lineRule="exact"/>
      </w:pPr>
      <w:r>
        <w:rPr>
          <w:rFonts w:ascii="Calibri" w:hAnsi="Calibri"/>
          <w:b w:val="0"/>
          <w:i w:val="0"/>
          <w:color w:val="333333"/>
          <w:sz w:val="21"/>
        </w:rPr>
        <w:t>Kuja’s AI is not a chatbot bolted onto a database. It is an embedded intelligence layer woven through every workflow — drafting, scoring, predicting, extracting, reasoning, and explaining. The system uses large-language-model inference under a small number of explicit design principles that together distinguish a working AI partner from surface-level assistance.</w:t>
      </w:r>
    </w:p>
    <w:p>
      <w:pPr>
        <w:pStyle w:val="Heading2"/>
        <w:spacing w:before="280" w:after="120"/>
      </w:pPr>
      <w:r>
        <w:rPr>
          <w:rFonts w:ascii="Calibri" w:hAnsi="Calibri"/>
          <w:color w:val="0D9488"/>
        </w:rPr>
        <w:t>Design principles for AI use</w:t>
      </w:r>
    </w:p>
    <w:p>
      <w:pPr>
        <w:pStyle w:val="ListBullet"/>
        <w:spacing w:after="60" w:line="300" w:lineRule="exact"/>
      </w:pPr>
      <w:r>
        <w:rPr>
          <w:rFonts w:ascii="Calibri" w:hAnsi="Calibri"/>
          <w:b/>
          <w:color w:val="333333"/>
          <w:sz w:val="21"/>
        </w:rPr>
        <w:t xml:space="preserve">Grounded. </w:t>
      </w:r>
      <w:r>
        <w:rPr>
          <w:rFonts w:ascii="Calibri" w:hAnsi="Calibri"/>
          <w:color w:val="333333"/>
          <w:sz w:val="21"/>
        </w:rPr>
        <w:t>Grounded, not generic. Every AI output draws on the user’s actual data — organisation profile, capacity passport, prior submissions, uploaded documents, the grant they’re viewing. Where evidence is missing, the system says so rather than inventing.</w:t>
      </w:r>
    </w:p>
    <w:p>
      <w:pPr>
        <w:pStyle w:val="ListBullet"/>
        <w:spacing w:after="60" w:line="300" w:lineRule="exact"/>
      </w:pPr>
      <w:r>
        <w:rPr>
          <w:rFonts w:ascii="Calibri" w:hAnsi="Calibri"/>
          <w:b/>
          <w:color w:val="333333"/>
          <w:sz w:val="21"/>
        </w:rPr>
        <w:t xml:space="preserve">Action-oriented. </w:t>
      </w:r>
      <w:r>
        <w:rPr>
          <w:rFonts w:ascii="Calibri" w:hAnsi="Calibri"/>
          <w:color w:val="333333"/>
          <w:sz w:val="21"/>
        </w:rPr>
        <w:t>Action-oriented. Every AI output is an editable starting point or a structured decision aid (gap list, evidence list, rewrite, score with rationale) — never a paragraph the user has to re-interpret.</w:t>
      </w:r>
    </w:p>
    <w:p>
      <w:pPr>
        <w:pStyle w:val="ListBullet"/>
        <w:spacing w:after="60" w:line="300" w:lineRule="exact"/>
      </w:pPr>
      <w:r>
        <w:rPr>
          <w:rFonts w:ascii="Calibri" w:hAnsi="Calibri"/>
          <w:b/>
          <w:color w:val="333333"/>
          <w:sz w:val="21"/>
        </w:rPr>
        <w:t xml:space="preserve">Traceable. </w:t>
      </w:r>
      <w:r>
        <w:rPr>
          <w:rFonts w:ascii="Calibri" w:hAnsi="Calibri"/>
          <w:color w:val="333333"/>
          <w:sz w:val="21"/>
        </w:rPr>
        <w:t>Traceable. Every AI claim links to its source so applicants verify their drafts and reviewers see what evidence informed each finding.</w:t>
      </w:r>
    </w:p>
    <w:p>
      <w:pPr>
        <w:pStyle w:val="ListBullet"/>
        <w:spacing w:after="60" w:line="300" w:lineRule="exact"/>
      </w:pPr>
      <w:r>
        <w:rPr>
          <w:rFonts w:ascii="Calibri" w:hAnsi="Calibri"/>
          <w:b/>
          <w:color w:val="333333"/>
          <w:sz w:val="21"/>
        </w:rPr>
        <w:t xml:space="preserve">Honest. </w:t>
      </w:r>
      <w:r>
        <w:rPr>
          <w:rFonts w:ascii="Calibri" w:hAnsi="Calibri"/>
          <w:color w:val="333333"/>
          <w:sz w:val="21"/>
        </w:rPr>
        <w:t>Honest about uncertainty. AI output surfaces its own confidence and falls back to deterministic templates or rule-based logic when the AI service is unavailable. Users always see a usable interface.</w:t>
      </w:r>
    </w:p>
    <w:p>
      <w:pPr>
        <w:pStyle w:val="ListBullet"/>
        <w:spacing w:after="60" w:line="300" w:lineRule="exact"/>
      </w:pPr>
      <w:r>
        <w:rPr>
          <w:rFonts w:ascii="Calibri" w:hAnsi="Calibri"/>
          <w:b/>
          <w:color w:val="333333"/>
          <w:sz w:val="21"/>
        </w:rPr>
        <w:t xml:space="preserve">Multilingual. </w:t>
      </w:r>
      <w:r>
        <w:rPr>
          <w:rFonts w:ascii="Calibri" w:hAnsi="Calibri"/>
          <w:color w:val="333333"/>
          <w:sz w:val="21"/>
        </w:rPr>
        <w:t>Multilingual and role-aware. AI output is produced in the user’s preferred language with tone appropriate to their role: warm and coaching for NGOs; precise and decision-oriented for donors and reviewers.</w:t>
      </w:r>
    </w:p>
    <w:p>
      <w:pPr>
        <w:pStyle w:val="ListBullet"/>
        <w:spacing w:after="60" w:line="300" w:lineRule="exact"/>
      </w:pPr>
      <w:r>
        <w:rPr>
          <w:rFonts w:ascii="Calibri" w:hAnsi="Calibri"/>
          <w:b/>
          <w:color w:val="333333"/>
          <w:sz w:val="21"/>
        </w:rPr>
        <w:t xml:space="preserve">Auditable. </w:t>
      </w:r>
      <w:r>
        <w:rPr>
          <w:rFonts w:ascii="Calibri" w:hAnsi="Calibri"/>
          <w:color w:val="333333"/>
          <w:sz w:val="21"/>
        </w:rPr>
        <w:t>Auditable. Every AI call produces a telemetry record (endpoint, model, tokens, latency, success, user, language, role) administrators can inspect.</w:t>
      </w:r>
    </w:p>
    <w:p>
      <w:pPr>
        <w:pStyle w:val="ListBullet"/>
        <w:spacing w:after="60" w:line="300" w:lineRule="exact"/>
      </w:pPr>
      <w:r>
        <w:rPr>
          <w:rFonts w:ascii="Calibri" w:hAnsi="Calibri"/>
          <w:b/>
          <w:color w:val="333333"/>
          <w:sz w:val="21"/>
        </w:rPr>
        <w:t xml:space="preserve">Cost-aware. </w:t>
      </w:r>
      <w:r>
        <w:rPr>
          <w:rFonts w:ascii="Calibri" w:hAnsi="Calibri"/>
          <w:color w:val="333333"/>
          <w:sz w:val="21"/>
        </w:rPr>
        <w:t>Cost-aware. Heavy AI work executes asynchronously so the user’s request returns immediately and the model has the time it needs. Daily 30-day cost projection vs. budget surfaces to administrators.</w:t>
      </w:r>
    </w:p>
    <w:p>
      <w:pPr>
        <w:pStyle w:val="Heading2"/>
        <w:spacing w:before="280" w:after="120"/>
      </w:pPr>
      <w:r>
        <w:rPr>
          <w:rFonts w:ascii="Calibri" w:hAnsi="Calibri"/>
          <w:color w:val="0D9488"/>
        </w:rPr>
        <w:t>AI Surfaces Across the Workflow</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3135"/>
            <w:shd w:fill="1E40AF" w:val="clear"/>
          </w:tcPr>
          <w:p>
            <w:pPr>
              <w:spacing w:before="40" w:after="40"/>
            </w:pPr>
            <w:r/>
            <w:r>
              <w:rPr>
                <w:rFonts w:ascii="Calibri" w:hAnsi="Calibri"/>
                <w:b/>
                <w:color w:val="FFFFFF"/>
                <w:sz w:val="18"/>
              </w:rPr>
              <w:t>Surface</w:t>
            </w:r>
          </w:p>
        </w:tc>
        <w:tc>
          <w:tcPr>
            <w:tcW w:type="dxa" w:w="3135"/>
            <w:shd w:fill="1E40AF" w:val="clear"/>
          </w:tcPr>
          <w:p>
            <w:pPr>
              <w:spacing w:before="40" w:after="40"/>
            </w:pPr>
            <w:r/>
            <w:r>
              <w:rPr>
                <w:rFonts w:ascii="Calibri" w:hAnsi="Calibri"/>
                <w:b/>
                <w:color w:val="FFFFFF"/>
                <w:sz w:val="18"/>
              </w:rPr>
              <w:t>Workspace</w:t>
            </w:r>
          </w:p>
        </w:tc>
        <w:tc>
          <w:tcPr>
            <w:tcW w:type="dxa" w:w="3135"/>
            <w:shd w:fill="1E40AF" w:val="clear"/>
          </w:tcPr>
          <w:p>
            <w:pPr>
              <w:spacing w:before="40" w:after="40"/>
            </w:pPr>
            <w:r/>
            <w:r>
              <w:rPr>
                <w:rFonts w:ascii="Calibri" w:hAnsi="Calibri"/>
                <w:b/>
                <w:color w:val="FFFFFF"/>
                <w:sz w:val="18"/>
              </w:rPr>
              <w:t>What the system does</w:t>
            </w:r>
          </w:p>
        </w:tc>
      </w:tr>
      <w:tr>
        <w:tc>
          <w:tcPr>
            <w:tcW w:type="dxa" w:w="3135"/>
          </w:tcPr>
          <w:p>
            <w:pPr>
              <w:spacing w:before="40" w:after="40"/>
            </w:pPr>
            <w:r/>
            <w:r>
              <w:rPr>
                <w:rFonts w:ascii="Calibri" w:hAnsi="Calibri"/>
                <w:b w:val="0"/>
                <w:color w:val="333333"/>
                <w:sz w:val="18"/>
              </w:rPr>
              <w:t>Match scoring</w:t>
            </w:r>
          </w:p>
        </w:tc>
        <w:tc>
          <w:tcPr>
            <w:tcW w:type="dxa" w:w="3135"/>
          </w:tcPr>
          <w:p>
            <w:pPr>
              <w:spacing w:before="40" w:after="40"/>
            </w:pPr>
            <w:r/>
            <w:r>
              <w:rPr>
                <w:rFonts w:ascii="Calibri" w:hAnsi="Calibri"/>
                <w:b w:val="0"/>
                <w:color w:val="333333"/>
                <w:sz w:val="18"/>
              </w:rPr>
              <w:t>NGO + Donor</w:t>
            </w:r>
          </w:p>
        </w:tc>
        <w:tc>
          <w:tcPr>
            <w:tcW w:type="dxa" w:w="3135"/>
          </w:tcPr>
          <w:p>
            <w:pPr>
              <w:spacing w:before="40" w:after="40"/>
            </w:pPr>
            <w:r/>
            <w:r>
              <w:rPr>
                <w:rFonts w:ascii="Calibri" w:hAnsi="Calibri"/>
                <w:b w:val="0"/>
                <w:color w:val="333333"/>
                <w:sz w:val="18"/>
              </w:rPr>
              <w:t>Scores every NGO-grant pair on eligibility, sector, geography, capacity, track record; surfaces top strength + top blocker</w:t>
            </w:r>
          </w:p>
        </w:tc>
      </w:tr>
      <w:tr>
        <w:tc>
          <w:tcPr>
            <w:tcW w:type="dxa" w:w="3135"/>
            <w:shd w:fill="F0F7FF" w:val="clear"/>
          </w:tcPr>
          <w:p>
            <w:pPr>
              <w:spacing w:before="40" w:after="40"/>
            </w:pPr>
            <w:r/>
            <w:r>
              <w:rPr>
                <w:rFonts w:ascii="Calibri" w:hAnsi="Calibri"/>
                <w:b w:val="0"/>
                <w:color w:val="333333"/>
                <w:sz w:val="18"/>
              </w:rPr>
              <w:t>Application co-author</w:t>
            </w:r>
          </w:p>
        </w:tc>
        <w:tc>
          <w:tcPr>
            <w:tcW w:type="dxa" w:w="3135"/>
            <w:shd w:fill="F0F7FF" w:val="clear"/>
          </w:tcPr>
          <w:p>
            <w:pPr>
              <w:spacing w:before="40" w:after="40"/>
            </w:pPr>
            <w:r/>
            <w:r>
              <w:rPr>
                <w:rFonts w:ascii="Calibri" w:hAnsi="Calibri"/>
                <w:b w:val="0"/>
                <w:color w:val="333333"/>
                <w:sz w:val="18"/>
              </w:rPr>
              <w:t>NGO</w:t>
            </w:r>
          </w:p>
        </w:tc>
        <w:tc>
          <w:tcPr>
            <w:tcW w:type="dxa" w:w="3135"/>
            <w:shd w:fill="F0F7FF" w:val="clear"/>
          </w:tcPr>
          <w:p>
            <w:pPr>
              <w:spacing w:before="40" w:after="40"/>
            </w:pPr>
            <w:r/>
            <w:r>
              <w:rPr>
                <w:rFonts w:ascii="Calibri" w:hAnsi="Calibri"/>
                <w:b w:val="0"/>
                <w:color w:val="333333"/>
                <w:sz w:val="18"/>
              </w:rPr>
              <w:t>Drafts a complete first-pass application from passport, prior submissions, uploaded documents, and organisational memory — every claim linked to its source</w:t>
            </w:r>
          </w:p>
        </w:tc>
      </w:tr>
      <w:tr>
        <w:tc>
          <w:tcPr>
            <w:tcW w:type="dxa" w:w="3135"/>
          </w:tcPr>
          <w:p>
            <w:pPr>
              <w:spacing w:before="40" w:after="40"/>
            </w:pPr>
            <w:r/>
            <w:r>
              <w:rPr>
                <w:rFonts w:ascii="Calibri" w:hAnsi="Calibri"/>
                <w:b w:val="0"/>
                <w:color w:val="333333"/>
                <w:sz w:val="18"/>
              </w:rPr>
              <w:t>Real-time document scoring</w:t>
            </w:r>
          </w:p>
        </w:tc>
        <w:tc>
          <w:tcPr>
            <w:tcW w:type="dxa" w:w="3135"/>
          </w:tcPr>
          <w:p>
            <w:pPr>
              <w:spacing w:before="40" w:after="40"/>
            </w:pPr>
            <w:r/>
            <w:r>
              <w:rPr>
                <w:rFonts w:ascii="Calibri" w:hAnsi="Calibri"/>
                <w:b w:val="0"/>
                <w:color w:val="333333"/>
                <w:sz w:val="18"/>
              </w:rPr>
              <w:t>NGO</w:t>
            </w:r>
          </w:p>
        </w:tc>
        <w:tc>
          <w:tcPr>
            <w:tcW w:type="dxa" w:w="3135"/>
          </w:tcPr>
          <w:p>
            <w:pPr>
              <w:spacing w:before="40" w:after="40"/>
            </w:pPr>
            <w:r/>
            <w:r>
              <w:rPr>
                <w:rFonts w:ascii="Calibri" w:hAnsi="Calibri"/>
                <w:b w:val="0"/>
                <w:color w:val="333333"/>
                <w:sz w:val="18"/>
              </w:rPr>
              <w:t>As files upload, scores against the donor’s specific requirements with classified findings and one-click clarification notes</w:t>
            </w:r>
          </w:p>
        </w:tc>
      </w:tr>
      <w:tr>
        <w:tc>
          <w:tcPr>
            <w:tcW w:type="dxa" w:w="3135"/>
            <w:shd w:fill="F0F7FF" w:val="clear"/>
          </w:tcPr>
          <w:p>
            <w:pPr>
              <w:spacing w:before="40" w:after="40"/>
            </w:pPr>
            <w:r/>
            <w:r>
              <w:rPr>
                <w:rFonts w:ascii="Calibri" w:hAnsi="Calibri"/>
                <w:b w:val="0"/>
                <w:color w:val="333333"/>
                <w:sz w:val="18"/>
              </w:rPr>
              <w:t>Submission readiness</w:t>
            </w:r>
          </w:p>
        </w:tc>
        <w:tc>
          <w:tcPr>
            <w:tcW w:type="dxa" w:w="3135"/>
            <w:shd w:fill="F0F7FF" w:val="clear"/>
          </w:tcPr>
          <w:p>
            <w:pPr>
              <w:spacing w:before="40" w:after="40"/>
            </w:pPr>
            <w:r/>
            <w:r>
              <w:rPr>
                <w:rFonts w:ascii="Calibri" w:hAnsi="Calibri"/>
                <w:b w:val="0"/>
                <w:color w:val="333333"/>
                <w:sz w:val="18"/>
              </w:rPr>
              <w:t>NGO</w:t>
            </w:r>
          </w:p>
        </w:tc>
        <w:tc>
          <w:tcPr>
            <w:tcW w:type="dxa" w:w="3135"/>
            <w:shd w:fill="F0F7FF" w:val="clear"/>
          </w:tcPr>
          <w:p>
            <w:pPr>
              <w:spacing w:before="40" w:after="40"/>
            </w:pPr>
            <w:r/>
            <w:r>
              <w:rPr>
                <w:rFonts w:ascii="Calibri" w:hAnsi="Calibri"/>
                <w:b w:val="0"/>
                <w:color w:val="333333"/>
                <w:sz w:val="18"/>
              </w:rPr>
              <w:t>Pre-submission gap analysis: missing evidence, overclaims, generic answers, weak passages with one-click rewrites</w:t>
            </w:r>
          </w:p>
        </w:tc>
      </w:tr>
      <w:tr>
        <w:tc>
          <w:tcPr>
            <w:tcW w:type="dxa" w:w="3135"/>
          </w:tcPr>
          <w:p>
            <w:pPr>
              <w:spacing w:before="40" w:after="40"/>
            </w:pPr>
            <w:r/>
            <w:r>
              <w:rPr>
                <w:rFonts w:ascii="Calibri" w:hAnsi="Calibri"/>
                <w:b w:val="0"/>
                <w:color w:val="333333"/>
                <w:sz w:val="18"/>
              </w:rPr>
              <w:t>Compliance pre-empt</w:t>
            </w:r>
          </w:p>
        </w:tc>
        <w:tc>
          <w:tcPr>
            <w:tcW w:type="dxa" w:w="3135"/>
          </w:tcPr>
          <w:p>
            <w:pPr>
              <w:spacing w:before="40" w:after="40"/>
            </w:pPr>
            <w:r/>
            <w:r>
              <w:rPr>
                <w:rFonts w:ascii="Calibri" w:hAnsi="Calibri"/>
                <w:b w:val="0"/>
                <w:color w:val="333333"/>
                <w:sz w:val="18"/>
              </w:rPr>
              <w:t>NGO</w:t>
            </w:r>
          </w:p>
        </w:tc>
        <w:tc>
          <w:tcPr>
            <w:tcW w:type="dxa" w:w="3135"/>
          </w:tcPr>
          <w:p>
            <w:pPr>
              <w:spacing w:before="40" w:after="40"/>
            </w:pPr>
            <w:r/>
            <w:r>
              <w:rPr>
                <w:rFonts w:ascii="Calibri" w:hAnsi="Calibri"/>
                <w:b w:val="0"/>
                <w:color w:val="333333"/>
                <w:sz w:val="18"/>
              </w:rPr>
              <w:t>Scans application for compliance risks before submit; proposes specific fixes</w:t>
            </w:r>
          </w:p>
        </w:tc>
      </w:tr>
      <w:tr>
        <w:tc>
          <w:tcPr>
            <w:tcW w:type="dxa" w:w="3135"/>
            <w:shd w:fill="F0F7FF" w:val="clear"/>
          </w:tcPr>
          <w:p>
            <w:pPr>
              <w:spacing w:before="40" w:after="40"/>
            </w:pPr>
            <w:r/>
            <w:r>
              <w:rPr>
                <w:rFonts w:ascii="Calibri" w:hAnsi="Calibri"/>
                <w:b w:val="0"/>
                <w:color w:val="333333"/>
                <w:sz w:val="18"/>
              </w:rPr>
              <w:t>Grant brief from prompt</w:t>
            </w:r>
          </w:p>
        </w:tc>
        <w:tc>
          <w:tcPr>
            <w:tcW w:type="dxa" w:w="3135"/>
            <w:shd w:fill="F0F7FF" w:val="clear"/>
          </w:tcPr>
          <w:p>
            <w:pPr>
              <w:spacing w:before="40" w:after="40"/>
            </w:pPr>
            <w:r/>
            <w:r>
              <w:rPr>
                <w:rFonts w:ascii="Calibri" w:hAnsi="Calibri"/>
                <w:b w:val="0"/>
                <w:color w:val="333333"/>
                <w:sz w:val="18"/>
              </w:rPr>
              <w:t>Donor</w:t>
            </w:r>
          </w:p>
        </w:tc>
        <w:tc>
          <w:tcPr>
            <w:tcW w:type="dxa" w:w="3135"/>
            <w:shd w:fill="F0F7FF" w:val="clear"/>
          </w:tcPr>
          <w:p>
            <w:pPr>
              <w:spacing w:before="40" w:after="40"/>
            </w:pPr>
            <w:r/>
            <w:r>
              <w:rPr>
                <w:rFonts w:ascii="Calibri" w:hAnsi="Calibri"/>
                <w:b w:val="0"/>
                <w:color w:val="333333"/>
                <w:sz w:val="18"/>
              </w:rPr>
              <w:t>Drafts a complete grant scaffold from a 2-line donor prompt</w:t>
            </w:r>
          </w:p>
        </w:tc>
      </w:tr>
      <w:tr>
        <w:tc>
          <w:tcPr>
            <w:tcW w:type="dxa" w:w="3135"/>
          </w:tcPr>
          <w:p>
            <w:pPr>
              <w:spacing w:before="40" w:after="40"/>
            </w:pPr>
            <w:r/>
            <w:r>
              <w:rPr>
                <w:rFonts w:ascii="Calibri" w:hAnsi="Calibri"/>
                <w:b w:val="0"/>
                <w:color w:val="333333"/>
                <w:sz w:val="18"/>
              </w:rPr>
              <w:t>Grant import from file</w:t>
            </w:r>
          </w:p>
        </w:tc>
        <w:tc>
          <w:tcPr>
            <w:tcW w:type="dxa" w:w="3135"/>
          </w:tcPr>
          <w:p>
            <w:pPr>
              <w:spacing w:before="40" w:after="40"/>
            </w:pPr>
            <w:r/>
            <w:r>
              <w:rPr>
                <w:rFonts w:ascii="Calibri" w:hAnsi="Calibri"/>
                <w:b w:val="0"/>
                <w:color w:val="333333"/>
                <w:sz w:val="18"/>
              </w:rPr>
              <w:t>Donor</w:t>
            </w:r>
          </w:p>
        </w:tc>
        <w:tc>
          <w:tcPr>
            <w:tcW w:type="dxa" w:w="3135"/>
          </w:tcPr>
          <w:p>
            <w:pPr>
              <w:spacing w:before="40" w:after="40"/>
            </w:pPr>
            <w:r/>
            <w:r>
              <w:rPr>
                <w:rFonts w:ascii="Calibri" w:hAnsi="Calibri"/>
                <w:b w:val="0"/>
                <w:color w:val="333333"/>
                <w:sz w:val="18"/>
              </w:rPr>
              <w:t>Extracts an existing grant brief (PDF, DOCX, TXT) into the wizard</w:t>
            </w:r>
          </w:p>
        </w:tc>
      </w:tr>
      <w:tr>
        <w:tc>
          <w:tcPr>
            <w:tcW w:type="dxa" w:w="3135"/>
            <w:shd w:fill="F0F7FF" w:val="clear"/>
          </w:tcPr>
          <w:p>
            <w:pPr>
              <w:spacing w:before="40" w:after="40"/>
            </w:pPr>
            <w:r/>
            <w:r>
              <w:rPr>
                <w:rFonts w:ascii="Calibri" w:hAnsi="Calibri"/>
                <w:b w:val="0"/>
                <w:color w:val="333333"/>
                <w:sz w:val="18"/>
              </w:rPr>
              <w:t>Median-NGO preview</w:t>
            </w:r>
          </w:p>
        </w:tc>
        <w:tc>
          <w:tcPr>
            <w:tcW w:type="dxa" w:w="3135"/>
            <w:shd w:fill="F0F7FF" w:val="clear"/>
          </w:tcPr>
          <w:p>
            <w:pPr>
              <w:spacing w:before="40" w:after="40"/>
            </w:pPr>
            <w:r/>
            <w:r>
              <w:rPr>
                <w:rFonts w:ascii="Calibri" w:hAnsi="Calibri"/>
                <w:b w:val="0"/>
                <w:color w:val="333333"/>
                <w:sz w:val="18"/>
              </w:rPr>
              <w:t>Donor</w:t>
            </w:r>
          </w:p>
        </w:tc>
        <w:tc>
          <w:tcPr>
            <w:tcW w:type="dxa" w:w="3135"/>
            <w:shd w:fill="F0F7FF" w:val="clear"/>
          </w:tcPr>
          <w:p>
            <w:pPr>
              <w:spacing w:before="40" w:after="40"/>
            </w:pPr>
            <w:r/>
            <w:r>
              <w:rPr>
                <w:rFonts w:ascii="Calibri" w:hAnsi="Calibri"/>
                <w:b w:val="0"/>
                <w:color w:val="333333"/>
                <w:sz w:val="18"/>
              </w:rPr>
              <w:t>Predicts how the median qualifying NGO will respond; rates discriminative power per criterion</w:t>
            </w:r>
          </w:p>
        </w:tc>
      </w:tr>
      <w:tr>
        <w:tc>
          <w:tcPr>
            <w:tcW w:type="dxa" w:w="3135"/>
          </w:tcPr>
          <w:p>
            <w:pPr>
              <w:spacing w:before="40" w:after="40"/>
            </w:pPr>
            <w:r/>
            <w:r>
              <w:rPr>
                <w:rFonts w:ascii="Calibri" w:hAnsi="Calibri"/>
                <w:b w:val="0"/>
                <w:color w:val="333333"/>
                <w:sz w:val="18"/>
              </w:rPr>
              <w:t>Burden critique</w:t>
            </w:r>
          </w:p>
        </w:tc>
        <w:tc>
          <w:tcPr>
            <w:tcW w:type="dxa" w:w="3135"/>
          </w:tcPr>
          <w:p>
            <w:pPr>
              <w:spacing w:before="40" w:after="40"/>
            </w:pPr>
            <w:r/>
            <w:r>
              <w:rPr>
                <w:rFonts w:ascii="Calibri" w:hAnsi="Calibri"/>
                <w:b w:val="0"/>
                <w:color w:val="333333"/>
                <w:sz w:val="18"/>
              </w:rPr>
              <w:t>Donor</w:t>
            </w:r>
          </w:p>
        </w:tc>
        <w:tc>
          <w:tcPr>
            <w:tcW w:type="dxa" w:w="3135"/>
          </w:tcPr>
          <w:p>
            <w:pPr>
              <w:spacing w:before="40" w:after="40"/>
            </w:pPr>
            <w:r/>
            <w:r>
              <w:rPr>
                <w:rFonts w:ascii="Calibri" w:hAnsi="Calibri"/>
                <w:b w:val="0"/>
                <w:color w:val="333333"/>
                <w:sz w:val="18"/>
              </w:rPr>
              <w:t>Spots vague or unfair criteria pre-publish; proposes alternatives</w:t>
            </w:r>
          </w:p>
        </w:tc>
      </w:tr>
      <w:tr>
        <w:tc>
          <w:tcPr>
            <w:tcW w:type="dxa" w:w="3135"/>
            <w:shd w:fill="F0F7FF" w:val="clear"/>
          </w:tcPr>
          <w:p>
            <w:pPr>
              <w:spacing w:before="40" w:after="40"/>
            </w:pPr>
            <w:r/>
            <w:r>
              <w:rPr>
                <w:rFonts w:ascii="Calibri" w:hAnsi="Calibri"/>
                <w:b w:val="0"/>
                <w:color w:val="333333"/>
                <w:sz w:val="18"/>
              </w:rPr>
              <w:t>Reviewer summary</w:t>
            </w:r>
          </w:p>
        </w:tc>
        <w:tc>
          <w:tcPr>
            <w:tcW w:type="dxa" w:w="3135"/>
            <w:shd w:fill="F0F7FF" w:val="clear"/>
          </w:tcPr>
          <w:p>
            <w:pPr>
              <w:spacing w:before="40" w:after="40"/>
            </w:pPr>
            <w:r/>
            <w:r>
              <w:rPr>
                <w:rFonts w:ascii="Calibri" w:hAnsi="Calibri"/>
                <w:b w:val="0"/>
                <w:color w:val="333333"/>
                <w:sz w:val="18"/>
              </w:rPr>
              <w:t>Reviewer</w:t>
            </w:r>
          </w:p>
        </w:tc>
        <w:tc>
          <w:tcPr>
            <w:tcW w:type="dxa" w:w="3135"/>
            <w:shd w:fill="F0F7FF" w:val="clear"/>
          </w:tcPr>
          <w:p>
            <w:pPr>
              <w:spacing w:before="40" w:after="40"/>
            </w:pPr>
            <w:r/>
            <w:r>
              <w:rPr>
                <w:rFonts w:ascii="Calibri" w:hAnsi="Calibri"/>
                <w:b w:val="0"/>
                <w:color w:val="333333"/>
                <w:sz w:val="18"/>
              </w:rPr>
              <w:t>One-screen synthesis: who/what/why-strong/why-weak, evidence per criterion, decision-changers, comparable signal, draft rationale</w:t>
            </w:r>
          </w:p>
        </w:tc>
      </w:tr>
      <w:tr>
        <w:tc>
          <w:tcPr>
            <w:tcW w:type="dxa" w:w="3135"/>
          </w:tcPr>
          <w:p>
            <w:pPr>
              <w:spacing w:before="40" w:after="40"/>
            </w:pPr>
            <w:r/>
            <w:r>
              <w:rPr>
                <w:rFonts w:ascii="Calibri" w:hAnsi="Calibri"/>
                <w:b w:val="0"/>
                <w:color w:val="333333"/>
                <w:sz w:val="18"/>
              </w:rPr>
              <w:t>Evidence extraction</w:t>
            </w:r>
          </w:p>
        </w:tc>
        <w:tc>
          <w:tcPr>
            <w:tcW w:type="dxa" w:w="3135"/>
          </w:tcPr>
          <w:p>
            <w:pPr>
              <w:spacing w:before="40" w:after="40"/>
            </w:pPr>
            <w:r/>
            <w:r>
              <w:rPr>
                <w:rFonts w:ascii="Calibri" w:hAnsi="Calibri"/>
                <w:b w:val="0"/>
                <w:color w:val="333333"/>
                <w:sz w:val="18"/>
              </w:rPr>
              <w:t>Reviewer</w:t>
            </w:r>
          </w:p>
        </w:tc>
        <w:tc>
          <w:tcPr>
            <w:tcW w:type="dxa" w:w="3135"/>
          </w:tcPr>
          <w:p>
            <w:pPr>
              <w:spacing w:before="40" w:after="40"/>
            </w:pPr>
            <w:r/>
            <w:r>
              <w:rPr>
                <w:rFonts w:ascii="Calibri" w:hAnsi="Calibri"/>
                <w:b w:val="0"/>
                <w:color w:val="333333"/>
                <w:sz w:val="18"/>
              </w:rPr>
              <w:t>Verbatim supporting, contradicting, and neutral quotes per rubric criterion</w:t>
            </w:r>
          </w:p>
        </w:tc>
      </w:tr>
      <w:tr>
        <w:tc>
          <w:tcPr>
            <w:tcW w:type="dxa" w:w="3135"/>
            <w:shd w:fill="F0F7FF" w:val="clear"/>
          </w:tcPr>
          <w:p>
            <w:pPr>
              <w:spacing w:before="40" w:after="40"/>
            </w:pPr>
            <w:r/>
            <w:r>
              <w:rPr>
                <w:rFonts w:ascii="Calibri" w:hAnsi="Calibri"/>
                <w:b w:val="0"/>
                <w:color w:val="333333"/>
                <w:sz w:val="18"/>
              </w:rPr>
              <w:t>Suggest-criteria</w:t>
            </w:r>
          </w:p>
        </w:tc>
        <w:tc>
          <w:tcPr>
            <w:tcW w:type="dxa" w:w="3135"/>
            <w:shd w:fill="F0F7FF" w:val="clear"/>
          </w:tcPr>
          <w:p>
            <w:pPr>
              <w:spacing w:before="40" w:after="40"/>
            </w:pPr>
            <w:r/>
            <w:r>
              <w:rPr>
                <w:rFonts w:ascii="Calibri" w:hAnsi="Calibri"/>
                <w:b w:val="0"/>
                <w:color w:val="333333"/>
                <w:sz w:val="18"/>
              </w:rPr>
              <w:t>Reviewer + Donor</w:t>
            </w:r>
          </w:p>
        </w:tc>
        <w:tc>
          <w:tcPr>
            <w:tcW w:type="dxa" w:w="3135"/>
            <w:shd w:fill="F0F7FF" w:val="clear"/>
          </w:tcPr>
          <w:p>
            <w:pPr>
              <w:spacing w:before="40" w:after="40"/>
            </w:pPr>
            <w:r/>
            <w:r>
              <w:rPr>
                <w:rFonts w:ascii="Calibri" w:hAnsi="Calibri"/>
                <w:b w:val="0"/>
                <w:color w:val="333333"/>
                <w:sz w:val="18"/>
              </w:rPr>
              <w:t>When a grant has no rubric, proposes a calibrated rubric with weights summing to 100</w:t>
            </w:r>
          </w:p>
        </w:tc>
      </w:tr>
      <w:tr>
        <w:tc>
          <w:tcPr>
            <w:tcW w:type="dxa" w:w="3135"/>
          </w:tcPr>
          <w:p>
            <w:pPr>
              <w:spacing w:before="40" w:after="40"/>
            </w:pPr>
            <w:r/>
            <w:r>
              <w:rPr>
                <w:rFonts w:ascii="Calibri" w:hAnsi="Calibri"/>
                <w:b w:val="0"/>
                <w:color w:val="333333"/>
                <w:sz w:val="18"/>
              </w:rPr>
              <w:t>Report co-author</w:t>
            </w:r>
          </w:p>
        </w:tc>
        <w:tc>
          <w:tcPr>
            <w:tcW w:type="dxa" w:w="3135"/>
          </w:tcPr>
          <w:p>
            <w:pPr>
              <w:spacing w:before="40" w:after="40"/>
            </w:pPr>
            <w:r/>
            <w:r>
              <w:rPr>
                <w:rFonts w:ascii="Calibri" w:hAnsi="Calibri"/>
                <w:b w:val="0"/>
                <w:color w:val="333333"/>
                <w:sz w:val="18"/>
              </w:rPr>
              <w:t>NGO</w:t>
            </w:r>
          </w:p>
        </w:tc>
        <w:tc>
          <w:tcPr>
            <w:tcW w:type="dxa" w:w="3135"/>
          </w:tcPr>
          <w:p>
            <w:pPr>
              <w:spacing w:before="40" w:after="40"/>
            </w:pPr>
            <w:r/>
            <w:r>
              <w:rPr>
                <w:rFonts w:ascii="Calibri" w:hAnsi="Calibri"/>
                <w:b w:val="0"/>
                <w:color w:val="333333"/>
                <w:sz w:val="18"/>
              </w:rPr>
              <w:t>Drafts narrative from prior reports + indicator data + uploaded evidence</w:t>
            </w:r>
          </w:p>
        </w:tc>
      </w:tr>
      <w:tr>
        <w:tc>
          <w:tcPr>
            <w:tcW w:type="dxa" w:w="3135"/>
            <w:shd w:fill="F0F7FF" w:val="clear"/>
          </w:tcPr>
          <w:p>
            <w:pPr>
              <w:spacing w:before="40" w:after="40"/>
            </w:pPr>
            <w:r/>
            <w:r>
              <w:rPr>
                <w:rFonts w:ascii="Calibri" w:hAnsi="Calibri"/>
                <w:b w:val="0"/>
                <w:color w:val="333333"/>
                <w:sz w:val="18"/>
              </w:rPr>
              <w:t>Donor pre-flight</w:t>
            </w:r>
          </w:p>
        </w:tc>
        <w:tc>
          <w:tcPr>
            <w:tcW w:type="dxa" w:w="3135"/>
            <w:shd w:fill="F0F7FF" w:val="clear"/>
          </w:tcPr>
          <w:p>
            <w:pPr>
              <w:spacing w:before="40" w:after="40"/>
            </w:pPr>
            <w:r/>
            <w:r>
              <w:rPr>
                <w:rFonts w:ascii="Calibri" w:hAnsi="Calibri"/>
                <w:b w:val="0"/>
                <w:color w:val="333333"/>
                <w:sz w:val="18"/>
              </w:rPr>
              <w:t>NGO</w:t>
            </w:r>
          </w:p>
        </w:tc>
        <w:tc>
          <w:tcPr>
            <w:tcW w:type="dxa" w:w="3135"/>
            <w:shd w:fill="F0F7FF" w:val="clear"/>
          </w:tcPr>
          <w:p>
            <w:pPr>
              <w:spacing w:before="40" w:after="40"/>
            </w:pPr>
            <w:r/>
            <w:r>
              <w:rPr>
                <w:rFonts w:ascii="Calibri" w:hAnsi="Calibri"/>
                <w:b w:val="0"/>
                <w:color w:val="333333"/>
                <w:sz w:val="18"/>
              </w:rPr>
              <w:t>Predicts donor concerns about a report and offers specific fixes per concern</w:t>
            </w:r>
          </w:p>
        </w:tc>
      </w:tr>
      <w:tr>
        <w:tc>
          <w:tcPr>
            <w:tcW w:type="dxa" w:w="3135"/>
          </w:tcPr>
          <w:p>
            <w:pPr>
              <w:spacing w:before="40" w:after="40"/>
            </w:pPr>
            <w:r/>
            <w:r>
              <w:rPr>
                <w:rFonts w:ascii="Calibri" w:hAnsi="Calibri"/>
                <w:b w:val="0"/>
                <w:color w:val="333333"/>
                <w:sz w:val="18"/>
              </w:rPr>
              <w:t>Compliance to-do list</w:t>
            </w:r>
          </w:p>
        </w:tc>
        <w:tc>
          <w:tcPr>
            <w:tcW w:type="dxa" w:w="3135"/>
          </w:tcPr>
          <w:p>
            <w:pPr>
              <w:spacing w:before="40" w:after="40"/>
            </w:pPr>
            <w:r/>
            <w:r>
              <w:rPr>
                <w:rFonts w:ascii="Calibri" w:hAnsi="Calibri"/>
                <w:b w:val="0"/>
                <w:color w:val="333333"/>
                <w:sz w:val="18"/>
              </w:rPr>
              <w:t>NGO</w:t>
            </w:r>
          </w:p>
        </w:tc>
        <w:tc>
          <w:tcPr>
            <w:tcW w:type="dxa" w:w="3135"/>
          </w:tcPr>
          <w:p>
            <w:pPr>
              <w:spacing w:before="40" w:after="40"/>
            </w:pPr>
            <w:r/>
            <w:r>
              <w:rPr>
                <w:rFonts w:ascii="Calibri" w:hAnsi="Calibri"/>
                <w:b w:val="0"/>
                <w:color w:val="333333"/>
                <w:sz w:val="18"/>
              </w:rPr>
              <w:t>Extracts donor obligations into a calendar; sends proactive reminders ahead of deadlines</w:t>
            </w:r>
          </w:p>
        </w:tc>
      </w:tr>
      <w:tr>
        <w:tc>
          <w:tcPr>
            <w:tcW w:type="dxa" w:w="3135"/>
            <w:shd w:fill="F0F7FF" w:val="clear"/>
          </w:tcPr>
          <w:p>
            <w:pPr>
              <w:spacing w:before="40" w:after="40"/>
            </w:pPr>
            <w:r/>
            <w:r>
              <w:rPr>
                <w:rFonts w:ascii="Calibri" w:hAnsi="Calibri"/>
                <w:b w:val="0"/>
                <w:color w:val="333333"/>
                <w:sz w:val="18"/>
              </w:rPr>
              <w:t>Compliance health narrative</w:t>
            </w:r>
          </w:p>
        </w:tc>
        <w:tc>
          <w:tcPr>
            <w:tcW w:type="dxa" w:w="3135"/>
            <w:shd w:fill="F0F7FF" w:val="clear"/>
          </w:tcPr>
          <w:p>
            <w:pPr>
              <w:spacing w:before="40" w:after="40"/>
            </w:pPr>
            <w:r/>
            <w:r>
              <w:rPr>
                <w:rFonts w:ascii="Calibri" w:hAnsi="Calibri"/>
                <w:b w:val="0"/>
                <w:color w:val="333333"/>
                <w:sz w:val="18"/>
              </w:rPr>
              <w:t>Donor</w:t>
            </w:r>
          </w:p>
        </w:tc>
        <w:tc>
          <w:tcPr>
            <w:tcW w:type="dxa" w:w="3135"/>
            <w:shd w:fill="F0F7FF" w:val="clear"/>
          </w:tcPr>
          <w:p>
            <w:pPr>
              <w:spacing w:before="40" w:after="40"/>
            </w:pPr>
            <w:r/>
            <w:r>
              <w:rPr>
                <w:rFonts w:ascii="Calibri" w:hAnsi="Calibri"/>
                <w:b w:val="0"/>
                <w:color w:val="333333"/>
                <w:sz w:val="18"/>
              </w:rPr>
              <w:t>Plain-language explanation of the 4-pillar score: why on-track or at-risk</w:t>
            </w:r>
          </w:p>
        </w:tc>
      </w:tr>
      <w:tr>
        <w:tc>
          <w:tcPr>
            <w:tcW w:type="dxa" w:w="3135"/>
          </w:tcPr>
          <w:p>
            <w:pPr>
              <w:spacing w:before="40" w:after="40"/>
            </w:pPr>
            <w:r/>
            <w:r>
              <w:rPr>
                <w:rFonts w:ascii="Calibri" w:hAnsi="Calibri"/>
                <w:b w:val="0"/>
                <w:color w:val="333333"/>
                <w:sz w:val="18"/>
              </w:rPr>
              <w:t>Portfolio insights</w:t>
            </w:r>
          </w:p>
        </w:tc>
        <w:tc>
          <w:tcPr>
            <w:tcW w:type="dxa" w:w="3135"/>
          </w:tcPr>
          <w:p>
            <w:pPr>
              <w:spacing w:before="40" w:after="40"/>
            </w:pPr>
            <w:r/>
            <w:r>
              <w:rPr>
                <w:rFonts w:ascii="Calibri" w:hAnsi="Calibri"/>
                <w:b w:val="0"/>
                <w:color w:val="333333"/>
                <w:sz w:val="18"/>
              </w:rPr>
              <w:t>Donor</w:t>
            </w:r>
          </w:p>
        </w:tc>
        <w:tc>
          <w:tcPr>
            <w:tcW w:type="dxa" w:w="3135"/>
          </w:tcPr>
          <w:p>
            <w:pPr>
              <w:spacing w:before="40" w:after="40"/>
            </w:pPr>
            <w:r/>
            <w:r>
              <w:rPr>
                <w:rFonts w:ascii="Calibri" w:hAnsi="Calibri"/>
                <w:b w:val="0"/>
                <w:color w:val="333333"/>
                <w:sz w:val="18"/>
              </w:rPr>
              <w:t>Headline, anomalies, and next decisions tied to specific applications and grants</w:t>
            </w:r>
          </w:p>
        </w:tc>
      </w:tr>
      <w:tr>
        <w:tc>
          <w:tcPr>
            <w:tcW w:type="dxa" w:w="3135"/>
            <w:shd w:fill="F0F7FF" w:val="clear"/>
          </w:tcPr>
          <w:p>
            <w:pPr>
              <w:spacing w:before="40" w:after="40"/>
            </w:pPr>
            <w:r/>
            <w:r>
              <w:rPr>
                <w:rFonts w:ascii="Calibri" w:hAnsi="Calibri"/>
                <w:b w:val="0"/>
                <w:color w:val="333333"/>
                <w:sz w:val="18"/>
              </w:rPr>
              <w:t>Cross-grant patterns</w:t>
            </w:r>
          </w:p>
        </w:tc>
        <w:tc>
          <w:tcPr>
            <w:tcW w:type="dxa" w:w="3135"/>
            <w:shd w:fill="F0F7FF" w:val="clear"/>
          </w:tcPr>
          <w:p>
            <w:pPr>
              <w:spacing w:before="40" w:after="40"/>
            </w:pPr>
            <w:r/>
            <w:r>
              <w:rPr>
                <w:rFonts w:ascii="Calibri" w:hAnsi="Calibri"/>
                <w:b w:val="0"/>
                <w:color w:val="333333"/>
                <w:sz w:val="18"/>
              </w:rPr>
              <w:t>Donor</w:t>
            </w:r>
          </w:p>
        </w:tc>
        <w:tc>
          <w:tcPr>
            <w:tcW w:type="dxa" w:w="3135"/>
            <w:shd w:fill="F0F7FF" w:val="clear"/>
          </w:tcPr>
          <w:p>
            <w:pPr>
              <w:spacing w:before="40" w:after="40"/>
            </w:pPr>
            <w:r/>
            <w:r>
              <w:rPr>
                <w:rFonts w:ascii="Calibri" w:hAnsi="Calibri"/>
                <w:b w:val="0"/>
                <w:color w:val="333333"/>
                <w:sz w:val="18"/>
              </w:rPr>
              <w:t>Patterns across declined applications: common shortfalls, systematic misalignment</w:t>
            </w:r>
          </w:p>
        </w:tc>
      </w:tr>
      <w:tr>
        <w:tc>
          <w:tcPr>
            <w:tcW w:type="dxa" w:w="3135"/>
          </w:tcPr>
          <w:p>
            <w:pPr>
              <w:spacing w:before="40" w:after="40"/>
            </w:pPr>
            <w:r/>
            <w:r>
              <w:rPr>
                <w:rFonts w:ascii="Calibri" w:hAnsi="Calibri"/>
                <w:b w:val="0"/>
                <w:color w:val="333333"/>
                <w:sz w:val="18"/>
              </w:rPr>
              <w:t>Compliance explanation</w:t>
            </w:r>
          </w:p>
        </w:tc>
        <w:tc>
          <w:tcPr>
            <w:tcW w:type="dxa" w:w="3135"/>
          </w:tcPr>
          <w:p>
            <w:pPr>
              <w:spacing w:before="40" w:after="40"/>
            </w:pPr>
            <w:r/>
            <w:r>
              <w:rPr>
                <w:rFonts w:ascii="Calibri" w:hAnsi="Calibri"/>
                <w:b w:val="0"/>
                <w:color w:val="333333"/>
                <w:sz w:val="18"/>
              </w:rPr>
              <w:t>Donor + Admin</w:t>
            </w:r>
          </w:p>
        </w:tc>
        <w:tc>
          <w:tcPr>
            <w:tcW w:type="dxa" w:w="3135"/>
          </w:tcPr>
          <w:p>
            <w:pPr>
              <w:spacing w:before="40" w:after="40"/>
            </w:pPr>
            <w:r/>
            <w:r>
              <w:rPr>
                <w:rFonts w:ascii="Calibri" w:hAnsi="Calibri"/>
                <w:b w:val="0"/>
                <w:color w:val="333333"/>
                <w:sz w:val="18"/>
              </w:rPr>
              <w:t>Translates sanctions, registry, and risk findings into plain language with suggested next steps</w:t>
            </w:r>
          </w:p>
        </w:tc>
      </w:tr>
      <w:tr>
        <w:tc>
          <w:tcPr>
            <w:tcW w:type="dxa" w:w="3135"/>
            <w:shd w:fill="F0F7FF" w:val="clear"/>
          </w:tcPr>
          <w:p>
            <w:pPr>
              <w:spacing w:before="40" w:after="40"/>
            </w:pPr>
            <w:r/>
            <w:r>
              <w:rPr>
                <w:rFonts w:ascii="Calibri" w:hAnsi="Calibri"/>
                <w:b w:val="0"/>
                <w:color w:val="333333"/>
                <w:sz w:val="18"/>
              </w:rPr>
              <w:t>Adverse media triage</w:t>
            </w:r>
          </w:p>
        </w:tc>
        <w:tc>
          <w:tcPr>
            <w:tcW w:type="dxa" w:w="3135"/>
            <w:shd w:fill="F0F7FF" w:val="clear"/>
          </w:tcPr>
          <w:p>
            <w:pPr>
              <w:spacing w:before="40" w:after="40"/>
            </w:pPr>
            <w:r/>
            <w:r>
              <w:rPr>
                <w:rFonts w:ascii="Calibri" w:hAnsi="Calibri"/>
                <w:b w:val="0"/>
                <w:color w:val="333333"/>
                <w:sz w:val="18"/>
              </w:rPr>
              <w:t>Donor + Admin</w:t>
            </w:r>
          </w:p>
        </w:tc>
        <w:tc>
          <w:tcPr>
            <w:tcW w:type="dxa" w:w="3135"/>
            <w:shd w:fill="F0F7FF" w:val="clear"/>
          </w:tcPr>
          <w:p>
            <w:pPr>
              <w:spacing w:before="40" w:after="40"/>
            </w:pPr>
            <w:r/>
            <w:r>
              <w:rPr>
                <w:rFonts w:ascii="Calibri" w:hAnsi="Calibri"/>
                <w:b w:val="0"/>
                <w:color w:val="333333"/>
                <w:sz w:val="18"/>
              </w:rPr>
              <w:t>Daily news scan with AI classification of relevance and severity; auto-raises risk register entries</w:t>
            </w:r>
          </w:p>
        </w:tc>
      </w:tr>
      <w:tr>
        <w:tc>
          <w:tcPr>
            <w:tcW w:type="dxa" w:w="3135"/>
          </w:tcPr>
          <w:p>
            <w:pPr>
              <w:spacing w:before="40" w:after="40"/>
            </w:pPr>
            <w:r/>
            <w:r>
              <w:rPr>
                <w:rFonts w:ascii="Calibri" w:hAnsi="Calibri"/>
                <w:b w:val="0"/>
                <w:color w:val="333333"/>
                <w:sz w:val="18"/>
              </w:rPr>
              <w:t>Ask Kuja</w:t>
            </w:r>
          </w:p>
        </w:tc>
        <w:tc>
          <w:tcPr>
            <w:tcW w:type="dxa" w:w="3135"/>
          </w:tcPr>
          <w:p>
            <w:pPr>
              <w:spacing w:before="40" w:after="40"/>
            </w:pPr>
            <w:r/>
            <w:r>
              <w:rPr>
                <w:rFonts w:ascii="Calibri" w:hAnsi="Calibri"/>
                <w:b w:val="0"/>
                <w:color w:val="333333"/>
                <w:sz w:val="18"/>
              </w:rPr>
              <w:t>All</w:t>
            </w:r>
          </w:p>
        </w:tc>
        <w:tc>
          <w:tcPr>
            <w:tcW w:type="dxa" w:w="3135"/>
          </w:tcPr>
          <w:p>
            <w:pPr>
              <w:spacing w:before="40" w:after="40"/>
            </w:pPr>
            <w:r/>
            <w:r>
              <w:rPr>
                <w:rFonts w:ascii="Calibri" w:hAnsi="Calibri"/>
                <w:b w:val="0"/>
                <w:color w:val="333333"/>
                <w:sz w:val="18"/>
              </w:rPr>
              <w:t>Conversational agent that queries read-only data tools, role-checked and org-scoped</w:t>
            </w:r>
          </w:p>
        </w:tc>
      </w:tr>
    </w:tbl>
    <w:p/>
    <w:p>
      <w:pPr>
        <w:pStyle w:val="Heading2"/>
        <w:spacing w:before="280" w:after="120"/>
      </w:pPr>
      <w:r>
        <w:rPr>
          <w:rFonts w:ascii="Calibri" w:hAnsi="Calibri"/>
          <w:color w:val="0D9488"/>
        </w:rPr>
        <w:t>Architecture Stack</w:t>
      </w:r>
    </w:p>
    <w:p>
      <w:pPr>
        <w:pStyle w:val="ListBullet"/>
        <w:spacing w:after="60" w:line="300" w:lineRule="exact"/>
      </w:pPr>
      <w:r>
        <w:rPr>
          <w:rFonts w:ascii="Calibri" w:hAnsi="Calibri"/>
          <w:color w:val="333333"/>
          <w:sz w:val="21"/>
        </w:rPr>
        <w:t>Backend: Python 3.x / Flask</w:t>
      </w:r>
    </w:p>
    <w:p>
      <w:pPr>
        <w:pStyle w:val="ListBullet"/>
        <w:spacing w:after="60" w:line="300" w:lineRule="exact"/>
      </w:pPr>
      <w:r>
        <w:rPr>
          <w:rFonts w:ascii="Calibri" w:hAnsi="Calibri"/>
          <w:color w:val="333333"/>
          <w:sz w:val="21"/>
        </w:rPr>
        <w:t>Frontend: Next.js (static export), shadcn/ui, Tailwind — Progressive Web App</w:t>
      </w:r>
    </w:p>
    <w:p>
      <w:pPr>
        <w:pStyle w:val="ListBullet"/>
        <w:spacing w:after="60" w:line="300" w:lineRule="exact"/>
      </w:pPr>
      <w:r>
        <w:rPr>
          <w:rFonts w:ascii="Calibri" w:hAnsi="Calibri"/>
          <w:color w:val="333333"/>
          <w:sz w:val="21"/>
        </w:rPr>
        <w:t>Database: SQLite (development) / PostgreSQL (production)</w:t>
      </w:r>
    </w:p>
    <w:p>
      <w:pPr>
        <w:pStyle w:val="ListBullet"/>
        <w:spacing w:after="60" w:line="300" w:lineRule="exact"/>
      </w:pPr>
      <w:r>
        <w:rPr>
          <w:rFonts w:ascii="Calibri" w:hAnsi="Calibri"/>
          <w:color w:val="333333"/>
          <w:sz w:val="21"/>
        </w:rPr>
        <w:t>AI inference: large-language-model integration (vendor-agnostic; the platform’s AI adapter abstracts the underlying provider so the model can be swapped as the market evolves)</w:t>
      </w:r>
    </w:p>
    <w:p>
      <w:pPr>
        <w:pStyle w:val="ListBullet"/>
        <w:spacing w:after="60" w:line="300" w:lineRule="exact"/>
      </w:pPr>
      <w:r>
        <w:rPr>
          <w:rFonts w:ascii="Calibri" w:hAnsi="Calibri"/>
          <w:color w:val="333333"/>
          <w:sz w:val="21"/>
        </w:rPr>
        <w:t>Async AI dispatcher: heavy AI calls run in the background pool with poll-to-completion semantics</w:t>
      </w:r>
    </w:p>
    <w:p>
      <w:pPr>
        <w:pStyle w:val="ListBullet"/>
        <w:spacing w:after="60" w:line="300" w:lineRule="exact"/>
      </w:pPr>
      <w:r>
        <w:rPr>
          <w:rFonts w:ascii="Calibri" w:hAnsi="Calibri"/>
          <w:color w:val="333333"/>
          <w:sz w:val="21"/>
        </w:rPr>
        <w:t>Per-user concurrent-AI cap prevents any single client from saturating workers</w:t>
      </w:r>
    </w:p>
    <w:p>
      <w:pPr>
        <w:pStyle w:val="ListBullet"/>
        <w:spacing w:after="60" w:line="300" w:lineRule="exact"/>
      </w:pPr>
      <w:r>
        <w:rPr>
          <w:rFonts w:ascii="Calibri" w:hAnsi="Calibri"/>
          <w:color w:val="333333"/>
          <w:sz w:val="21"/>
        </w:rPr>
        <w:t>Sanctions: OpenSanctions API + direct UN/OFAC/EU file parsing fallback</w:t>
      </w:r>
    </w:p>
    <w:p>
      <w:pPr>
        <w:pStyle w:val="ListBullet"/>
        <w:spacing w:after="60" w:line="300" w:lineRule="exact"/>
      </w:pPr>
      <w:r>
        <w:rPr>
          <w:rFonts w:ascii="Calibri" w:hAnsi="Calibri"/>
          <w:color w:val="333333"/>
          <w:sz w:val="21"/>
        </w:rPr>
        <w:t>Registry: HTTP-based government registry verification (7 countries live; designed to expand to all Global South jurisdictions with public portals)</w:t>
      </w:r>
    </w:p>
    <w:p>
      <w:pPr>
        <w:pStyle w:val="ListBullet"/>
        <w:spacing w:after="60" w:line="300" w:lineRule="exact"/>
      </w:pPr>
      <w:r>
        <w:rPr>
          <w:rFonts w:ascii="Calibri" w:hAnsi="Calibri"/>
          <w:color w:val="333333"/>
          <w:sz w:val="21"/>
        </w:rPr>
        <w:t>Web push: VAPID-based push notifications to subscribed mobile devices</w:t>
      </w:r>
    </w:p>
    <w:p>
      <w:pPr>
        <w:pStyle w:val="ListBullet"/>
        <w:spacing w:after="60" w:line="300" w:lineRule="exact"/>
      </w:pPr>
      <w:r>
        <w:rPr>
          <w:rFonts w:ascii="Calibri" w:hAnsi="Calibri"/>
          <w:color w:val="333333"/>
          <w:sz w:val="21"/>
        </w:rPr>
        <w:t>Deployment: Railway (PaaS); horizontally scalable</w:t>
      </w:r>
    </w:p>
    <w:p>
      <w:pPr>
        <w:pStyle w:val="ListBullet"/>
        <w:spacing w:after="60" w:line="300" w:lineRule="exact"/>
      </w:pPr>
      <w:r>
        <w:rPr>
          <w:rFonts w:ascii="Calibri" w:hAnsi="Calibri"/>
          <w:color w:val="333333"/>
          <w:sz w:val="21"/>
        </w:rPr>
        <w:t>Languages: English, Arabic, French, Swahili, Somali, Spanish at parity</w:t>
      </w:r>
    </w:p>
    <w:p>
      <w:pPr>
        <w:pStyle w:val="Heading2"/>
        <w:spacing w:before="280" w:after="120"/>
      </w:pPr>
      <w:r>
        <w:rPr>
          <w:rFonts w:ascii="Calibri" w:hAnsi="Calibri"/>
          <w:color w:val="0D9488"/>
        </w:rPr>
        <w:t>AI Observability &amp; Operations</w:t>
      </w:r>
    </w:p>
    <w:p>
      <w:pPr>
        <w:pStyle w:val="ListBullet"/>
        <w:spacing w:after="60" w:line="300" w:lineRule="exact"/>
      </w:pPr>
      <w:r>
        <w:rPr>
          <w:rFonts w:ascii="Calibri" w:hAnsi="Calibri"/>
          <w:color w:val="333333"/>
          <w:sz w:val="21"/>
        </w:rPr>
        <w:t>AI surface health probe runs daily against synthetic fixtures, exercising every flagship AI surface and raising an administrator notification on any drift</w:t>
      </w:r>
    </w:p>
    <w:p>
      <w:pPr>
        <w:pStyle w:val="ListBullet"/>
        <w:spacing w:after="60" w:line="300" w:lineRule="exact"/>
      </w:pPr>
      <w:r>
        <w:rPr>
          <w:rFonts w:ascii="Calibri" w:hAnsi="Calibri"/>
          <w:color w:val="333333"/>
          <w:sz w:val="21"/>
        </w:rPr>
        <w:t>AI cost telemetry per endpoint with daily 30-day projection compared to a configurable budget threshold</w:t>
      </w:r>
    </w:p>
    <w:p>
      <w:pPr>
        <w:pStyle w:val="ListBullet"/>
        <w:spacing w:after="60" w:line="300" w:lineRule="exact"/>
      </w:pPr>
      <w:r>
        <w:rPr>
          <w:rFonts w:ascii="Calibri" w:hAnsi="Calibri"/>
          <w:color w:val="333333"/>
          <w:sz w:val="21"/>
        </w:rPr>
        <w:t>Demo-readiness scanner identifies sparse-data risks across the prod dataset (grants without criteria, applications without docs, reports missing timestamps) so admins curate before showing the product</w:t>
      </w:r>
    </w:p>
    <w:p>
      <w:pPr>
        <w:pStyle w:val="ListBullet"/>
        <w:spacing w:after="60" w:line="300" w:lineRule="exact"/>
      </w:pPr>
      <w:r>
        <w:rPr>
          <w:rFonts w:ascii="Calibri" w:hAnsi="Calibri"/>
          <w:color w:val="333333"/>
          <w:sz w:val="21"/>
        </w:rPr>
        <w:t>Every AI call logged with model, tokens, latency, success, user, language, and role</w:t>
      </w:r>
    </w:p>
    <w:p>
      <w:pPr>
        <w:pStyle w:val="Heading2"/>
        <w:spacing w:before="280" w:after="120"/>
      </w:pPr>
      <w:r>
        <w:rPr>
          <w:rFonts w:ascii="Calibri" w:hAnsi="Calibri"/>
          <w:color w:val="0D9488"/>
        </w:rPr>
        <w:t>Security &amp; Compliance</w:t>
      </w:r>
    </w:p>
    <w:p>
      <w:pPr>
        <w:pStyle w:val="ListBullet"/>
        <w:spacing w:after="60" w:line="300" w:lineRule="exact"/>
      </w:pPr>
      <w:r>
        <w:rPr>
          <w:rFonts w:ascii="Calibri" w:hAnsi="Calibri"/>
          <w:color w:val="333333"/>
          <w:sz w:val="21"/>
        </w:rPr>
        <w:t>JWT-based authentication with secure token generation and expiry management</w:t>
      </w:r>
    </w:p>
    <w:p>
      <w:pPr>
        <w:pStyle w:val="ListBullet"/>
        <w:spacing w:after="60" w:line="300" w:lineRule="exact"/>
      </w:pPr>
      <w:r>
        <w:rPr>
          <w:rFonts w:ascii="Calibri" w:hAnsi="Calibri"/>
          <w:color w:val="333333"/>
          <w:sz w:val="21"/>
        </w:rPr>
        <w:t>Two-factor authentication via TOTP with recovery codes; hard-enforceable for administrators</w:t>
      </w:r>
    </w:p>
    <w:p>
      <w:pPr>
        <w:pStyle w:val="ListBullet"/>
        <w:spacing w:after="60" w:line="300" w:lineRule="exact"/>
      </w:pPr>
      <w:r>
        <w:rPr>
          <w:rFonts w:ascii="Calibri" w:hAnsi="Calibri"/>
          <w:color w:val="333333"/>
          <w:sz w:val="21"/>
        </w:rPr>
        <w:t>Role-based access control: admin, ngo, donor, reviewer — enforced at API and UI layers, with per-organisation data isolation</w:t>
      </w:r>
    </w:p>
    <w:p>
      <w:pPr>
        <w:pStyle w:val="ListBullet"/>
        <w:spacing w:after="60" w:line="300" w:lineRule="exact"/>
      </w:pPr>
      <w:r>
        <w:rPr>
          <w:rFonts w:ascii="Calibri" w:hAnsi="Calibri"/>
          <w:color w:val="333333"/>
          <w:sz w:val="21"/>
        </w:rPr>
        <w:t>Tamper-evident hash-chained audit log for security-relevant events: authentication, authorisation, permission changes, sanctions findings, administrative actions</w:t>
      </w:r>
    </w:p>
    <w:p>
      <w:pPr>
        <w:pStyle w:val="ListBullet"/>
        <w:spacing w:after="60" w:line="300" w:lineRule="exact"/>
      </w:pPr>
      <w:r>
        <w:rPr>
          <w:rFonts w:ascii="Calibri" w:hAnsi="Calibri"/>
          <w:color w:val="333333"/>
          <w:sz w:val="21"/>
        </w:rPr>
        <w:t>API key management via environment variables — never stored in source code or client-side</w:t>
      </w:r>
    </w:p>
    <w:p>
      <w:pPr>
        <w:pStyle w:val="ListBullet"/>
        <w:spacing w:after="60" w:line="300" w:lineRule="exact"/>
      </w:pPr>
      <w:r>
        <w:rPr>
          <w:rFonts w:ascii="Calibri" w:hAnsi="Calibri"/>
          <w:color w:val="333333"/>
          <w:sz w:val="21"/>
        </w:rPr>
        <w:t>Strict Content Security Policy: no third-party script origins, frame-ancestors none, object-src none, block-all-mixed-content</w:t>
      </w:r>
    </w:p>
    <w:p>
      <w:pPr>
        <w:pStyle w:val="ListBullet"/>
        <w:spacing w:after="60" w:line="300" w:lineRule="exact"/>
      </w:pPr>
      <w:r>
        <w:rPr>
          <w:rFonts w:ascii="Calibri" w:hAnsi="Calibri"/>
          <w:color w:val="333333"/>
          <w:sz w:val="21"/>
        </w:rPr>
        <w:t>Data encryption in transit (HTTPS/TLS) enforced across all endpoints</w:t>
      </w:r>
    </w:p>
    <w:p>
      <w:pPr>
        <w:pStyle w:val="ListBullet"/>
        <w:spacing w:after="60" w:line="300" w:lineRule="exact"/>
      </w:pPr>
      <w:r>
        <w:rPr>
          <w:rFonts w:ascii="Calibri" w:hAnsi="Calibri"/>
          <w:color w:val="333333"/>
          <w:sz w:val="21"/>
        </w:rPr>
        <w:t>PostgreSQL with parameterized queries to prevent SQL injection</w:t>
      </w:r>
    </w:p>
    <w:p>
      <w:pPr>
        <w:pStyle w:val="ListBullet"/>
        <w:spacing w:after="60" w:line="300" w:lineRule="exact"/>
      </w:pPr>
      <w:r>
        <w:rPr>
          <w:rFonts w:ascii="Calibri" w:hAnsi="Calibri"/>
          <w:color w:val="333333"/>
          <w:sz w:val="21"/>
        </w:rPr>
        <w:t>Per-operation named rate-limit policies (login, AI extraction, AI heavy, uploads, mutations, bulk) — opt-in Redis backend for cross-worker consistency</w:t>
      </w:r>
    </w:p>
    <w:p>
      <w:pPr>
        <w:pStyle w:val="ListBullet"/>
        <w:spacing w:after="60" w:line="300" w:lineRule="exact"/>
      </w:pPr>
      <w:r>
        <w:rPr>
          <w:rFonts w:ascii="Calibri" w:hAnsi="Calibri"/>
          <w:color w:val="333333"/>
          <w:sz w:val="21"/>
        </w:rPr>
        <w:t>GDPR right-to-be-forgotten endpoint preserves audit chain integrity while expunging personal data</w:t>
      </w:r>
    </w:p>
    <w:p>
      <w:pPr>
        <w:pStyle w:val="ListBullet"/>
        <w:spacing w:after="60" w:line="300" w:lineRule="exact"/>
      </w:pPr>
      <w:r>
        <w:rPr>
          <w:rFonts w:ascii="Calibri" w:hAnsi="Calibri"/>
          <w:color w:val="333333"/>
          <w:sz w:val="21"/>
        </w:rPr>
        <w:t>File upload restrictions: type validation, size limits, server-side text extraction</w:t>
      </w:r>
    </w:p>
    <w:p>
      <w:r>
        <w:br w:type="page"/>
      </w:r>
    </w:p>
    <w:p>
      <w:pPr>
        <w:pStyle w:val="Heading1"/>
        <w:spacing w:before="360" w:after="160"/>
      </w:pPr>
      <w:r>
        <w:rPr>
          <w:rFonts w:ascii="Calibri" w:hAnsi="Calibri"/>
          <w:color w:val="1E40AF"/>
        </w:rPr>
        <w:t>4. Detailed Competitive Analysis</w:t>
      </w:r>
    </w:p>
    <w:p>
      <w:pPr>
        <w:spacing w:after="120" w:line="300" w:lineRule="exact"/>
      </w:pPr>
      <w:r>
        <w:rPr>
          <w:rFonts w:ascii="Calibri" w:hAnsi="Calibri"/>
          <w:b w:val="0"/>
          <w:i w:val="0"/>
          <w:color w:val="333333"/>
          <w:sz w:val="21"/>
        </w:rPr>
        <w:t>The following analysis covers 13 competitors across grant management, discovery, assessment, and screening categories. Threat levels reflect the degree to which each competitor could erode Kuja’s addressable market within 12-24 months.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176"/>
        <w:gridCol w:w="1176"/>
        <w:gridCol w:w="1176"/>
        <w:gridCol w:w="1176"/>
        <w:gridCol w:w="1176"/>
        <w:gridCol w:w="1176"/>
        <w:gridCol w:w="1176"/>
        <w:gridCol w:w="1176"/>
      </w:tblGrid>
      <w:tr>
        <w:tc>
          <w:tcPr>
            <w:tcW w:type="dxa" w:w="1176"/>
            <w:shd w:fill="1E40AF" w:val="clear"/>
          </w:tcPr>
          <w:p>
            <w:pPr>
              <w:spacing w:before="40" w:after="40"/>
            </w:pPr>
            <w:r/>
            <w:r>
              <w:rPr>
                <w:rFonts w:ascii="Calibri" w:hAnsi="Calibri"/>
                <w:b/>
                <w:color w:val="FFFFFF"/>
                <w:sz w:val="18"/>
              </w:rPr>
              <w:t>Competitor</w:t>
            </w:r>
          </w:p>
        </w:tc>
        <w:tc>
          <w:tcPr>
            <w:tcW w:type="dxa" w:w="1176"/>
            <w:shd w:fill="1E40AF" w:val="clear"/>
          </w:tcPr>
          <w:p>
            <w:pPr>
              <w:spacing w:before="40" w:after="40"/>
            </w:pPr>
            <w:r/>
            <w:r>
              <w:rPr>
                <w:rFonts w:ascii="Calibri" w:hAnsi="Calibri"/>
                <w:b/>
                <w:color w:val="FFFFFF"/>
                <w:sz w:val="18"/>
              </w:rPr>
              <w:t>Type</w:t>
            </w:r>
          </w:p>
        </w:tc>
        <w:tc>
          <w:tcPr>
            <w:tcW w:type="dxa" w:w="1176"/>
            <w:shd w:fill="1E40AF" w:val="clear"/>
          </w:tcPr>
          <w:p>
            <w:pPr>
              <w:spacing w:before="40" w:after="40"/>
            </w:pPr>
            <w:r/>
            <w:r>
              <w:rPr>
                <w:rFonts w:ascii="Calibri" w:hAnsi="Calibri"/>
                <w:b/>
                <w:color w:val="FFFFFF"/>
                <w:sz w:val="18"/>
              </w:rPr>
              <w:t>Primary User</w:t>
            </w:r>
          </w:p>
        </w:tc>
        <w:tc>
          <w:tcPr>
            <w:tcW w:type="dxa" w:w="1176"/>
            <w:shd w:fill="1E40AF" w:val="clear"/>
          </w:tcPr>
          <w:p>
            <w:pPr>
              <w:spacing w:before="40" w:after="40"/>
            </w:pPr>
            <w:r/>
            <w:r>
              <w:rPr>
                <w:rFonts w:ascii="Calibri" w:hAnsi="Calibri"/>
                <w:b/>
                <w:color w:val="FFFFFF"/>
                <w:sz w:val="18"/>
              </w:rPr>
              <w:t>Key Strength</w:t>
            </w:r>
          </w:p>
        </w:tc>
        <w:tc>
          <w:tcPr>
            <w:tcW w:type="dxa" w:w="1176"/>
            <w:shd w:fill="1E40AF" w:val="clear"/>
          </w:tcPr>
          <w:p>
            <w:pPr>
              <w:spacing w:before="40" w:after="40"/>
            </w:pPr>
            <w:r/>
            <w:r>
              <w:rPr>
                <w:rFonts w:ascii="Calibri" w:hAnsi="Calibri"/>
                <w:b/>
                <w:color w:val="FFFFFF"/>
                <w:sz w:val="18"/>
              </w:rPr>
              <w:t>Pricing</w:t>
            </w:r>
          </w:p>
        </w:tc>
        <w:tc>
          <w:tcPr>
            <w:tcW w:type="dxa" w:w="1176"/>
            <w:shd w:fill="1E40AF" w:val="clear"/>
          </w:tcPr>
          <w:p>
            <w:pPr>
              <w:spacing w:before="40" w:after="40"/>
            </w:pPr>
            <w:r/>
            <w:r>
              <w:rPr>
                <w:rFonts w:ascii="Calibri" w:hAnsi="Calibri"/>
                <w:b/>
                <w:color w:val="FFFFFF"/>
                <w:sz w:val="18"/>
              </w:rPr>
              <w:t>Global South?</w:t>
            </w:r>
          </w:p>
        </w:tc>
        <w:tc>
          <w:tcPr>
            <w:tcW w:type="dxa" w:w="1176"/>
            <w:shd w:fill="1E40AF" w:val="clear"/>
          </w:tcPr>
          <w:p>
            <w:pPr>
              <w:spacing w:before="40" w:after="40"/>
            </w:pPr>
            <w:r/>
            <w:r>
              <w:rPr>
                <w:rFonts w:ascii="Calibri" w:hAnsi="Calibri"/>
                <w:b/>
                <w:color w:val="FFFFFF"/>
                <w:sz w:val="18"/>
              </w:rPr>
              <w:t>AI?</w:t>
            </w:r>
          </w:p>
        </w:tc>
        <w:tc>
          <w:tcPr>
            <w:tcW w:type="dxa" w:w="1176"/>
            <w:shd w:fill="1E40AF" w:val="clear"/>
          </w:tcPr>
          <w:p>
            <w:pPr>
              <w:spacing w:before="40" w:after="40"/>
            </w:pPr>
            <w:r/>
            <w:r>
              <w:rPr>
                <w:rFonts w:ascii="Calibri" w:hAnsi="Calibri"/>
                <w:b/>
                <w:color w:val="FFFFFF"/>
                <w:sz w:val="18"/>
              </w:rPr>
              <w:t>Threat Level</w:t>
            </w:r>
          </w:p>
        </w:tc>
      </w:tr>
      <w:tr>
        <w:tc>
          <w:tcPr>
            <w:tcW w:type="dxa" w:w="1176"/>
          </w:tcPr>
          <w:p>
            <w:pPr>
              <w:spacing w:before="40" w:after="40"/>
            </w:pPr>
            <w:r/>
            <w:r>
              <w:rPr>
                <w:rFonts w:ascii="Calibri" w:hAnsi="Calibri"/>
                <w:b w:val="0"/>
                <w:color w:val="333333"/>
                <w:sz w:val="18"/>
              </w:rPr>
              <w:t>Fluxx</w:t>
            </w:r>
          </w:p>
        </w:tc>
        <w:tc>
          <w:tcPr>
            <w:tcW w:type="dxa" w:w="1176"/>
          </w:tcPr>
          <w:p>
            <w:pPr>
              <w:spacing w:before="40" w:after="40"/>
            </w:pPr>
            <w:r/>
            <w:r>
              <w:rPr>
                <w:rFonts w:ascii="Calibri" w:hAnsi="Calibri"/>
                <w:b w:val="0"/>
                <w:color w:val="333333"/>
                <w:sz w:val="18"/>
              </w:rPr>
              <w:t>Grant Mgmt</w:t>
            </w:r>
          </w:p>
        </w:tc>
        <w:tc>
          <w:tcPr>
            <w:tcW w:type="dxa" w:w="1176"/>
          </w:tcPr>
          <w:p>
            <w:pPr>
              <w:spacing w:before="40" w:after="40"/>
            </w:pPr>
            <w:r/>
            <w:r>
              <w:rPr>
                <w:rFonts w:ascii="Calibri" w:hAnsi="Calibri"/>
                <w:b w:val="0"/>
                <w:color w:val="333333"/>
                <w:sz w:val="18"/>
              </w:rPr>
              <w:t>Donors</w:t>
            </w:r>
          </w:p>
        </w:tc>
        <w:tc>
          <w:tcPr>
            <w:tcW w:type="dxa" w:w="1176"/>
          </w:tcPr>
          <w:p>
            <w:pPr>
              <w:spacing w:before="40" w:after="40"/>
            </w:pPr>
            <w:r/>
            <w:r>
              <w:rPr>
                <w:rFonts w:ascii="Calibri" w:hAnsi="Calibri"/>
                <w:b w:val="0"/>
                <w:color w:val="333333"/>
                <w:sz w:val="18"/>
              </w:rPr>
              <w:t>Deep lifecycle management, Grantelligence AI</w:t>
            </w:r>
          </w:p>
        </w:tc>
        <w:tc>
          <w:tcPr>
            <w:tcW w:type="dxa" w:w="1176"/>
          </w:tcPr>
          <w:p>
            <w:pPr>
              <w:spacing w:before="40" w:after="40"/>
            </w:pPr>
            <w:r/>
            <w:r>
              <w:rPr>
                <w:rFonts w:ascii="Calibri" w:hAnsi="Calibri"/>
                <w:b w:val="0"/>
                <w:color w:val="333333"/>
                <w:sz w:val="18"/>
              </w:rPr>
              <w:t>Custom (not public)</w:t>
            </w:r>
          </w:p>
        </w:tc>
        <w:tc>
          <w:tcPr>
            <w:tcW w:type="dxa" w:w="1176"/>
          </w:tcPr>
          <w:p>
            <w:pPr>
              <w:spacing w:before="40" w:after="40"/>
            </w:pPr>
            <w:r/>
            <w:r>
              <w:rPr>
                <w:rFonts w:ascii="Calibri" w:hAnsi="Calibri"/>
                <w:b w:val="0"/>
                <w:color w:val="333333"/>
                <w:sz w:val="18"/>
              </w:rPr>
              <w:t>No</w:t>
            </w:r>
          </w:p>
        </w:tc>
        <w:tc>
          <w:tcPr>
            <w:tcW w:type="dxa" w:w="1176"/>
          </w:tcPr>
          <w:p>
            <w:pPr>
              <w:spacing w:before="40" w:after="40"/>
            </w:pPr>
            <w:r/>
            <w:r>
              <w:rPr>
                <w:rFonts w:ascii="Calibri" w:hAnsi="Calibri"/>
                <w:b w:val="0"/>
                <w:color w:val="333333"/>
                <w:sz w:val="18"/>
              </w:rPr>
              <w:t>Yes (analytics)</w:t>
            </w:r>
          </w:p>
        </w:tc>
        <w:tc>
          <w:tcPr>
            <w:tcW w:type="dxa" w:w="1176"/>
          </w:tcPr>
          <w:p>
            <w:pPr>
              <w:spacing w:before="40" w:after="40"/>
            </w:pPr>
            <w:r/>
            <w:r>
              <w:rPr>
                <w:rFonts w:ascii="Calibri" w:hAnsi="Calibri"/>
                <w:b w:val="0"/>
                <w:color w:val="333333"/>
                <w:sz w:val="18"/>
              </w:rPr>
              <w:t>HIGH</w:t>
            </w:r>
          </w:p>
        </w:tc>
      </w:tr>
      <w:tr>
        <w:tc>
          <w:tcPr>
            <w:tcW w:type="dxa" w:w="1176"/>
            <w:shd w:fill="F0F7FF" w:val="clear"/>
          </w:tcPr>
          <w:p>
            <w:pPr>
              <w:spacing w:before="40" w:after="40"/>
            </w:pPr>
            <w:r/>
            <w:r>
              <w:rPr>
                <w:rFonts w:ascii="Calibri" w:hAnsi="Calibri"/>
                <w:b w:val="0"/>
                <w:color w:val="333333"/>
                <w:sz w:val="18"/>
              </w:rPr>
              <w:t>Submittable</w:t>
            </w:r>
          </w:p>
        </w:tc>
        <w:tc>
          <w:tcPr>
            <w:tcW w:type="dxa" w:w="1176"/>
            <w:shd w:fill="F0F7FF" w:val="clear"/>
          </w:tcPr>
          <w:p>
            <w:pPr>
              <w:spacing w:before="40" w:after="40"/>
            </w:pPr>
            <w:r/>
            <w:r>
              <w:rPr>
                <w:rFonts w:ascii="Calibri" w:hAnsi="Calibri"/>
                <w:b w:val="0"/>
                <w:color w:val="333333"/>
                <w:sz w:val="18"/>
              </w:rPr>
              <w:t>Grant Mgmt</w:t>
            </w:r>
          </w:p>
        </w:tc>
        <w:tc>
          <w:tcPr>
            <w:tcW w:type="dxa" w:w="1176"/>
            <w:shd w:fill="F0F7FF" w:val="clear"/>
          </w:tcPr>
          <w:p>
            <w:pPr>
              <w:spacing w:before="40" w:after="40"/>
            </w:pPr>
            <w:r/>
            <w:r>
              <w:rPr>
                <w:rFonts w:ascii="Calibri" w:hAnsi="Calibri"/>
                <w:b w:val="0"/>
                <w:color w:val="333333"/>
                <w:sz w:val="18"/>
              </w:rPr>
              <w:t>Donors</w:t>
            </w:r>
          </w:p>
        </w:tc>
        <w:tc>
          <w:tcPr>
            <w:tcW w:type="dxa" w:w="1176"/>
            <w:shd w:fill="F0F7FF" w:val="clear"/>
          </w:tcPr>
          <w:p>
            <w:pPr>
              <w:spacing w:before="40" w:after="40"/>
            </w:pPr>
            <w:r/>
            <w:r>
              <w:rPr>
                <w:rFonts w:ascii="Calibri" w:hAnsi="Calibri"/>
                <w:b w:val="0"/>
                <w:color w:val="333333"/>
                <w:sz w:val="18"/>
              </w:rPr>
              <w:t>Proven scale (25M apps, 145K programs)</w:t>
            </w:r>
          </w:p>
        </w:tc>
        <w:tc>
          <w:tcPr>
            <w:tcW w:type="dxa" w:w="1176"/>
            <w:shd w:fill="F0F7FF" w:val="clear"/>
          </w:tcPr>
          <w:p>
            <w:pPr>
              <w:spacing w:before="40" w:after="40"/>
            </w:pPr>
            <w:r/>
            <w:r>
              <w:rPr>
                <w:rFonts w:ascii="Calibri" w:hAnsi="Calibri"/>
                <w:b w:val="0"/>
                <w:color w:val="333333"/>
                <w:sz w:val="18"/>
              </w:rPr>
              <w:t>~$5K-18K/yr</w:t>
            </w:r>
          </w:p>
        </w:tc>
        <w:tc>
          <w:tcPr>
            <w:tcW w:type="dxa" w:w="1176"/>
            <w:shd w:fill="F0F7FF" w:val="clear"/>
          </w:tcPr>
          <w:p>
            <w:pPr>
              <w:spacing w:before="40" w:after="40"/>
            </w:pPr>
            <w:r/>
            <w:r>
              <w:rPr>
                <w:rFonts w:ascii="Calibri" w:hAnsi="Calibri"/>
                <w:b w:val="0"/>
                <w:color w:val="333333"/>
                <w:sz w:val="18"/>
              </w:rPr>
              <w:t>No</w:t>
            </w:r>
          </w:p>
        </w:tc>
        <w:tc>
          <w:tcPr>
            <w:tcW w:type="dxa" w:w="1176"/>
            <w:shd w:fill="F0F7FF" w:val="clear"/>
          </w:tcPr>
          <w:p>
            <w:pPr>
              <w:spacing w:before="40" w:after="40"/>
            </w:pPr>
            <w:r/>
            <w:r>
              <w:rPr>
                <w:rFonts w:ascii="Calibri" w:hAnsi="Calibri"/>
                <w:b w:val="0"/>
                <w:color w:val="333333"/>
                <w:sz w:val="18"/>
              </w:rPr>
              <w:t>Yes (fraud)</w:t>
            </w:r>
          </w:p>
        </w:tc>
        <w:tc>
          <w:tcPr>
            <w:tcW w:type="dxa" w:w="1176"/>
            <w:shd w:fill="F0F7FF" w:val="clear"/>
          </w:tcPr>
          <w:p>
            <w:pPr>
              <w:spacing w:before="40" w:after="40"/>
            </w:pPr>
            <w:r/>
            <w:r>
              <w:rPr>
                <w:rFonts w:ascii="Calibri" w:hAnsi="Calibri"/>
                <w:b w:val="0"/>
                <w:color w:val="333333"/>
                <w:sz w:val="18"/>
              </w:rPr>
              <w:t>HIGH</w:t>
            </w:r>
          </w:p>
        </w:tc>
      </w:tr>
      <w:tr>
        <w:tc>
          <w:tcPr>
            <w:tcW w:type="dxa" w:w="1176"/>
          </w:tcPr>
          <w:p>
            <w:pPr>
              <w:spacing w:before="40" w:after="40"/>
            </w:pPr>
            <w:r/>
            <w:r>
              <w:rPr>
                <w:rFonts w:ascii="Calibri" w:hAnsi="Calibri"/>
                <w:b w:val="0"/>
                <w:color w:val="333333"/>
                <w:sz w:val="18"/>
              </w:rPr>
              <w:t>SmartSimple</w:t>
            </w:r>
          </w:p>
        </w:tc>
        <w:tc>
          <w:tcPr>
            <w:tcW w:type="dxa" w:w="1176"/>
          </w:tcPr>
          <w:p>
            <w:pPr>
              <w:spacing w:before="40" w:after="40"/>
            </w:pPr>
            <w:r/>
            <w:r>
              <w:rPr>
                <w:rFonts w:ascii="Calibri" w:hAnsi="Calibri"/>
                <w:b w:val="0"/>
                <w:color w:val="333333"/>
                <w:sz w:val="18"/>
              </w:rPr>
              <w:t>Grant Mgmt</w:t>
            </w:r>
          </w:p>
        </w:tc>
        <w:tc>
          <w:tcPr>
            <w:tcW w:type="dxa" w:w="1176"/>
          </w:tcPr>
          <w:p>
            <w:pPr>
              <w:spacing w:before="40" w:after="40"/>
            </w:pPr>
            <w:r/>
            <w:r>
              <w:rPr>
                <w:rFonts w:ascii="Calibri" w:hAnsi="Calibri"/>
                <w:b w:val="0"/>
                <w:color w:val="333333"/>
                <w:sz w:val="18"/>
              </w:rPr>
              <w:t>Donors</w:t>
            </w:r>
          </w:p>
        </w:tc>
        <w:tc>
          <w:tcPr>
            <w:tcW w:type="dxa" w:w="1176"/>
          </w:tcPr>
          <w:p>
            <w:pPr>
              <w:spacing w:before="40" w:after="40"/>
            </w:pPr>
            <w:r/>
            <w:r>
              <w:rPr>
                <w:rFonts w:ascii="Calibri" w:hAnsi="Calibri"/>
                <w:b w:val="0"/>
                <w:color w:val="333333"/>
                <w:sz w:val="18"/>
              </w:rPr>
              <w:t>Extremely configurable, 45+ languages</w:t>
            </w:r>
          </w:p>
        </w:tc>
        <w:tc>
          <w:tcPr>
            <w:tcW w:type="dxa" w:w="1176"/>
          </w:tcPr>
          <w:p>
            <w:pPr>
              <w:spacing w:before="40" w:after="40"/>
            </w:pPr>
            <w:r/>
            <w:r>
              <w:rPr>
                <w:rFonts w:ascii="Calibri" w:hAnsi="Calibri"/>
                <w:b w:val="0"/>
                <w:color w:val="333333"/>
                <w:sz w:val="18"/>
              </w:rPr>
              <w:t>~$6K/yr</w:t>
            </w:r>
          </w:p>
        </w:tc>
        <w:tc>
          <w:tcPr>
            <w:tcW w:type="dxa" w:w="1176"/>
          </w:tcPr>
          <w:p>
            <w:pPr>
              <w:spacing w:before="40" w:after="40"/>
            </w:pPr>
            <w:r/>
            <w:r>
              <w:rPr>
                <w:rFonts w:ascii="Calibri" w:hAnsi="Calibri"/>
                <w:b w:val="0"/>
                <w:color w:val="333333"/>
                <w:sz w:val="18"/>
              </w:rPr>
              <w:t>Partial</w:t>
            </w:r>
          </w:p>
        </w:tc>
        <w:tc>
          <w:tcPr>
            <w:tcW w:type="dxa" w:w="1176"/>
          </w:tcPr>
          <w:p>
            <w:pPr>
              <w:spacing w:before="40" w:after="40"/>
            </w:pPr>
            <w:r/>
            <w:r>
              <w:rPr>
                <w:rFonts w:ascii="Calibri" w:hAnsi="Calibri"/>
                <w:b w:val="0"/>
                <w:color w:val="333333"/>
                <w:sz w:val="18"/>
              </w:rPr>
              <w:t>Yes (+AI)</w:t>
            </w:r>
          </w:p>
        </w:tc>
        <w:tc>
          <w:tcPr>
            <w:tcW w:type="dxa" w:w="1176"/>
          </w:tcPr>
          <w:p>
            <w:pPr>
              <w:spacing w:before="40" w:after="40"/>
            </w:pPr>
            <w:r/>
            <w:r>
              <w:rPr>
                <w:rFonts w:ascii="Calibri" w:hAnsi="Calibri"/>
                <w:b w:val="0"/>
                <w:color w:val="333333"/>
                <w:sz w:val="18"/>
              </w:rPr>
              <w:t>MEDIUM</w:t>
            </w:r>
          </w:p>
        </w:tc>
      </w:tr>
      <w:tr>
        <w:tc>
          <w:tcPr>
            <w:tcW w:type="dxa" w:w="1176"/>
            <w:shd w:fill="F0F7FF" w:val="clear"/>
          </w:tcPr>
          <w:p>
            <w:pPr>
              <w:spacing w:before="40" w:after="40"/>
            </w:pPr>
            <w:r/>
            <w:r>
              <w:rPr>
                <w:rFonts w:ascii="Calibri" w:hAnsi="Calibri"/>
                <w:b w:val="0"/>
                <w:color w:val="333333"/>
                <w:sz w:val="18"/>
              </w:rPr>
              <w:t>Good Grants</w:t>
            </w:r>
          </w:p>
        </w:tc>
        <w:tc>
          <w:tcPr>
            <w:tcW w:type="dxa" w:w="1176"/>
            <w:shd w:fill="F0F7FF" w:val="clear"/>
          </w:tcPr>
          <w:p>
            <w:pPr>
              <w:spacing w:before="40" w:after="40"/>
            </w:pPr>
            <w:r/>
            <w:r>
              <w:rPr>
                <w:rFonts w:ascii="Calibri" w:hAnsi="Calibri"/>
                <w:b w:val="0"/>
                <w:color w:val="333333"/>
                <w:sz w:val="18"/>
              </w:rPr>
              <w:t>Grant Mgmt</w:t>
            </w:r>
          </w:p>
        </w:tc>
        <w:tc>
          <w:tcPr>
            <w:tcW w:type="dxa" w:w="1176"/>
            <w:shd w:fill="F0F7FF" w:val="clear"/>
          </w:tcPr>
          <w:p>
            <w:pPr>
              <w:spacing w:before="40" w:after="40"/>
            </w:pPr>
            <w:r/>
            <w:r>
              <w:rPr>
                <w:rFonts w:ascii="Calibri" w:hAnsi="Calibri"/>
                <w:b w:val="0"/>
                <w:color w:val="333333"/>
                <w:sz w:val="18"/>
              </w:rPr>
              <w:t>Donors</w:t>
            </w:r>
          </w:p>
        </w:tc>
        <w:tc>
          <w:tcPr>
            <w:tcW w:type="dxa" w:w="1176"/>
            <w:shd w:fill="F0F7FF" w:val="clear"/>
          </w:tcPr>
          <w:p>
            <w:pPr>
              <w:spacing w:before="40" w:after="40"/>
            </w:pPr>
            <w:r/>
            <w:r>
              <w:rPr>
                <w:rFonts w:ascii="Calibri" w:hAnsi="Calibri"/>
                <w:b w:val="0"/>
                <w:color w:val="333333"/>
                <w:sz w:val="18"/>
              </w:rPr>
              <w:t>Affordable, humanitarian sector friendly</w:t>
            </w:r>
          </w:p>
        </w:tc>
        <w:tc>
          <w:tcPr>
            <w:tcW w:type="dxa" w:w="1176"/>
            <w:shd w:fill="F0F7FF" w:val="clear"/>
          </w:tcPr>
          <w:p>
            <w:pPr>
              <w:spacing w:before="40" w:after="40"/>
            </w:pPr>
            <w:r/>
            <w:r>
              <w:rPr>
                <w:rFonts w:ascii="Calibri" w:hAnsi="Calibri"/>
                <w:b w:val="0"/>
                <w:color w:val="333333"/>
                <w:sz w:val="18"/>
              </w:rPr>
              <w:t>EUR 3K-6K/yr</w:t>
            </w:r>
          </w:p>
        </w:tc>
        <w:tc>
          <w:tcPr>
            <w:tcW w:type="dxa" w:w="1176"/>
            <w:shd w:fill="F0F7FF" w:val="clear"/>
          </w:tcPr>
          <w:p>
            <w:pPr>
              <w:spacing w:before="40" w:after="40"/>
            </w:pPr>
            <w:r/>
            <w:r>
              <w:rPr>
                <w:rFonts w:ascii="Calibri" w:hAnsi="Calibri"/>
                <w:b w:val="0"/>
                <w:color w:val="333333"/>
                <w:sz w:val="18"/>
              </w:rPr>
              <w:t>Partial</w:t>
            </w:r>
          </w:p>
        </w:tc>
        <w:tc>
          <w:tcPr>
            <w:tcW w:type="dxa" w:w="1176"/>
            <w:shd w:fill="F0F7FF" w:val="clear"/>
          </w:tcPr>
          <w:p>
            <w:pPr>
              <w:spacing w:before="40" w:after="40"/>
            </w:pPr>
            <w:r/>
            <w:r>
              <w:rPr>
                <w:rFonts w:ascii="Calibri" w:hAnsi="Calibri"/>
                <w:b w:val="0"/>
                <w:color w:val="333333"/>
                <w:sz w:val="18"/>
              </w:rPr>
              <w:t>No</w:t>
            </w:r>
          </w:p>
        </w:tc>
        <w:tc>
          <w:tcPr>
            <w:tcW w:type="dxa" w:w="1176"/>
            <w:shd w:fill="F0F7FF" w:val="clear"/>
          </w:tcPr>
          <w:p>
            <w:pPr>
              <w:spacing w:before="40" w:after="40"/>
            </w:pPr>
            <w:r/>
            <w:r>
              <w:rPr>
                <w:rFonts w:ascii="Calibri" w:hAnsi="Calibri"/>
                <w:b w:val="0"/>
                <w:color w:val="333333"/>
                <w:sz w:val="18"/>
              </w:rPr>
              <w:t>MEDIUM</w:t>
            </w:r>
          </w:p>
        </w:tc>
      </w:tr>
      <w:tr>
        <w:tc>
          <w:tcPr>
            <w:tcW w:type="dxa" w:w="1176"/>
          </w:tcPr>
          <w:p>
            <w:pPr>
              <w:spacing w:before="40" w:after="40"/>
            </w:pPr>
            <w:r/>
            <w:r>
              <w:rPr>
                <w:rFonts w:ascii="Calibri" w:hAnsi="Calibri"/>
                <w:b w:val="0"/>
                <w:color w:val="333333"/>
                <w:sz w:val="18"/>
              </w:rPr>
              <w:t>Foundant GLM</w:t>
            </w:r>
          </w:p>
        </w:tc>
        <w:tc>
          <w:tcPr>
            <w:tcW w:type="dxa" w:w="1176"/>
          </w:tcPr>
          <w:p>
            <w:pPr>
              <w:spacing w:before="40" w:after="40"/>
            </w:pPr>
            <w:r/>
            <w:r>
              <w:rPr>
                <w:rFonts w:ascii="Calibri" w:hAnsi="Calibri"/>
                <w:b w:val="0"/>
                <w:color w:val="333333"/>
                <w:sz w:val="18"/>
              </w:rPr>
              <w:t>Grant Mgmt</w:t>
            </w:r>
          </w:p>
        </w:tc>
        <w:tc>
          <w:tcPr>
            <w:tcW w:type="dxa" w:w="1176"/>
          </w:tcPr>
          <w:p>
            <w:pPr>
              <w:spacing w:before="40" w:after="40"/>
            </w:pPr>
            <w:r/>
            <w:r>
              <w:rPr>
                <w:rFonts w:ascii="Calibri" w:hAnsi="Calibri"/>
                <w:b w:val="0"/>
                <w:color w:val="333333"/>
                <w:sz w:val="18"/>
              </w:rPr>
              <w:t>Donors</w:t>
            </w:r>
          </w:p>
        </w:tc>
        <w:tc>
          <w:tcPr>
            <w:tcW w:type="dxa" w:w="1176"/>
          </w:tcPr>
          <w:p>
            <w:pPr>
              <w:spacing w:before="40" w:after="40"/>
            </w:pPr>
            <w:r/>
            <w:r>
              <w:rPr>
                <w:rFonts w:ascii="Calibri" w:hAnsi="Calibri"/>
                <w:b w:val="0"/>
                <w:color w:val="333333"/>
                <w:sz w:val="18"/>
              </w:rPr>
              <w:t>User-friendly, unlimited users</w:t>
            </w:r>
          </w:p>
        </w:tc>
        <w:tc>
          <w:tcPr>
            <w:tcW w:type="dxa" w:w="1176"/>
          </w:tcPr>
          <w:p>
            <w:pPr>
              <w:spacing w:before="40" w:after="40"/>
            </w:pPr>
            <w:r/>
            <w:r>
              <w:rPr>
                <w:rFonts w:ascii="Calibri" w:hAnsi="Calibri"/>
                <w:b w:val="0"/>
                <w:color w:val="333333"/>
                <w:sz w:val="18"/>
              </w:rPr>
              <w:t>Not public</w:t>
            </w:r>
          </w:p>
        </w:tc>
        <w:tc>
          <w:tcPr>
            <w:tcW w:type="dxa" w:w="1176"/>
          </w:tcPr>
          <w:p>
            <w:pPr>
              <w:spacing w:before="40" w:after="40"/>
            </w:pPr>
            <w:r/>
            <w:r>
              <w:rPr>
                <w:rFonts w:ascii="Calibri" w:hAnsi="Calibri"/>
                <w:b w:val="0"/>
                <w:color w:val="333333"/>
                <w:sz w:val="18"/>
              </w:rPr>
              <w:t>No</w:t>
            </w:r>
          </w:p>
        </w:tc>
        <w:tc>
          <w:tcPr>
            <w:tcW w:type="dxa" w:w="1176"/>
          </w:tcPr>
          <w:p>
            <w:pPr>
              <w:spacing w:before="40" w:after="40"/>
            </w:pPr>
            <w:r/>
            <w:r>
              <w:rPr>
                <w:rFonts w:ascii="Calibri" w:hAnsi="Calibri"/>
                <w:b w:val="0"/>
                <w:color w:val="333333"/>
                <w:sz w:val="18"/>
              </w:rPr>
              <w:t>Limited</w:t>
            </w:r>
          </w:p>
        </w:tc>
        <w:tc>
          <w:tcPr>
            <w:tcW w:type="dxa" w:w="1176"/>
          </w:tcPr>
          <w:p>
            <w:pPr>
              <w:spacing w:before="40" w:after="40"/>
            </w:pPr>
            <w:r/>
            <w:r>
              <w:rPr>
                <w:rFonts w:ascii="Calibri" w:hAnsi="Calibri"/>
                <w:b w:val="0"/>
                <w:color w:val="333333"/>
                <w:sz w:val="18"/>
              </w:rPr>
              <w:t>LOW</w:t>
            </w:r>
          </w:p>
        </w:tc>
      </w:tr>
      <w:tr>
        <w:tc>
          <w:tcPr>
            <w:tcW w:type="dxa" w:w="1176"/>
            <w:shd w:fill="F0F7FF" w:val="clear"/>
          </w:tcPr>
          <w:p>
            <w:pPr>
              <w:spacing w:before="40" w:after="40"/>
            </w:pPr>
            <w:r/>
            <w:r>
              <w:rPr>
                <w:rFonts w:ascii="Calibri" w:hAnsi="Calibri"/>
                <w:b w:val="0"/>
                <w:color w:val="333333"/>
                <w:sz w:val="18"/>
              </w:rPr>
              <w:t>Benevity</w:t>
            </w:r>
          </w:p>
        </w:tc>
        <w:tc>
          <w:tcPr>
            <w:tcW w:type="dxa" w:w="1176"/>
            <w:shd w:fill="F0F7FF" w:val="clear"/>
          </w:tcPr>
          <w:p>
            <w:pPr>
              <w:spacing w:before="40" w:after="40"/>
            </w:pPr>
            <w:r/>
            <w:r>
              <w:rPr>
                <w:rFonts w:ascii="Calibri" w:hAnsi="Calibri"/>
                <w:b w:val="0"/>
                <w:color w:val="333333"/>
                <w:sz w:val="18"/>
              </w:rPr>
              <w:t>CSR Suite</w:t>
            </w:r>
          </w:p>
        </w:tc>
        <w:tc>
          <w:tcPr>
            <w:tcW w:type="dxa" w:w="1176"/>
            <w:shd w:fill="F0F7FF" w:val="clear"/>
          </w:tcPr>
          <w:p>
            <w:pPr>
              <w:spacing w:before="40" w:after="40"/>
            </w:pPr>
            <w:r/>
            <w:r>
              <w:rPr>
                <w:rFonts w:ascii="Calibri" w:hAnsi="Calibri"/>
                <w:b w:val="0"/>
                <w:color w:val="333333"/>
                <w:sz w:val="18"/>
              </w:rPr>
              <w:t>Corporations</w:t>
            </w:r>
          </w:p>
        </w:tc>
        <w:tc>
          <w:tcPr>
            <w:tcW w:type="dxa" w:w="1176"/>
            <w:shd w:fill="F0F7FF" w:val="clear"/>
          </w:tcPr>
          <w:p>
            <w:pPr>
              <w:spacing w:before="40" w:after="40"/>
            </w:pPr>
            <w:r/>
            <w:r>
              <w:rPr>
                <w:rFonts w:ascii="Calibri" w:hAnsi="Calibri"/>
                <w:b w:val="0"/>
                <w:color w:val="333333"/>
                <w:sz w:val="18"/>
              </w:rPr>
              <w:t>Massive scale ($14B+ donations)</w:t>
            </w:r>
          </w:p>
        </w:tc>
        <w:tc>
          <w:tcPr>
            <w:tcW w:type="dxa" w:w="1176"/>
            <w:shd w:fill="F0F7FF" w:val="clear"/>
          </w:tcPr>
          <w:p>
            <w:pPr>
              <w:spacing w:before="40" w:after="40"/>
            </w:pPr>
            <w:r/>
            <w:r>
              <w:rPr>
                <w:rFonts w:ascii="Calibri" w:hAnsi="Calibri"/>
                <w:b w:val="0"/>
                <w:color w:val="333333"/>
                <w:sz w:val="18"/>
              </w:rPr>
              <w:t>$40K+/yr</w:t>
            </w:r>
          </w:p>
        </w:tc>
        <w:tc>
          <w:tcPr>
            <w:tcW w:type="dxa" w:w="1176"/>
            <w:shd w:fill="F0F7FF" w:val="clear"/>
          </w:tcPr>
          <w:p>
            <w:pPr>
              <w:spacing w:before="40" w:after="40"/>
            </w:pPr>
            <w:r/>
            <w:r>
              <w:rPr>
                <w:rFonts w:ascii="Calibri" w:hAnsi="Calibri"/>
                <w:b w:val="0"/>
                <w:color w:val="333333"/>
                <w:sz w:val="18"/>
              </w:rPr>
              <w:t>No</w:t>
            </w:r>
          </w:p>
        </w:tc>
        <w:tc>
          <w:tcPr>
            <w:tcW w:type="dxa" w:w="1176"/>
            <w:shd w:fill="F0F7FF" w:val="clear"/>
          </w:tcPr>
          <w:p>
            <w:pPr>
              <w:spacing w:before="40" w:after="40"/>
            </w:pPr>
            <w:r/>
            <w:r>
              <w:rPr>
                <w:rFonts w:ascii="Calibri" w:hAnsi="Calibri"/>
                <w:b w:val="0"/>
                <w:color w:val="333333"/>
                <w:sz w:val="18"/>
              </w:rPr>
              <w:t>Yes</w:t>
            </w:r>
          </w:p>
        </w:tc>
        <w:tc>
          <w:tcPr>
            <w:tcW w:type="dxa" w:w="1176"/>
            <w:shd w:fill="F0F7FF" w:val="clear"/>
          </w:tcPr>
          <w:p>
            <w:pPr>
              <w:spacing w:before="40" w:after="40"/>
            </w:pPr>
            <w:r/>
            <w:r>
              <w:rPr>
                <w:rFonts w:ascii="Calibri" w:hAnsi="Calibri"/>
                <w:b w:val="0"/>
                <w:color w:val="333333"/>
                <w:sz w:val="18"/>
              </w:rPr>
              <w:t>LOW</w:t>
            </w:r>
          </w:p>
        </w:tc>
      </w:tr>
      <w:tr>
        <w:tc>
          <w:tcPr>
            <w:tcW w:type="dxa" w:w="1176"/>
          </w:tcPr>
          <w:p>
            <w:pPr>
              <w:spacing w:before="40" w:after="40"/>
            </w:pPr>
            <w:r/>
            <w:r>
              <w:rPr>
                <w:rFonts w:ascii="Calibri" w:hAnsi="Calibri"/>
                <w:b w:val="0"/>
                <w:color w:val="333333"/>
                <w:sz w:val="18"/>
              </w:rPr>
              <w:t>OpenGrants</w:t>
            </w:r>
          </w:p>
        </w:tc>
        <w:tc>
          <w:tcPr>
            <w:tcW w:type="dxa" w:w="1176"/>
          </w:tcPr>
          <w:p>
            <w:pPr>
              <w:spacing w:before="40" w:after="40"/>
            </w:pPr>
            <w:r/>
            <w:r>
              <w:rPr>
                <w:rFonts w:ascii="Calibri" w:hAnsi="Calibri"/>
                <w:b w:val="0"/>
                <w:color w:val="333333"/>
                <w:sz w:val="18"/>
              </w:rPr>
              <w:t>Discovery</w:t>
            </w:r>
          </w:p>
        </w:tc>
        <w:tc>
          <w:tcPr>
            <w:tcW w:type="dxa" w:w="1176"/>
          </w:tcPr>
          <w:p>
            <w:pPr>
              <w:spacing w:before="40" w:after="40"/>
            </w:pPr>
            <w:r/>
            <w:r>
              <w:rPr>
                <w:rFonts w:ascii="Calibri" w:hAnsi="Calibri"/>
                <w:b w:val="0"/>
                <w:color w:val="333333"/>
                <w:sz w:val="18"/>
              </w:rPr>
              <w:t>Seekers</w:t>
            </w:r>
          </w:p>
        </w:tc>
        <w:tc>
          <w:tcPr>
            <w:tcW w:type="dxa" w:w="1176"/>
          </w:tcPr>
          <w:p>
            <w:pPr>
              <w:spacing w:before="40" w:after="40"/>
            </w:pPr>
            <w:r/>
            <w:r>
              <w:rPr>
                <w:rFonts w:ascii="Calibri" w:hAnsi="Calibri"/>
                <w:b w:val="0"/>
                <w:color w:val="333333"/>
                <w:sz w:val="18"/>
              </w:rPr>
              <w:t>AI matching, grant writer marketplace</w:t>
            </w:r>
          </w:p>
        </w:tc>
        <w:tc>
          <w:tcPr>
            <w:tcW w:type="dxa" w:w="1176"/>
          </w:tcPr>
          <w:p>
            <w:pPr>
              <w:spacing w:before="40" w:after="40"/>
            </w:pPr>
            <w:r/>
            <w:r>
              <w:rPr>
                <w:rFonts w:ascii="Calibri" w:hAnsi="Calibri"/>
                <w:b w:val="0"/>
                <w:color w:val="333333"/>
                <w:sz w:val="18"/>
              </w:rPr>
              <w:t>$29/mo</w:t>
            </w:r>
          </w:p>
        </w:tc>
        <w:tc>
          <w:tcPr>
            <w:tcW w:type="dxa" w:w="1176"/>
          </w:tcPr>
          <w:p>
            <w:pPr>
              <w:spacing w:before="40" w:after="40"/>
            </w:pPr>
            <w:r/>
            <w:r>
              <w:rPr>
                <w:rFonts w:ascii="Calibri" w:hAnsi="Calibri"/>
                <w:b w:val="0"/>
                <w:color w:val="333333"/>
                <w:sz w:val="18"/>
              </w:rPr>
              <w:t>No</w:t>
            </w:r>
          </w:p>
        </w:tc>
        <w:tc>
          <w:tcPr>
            <w:tcW w:type="dxa" w:w="1176"/>
          </w:tcPr>
          <w:p>
            <w:pPr>
              <w:spacing w:before="40" w:after="40"/>
            </w:pPr>
            <w:r/>
            <w:r>
              <w:rPr>
                <w:rFonts w:ascii="Calibri" w:hAnsi="Calibri"/>
                <w:b w:val="0"/>
                <w:color w:val="333333"/>
                <w:sz w:val="18"/>
              </w:rPr>
              <w:t>Yes (matching)</w:t>
            </w:r>
          </w:p>
        </w:tc>
        <w:tc>
          <w:tcPr>
            <w:tcW w:type="dxa" w:w="1176"/>
          </w:tcPr>
          <w:p>
            <w:pPr>
              <w:spacing w:before="40" w:after="40"/>
            </w:pPr>
            <w:r/>
            <w:r>
              <w:rPr>
                <w:rFonts w:ascii="Calibri" w:hAnsi="Calibri"/>
                <w:b w:val="0"/>
                <w:color w:val="333333"/>
                <w:sz w:val="18"/>
              </w:rPr>
              <w:t>LOW</w:t>
            </w:r>
          </w:p>
        </w:tc>
      </w:tr>
      <w:tr>
        <w:tc>
          <w:tcPr>
            <w:tcW w:type="dxa" w:w="1176"/>
            <w:shd w:fill="F0F7FF" w:val="clear"/>
          </w:tcPr>
          <w:p>
            <w:pPr>
              <w:spacing w:before="40" w:after="40"/>
            </w:pPr>
            <w:r/>
            <w:r>
              <w:rPr>
                <w:rFonts w:ascii="Calibri" w:hAnsi="Calibri"/>
                <w:b w:val="0"/>
                <w:color w:val="333333"/>
                <w:sz w:val="18"/>
              </w:rPr>
              <w:t>Instrumentl</w:t>
            </w:r>
          </w:p>
        </w:tc>
        <w:tc>
          <w:tcPr>
            <w:tcW w:type="dxa" w:w="1176"/>
            <w:shd w:fill="F0F7FF" w:val="clear"/>
          </w:tcPr>
          <w:p>
            <w:pPr>
              <w:spacing w:before="40" w:after="40"/>
            </w:pPr>
            <w:r/>
            <w:r>
              <w:rPr>
                <w:rFonts w:ascii="Calibri" w:hAnsi="Calibri"/>
                <w:b w:val="0"/>
                <w:color w:val="333333"/>
                <w:sz w:val="18"/>
              </w:rPr>
              <w:t>Discovery</w:t>
            </w:r>
          </w:p>
        </w:tc>
        <w:tc>
          <w:tcPr>
            <w:tcW w:type="dxa" w:w="1176"/>
            <w:shd w:fill="F0F7FF" w:val="clear"/>
          </w:tcPr>
          <w:p>
            <w:pPr>
              <w:spacing w:before="40" w:after="40"/>
            </w:pPr>
            <w:r/>
            <w:r>
              <w:rPr>
                <w:rFonts w:ascii="Calibri" w:hAnsi="Calibri"/>
                <w:b w:val="0"/>
                <w:color w:val="333333"/>
                <w:sz w:val="18"/>
              </w:rPr>
              <w:t>Seekers</w:t>
            </w:r>
          </w:p>
        </w:tc>
        <w:tc>
          <w:tcPr>
            <w:tcW w:type="dxa" w:w="1176"/>
            <w:shd w:fill="F0F7FF" w:val="clear"/>
          </w:tcPr>
          <w:p>
            <w:pPr>
              <w:spacing w:before="40" w:after="40"/>
            </w:pPr>
            <w:r/>
            <w:r>
              <w:rPr>
                <w:rFonts w:ascii="Calibri" w:hAnsi="Calibri"/>
                <w:b w:val="0"/>
                <w:color w:val="333333"/>
                <w:sz w:val="18"/>
              </w:rPr>
              <w:t>Best discovery (450K+ funders, 31K+ RFPs)</w:t>
            </w:r>
          </w:p>
        </w:tc>
        <w:tc>
          <w:tcPr>
            <w:tcW w:type="dxa" w:w="1176"/>
            <w:shd w:fill="F0F7FF" w:val="clear"/>
          </w:tcPr>
          <w:p>
            <w:pPr>
              <w:spacing w:before="40" w:after="40"/>
            </w:pPr>
            <w:r/>
            <w:r>
              <w:rPr>
                <w:rFonts w:ascii="Calibri" w:hAnsi="Calibri"/>
                <w:b w:val="0"/>
                <w:color w:val="333333"/>
                <w:sz w:val="18"/>
              </w:rPr>
              <w:t>$299-499/mo</w:t>
            </w:r>
          </w:p>
        </w:tc>
        <w:tc>
          <w:tcPr>
            <w:tcW w:type="dxa" w:w="1176"/>
            <w:shd w:fill="F0F7FF" w:val="clear"/>
          </w:tcPr>
          <w:p>
            <w:pPr>
              <w:spacing w:before="40" w:after="40"/>
            </w:pPr>
            <w:r/>
            <w:r>
              <w:rPr>
                <w:rFonts w:ascii="Calibri" w:hAnsi="Calibri"/>
                <w:b w:val="0"/>
                <w:color w:val="333333"/>
                <w:sz w:val="18"/>
              </w:rPr>
              <w:t>No</w:t>
            </w:r>
          </w:p>
        </w:tc>
        <w:tc>
          <w:tcPr>
            <w:tcW w:type="dxa" w:w="1176"/>
            <w:shd w:fill="F0F7FF" w:val="clear"/>
          </w:tcPr>
          <w:p>
            <w:pPr>
              <w:spacing w:before="40" w:after="40"/>
            </w:pPr>
            <w:r/>
            <w:r>
              <w:rPr>
                <w:rFonts w:ascii="Calibri" w:hAnsi="Calibri"/>
                <w:b w:val="0"/>
                <w:color w:val="333333"/>
                <w:sz w:val="18"/>
              </w:rPr>
              <w:t>Yes (matching)</w:t>
            </w:r>
          </w:p>
        </w:tc>
        <w:tc>
          <w:tcPr>
            <w:tcW w:type="dxa" w:w="1176"/>
            <w:shd w:fill="F0F7FF" w:val="clear"/>
          </w:tcPr>
          <w:p>
            <w:pPr>
              <w:spacing w:before="40" w:after="40"/>
            </w:pPr>
            <w:r/>
            <w:r>
              <w:rPr>
                <w:rFonts w:ascii="Calibri" w:hAnsi="Calibri"/>
                <w:b w:val="0"/>
                <w:color w:val="333333"/>
                <w:sz w:val="18"/>
              </w:rPr>
              <w:t>LOW</w:t>
            </w:r>
          </w:p>
        </w:tc>
      </w:tr>
      <w:tr>
        <w:tc>
          <w:tcPr>
            <w:tcW w:type="dxa" w:w="1176"/>
          </w:tcPr>
          <w:p>
            <w:pPr>
              <w:spacing w:before="40" w:after="40"/>
            </w:pPr>
            <w:r/>
            <w:r>
              <w:rPr>
                <w:rFonts w:ascii="Calibri" w:hAnsi="Calibri"/>
                <w:b w:val="0"/>
                <w:color w:val="333333"/>
                <w:sz w:val="18"/>
              </w:rPr>
              <w:t>GrantHub</w:t>
            </w:r>
          </w:p>
        </w:tc>
        <w:tc>
          <w:tcPr>
            <w:tcW w:type="dxa" w:w="1176"/>
          </w:tcPr>
          <w:p>
            <w:pPr>
              <w:spacing w:before="40" w:after="40"/>
            </w:pPr>
            <w:r/>
            <w:r>
              <w:rPr>
                <w:rFonts w:ascii="Calibri" w:hAnsi="Calibri"/>
                <w:b w:val="0"/>
                <w:color w:val="333333"/>
                <w:sz w:val="18"/>
              </w:rPr>
              <w:t>Pipeline</w:t>
            </w:r>
          </w:p>
        </w:tc>
        <w:tc>
          <w:tcPr>
            <w:tcW w:type="dxa" w:w="1176"/>
          </w:tcPr>
          <w:p>
            <w:pPr>
              <w:spacing w:before="40" w:after="40"/>
            </w:pPr>
            <w:r/>
            <w:r>
              <w:rPr>
                <w:rFonts w:ascii="Calibri" w:hAnsi="Calibri"/>
                <w:b w:val="0"/>
                <w:color w:val="333333"/>
                <w:sz w:val="18"/>
              </w:rPr>
              <w:t>Seekers</w:t>
            </w:r>
          </w:p>
        </w:tc>
        <w:tc>
          <w:tcPr>
            <w:tcW w:type="dxa" w:w="1176"/>
          </w:tcPr>
          <w:p>
            <w:pPr>
              <w:spacing w:before="40" w:after="40"/>
            </w:pPr>
            <w:r/>
            <w:r>
              <w:rPr>
                <w:rFonts w:ascii="Calibri" w:hAnsi="Calibri"/>
                <w:b w:val="0"/>
                <w:color w:val="333333"/>
                <w:sz w:val="18"/>
              </w:rPr>
              <w:t>Affordable entry point</w:t>
            </w:r>
          </w:p>
        </w:tc>
        <w:tc>
          <w:tcPr>
            <w:tcW w:type="dxa" w:w="1176"/>
          </w:tcPr>
          <w:p>
            <w:pPr>
              <w:spacing w:before="40" w:after="40"/>
            </w:pPr>
            <w:r/>
            <w:r>
              <w:rPr>
                <w:rFonts w:ascii="Calibri" w:hAnsi="Calibri"/>
                <w:b w:val="0"/>
                <w:color w:val="333333"/>
                <w:sz w:val="18"/>
              </w:rPr>
              <w:t>$95/mo</w:t>
            </w:r>
          </w:p>
        </w:tc>
        <w:tc>
          <w:tcPr>
            <w:tcW w:type="dxa" w:w="1176"/>
          </w:tcPr>
          <w:p>
            <w:pPr>
              <w:spacing w:before="40" w:after="40"/>
            </w:pPr>
            <w:r/>
            <w:r>
              <w:rPr>
                <w:rFonts w:ascii="Calibri" w:hAnsi="Calibri"/>
                <w:b w:val="0"/>
                <w:color w:val="333333"/>
                <w:sz w:val="18"/>
              </w:rPr>
              <w:t>No</w:t>
            </w:r>
          </w:p>
        </w:tc>
        <w:tc>
          <w:tcPr>
            <w:tcW w:type="dxa" w:w="1176"/>
          </w:tcPr>
          <w:p>
            <w:pPr>
              <w:spacing w:before="40" w:after="40"/>
            </w:pPr>
            <w:r/>
            <w:r>
              <w:rPr>
                <w:rFonts w:ascii="Calibri" w:hAnsi="Calibri"/>
                <w:b w:val="0"/>
                <w:color w:val="333333"/>
                <w:sz w:val="18"/>
              </w:rPr>
              <w:t>No</w:t>
            </w:r>
          </w:p>
        </w:tc>
        <w:tc>
          <w:tcPr>
            <w:tcW w:type="dxa" w:w="1176"/>
          </w:tcPr>
          <w:p>
            <w:pPr>
              <w:spacing w:before="40" w:after="40"/>
            </w:pPr>
            <w:r/>
            <w:r>
              <w:rPr>
                <w:rFonts w:ascii="Calibri" w:hAnsi="Calibri"/>
                <w:b w:val="0"/>
                <w:color w:val="333333"/>
                <w:sz w:val="18"/>
              </w:rPr>
              <w:t>LOW</w:t>
            </w:r>
          </w:p>
        </w:tc>
      </w:tr>
      <w:tr>
        <w:tc>
          <w:tcPr>
            <w:tcW w:type="dxa" w:w="1176"/>
            <w:shd w:fill="F0F7FF" w:val="clear"/>
          </w:tcPr>
          <w:p>
            <w:pPr>
              <w:spacing w:before="40" w:after="40"/>
            </w:pPr>
            <w:r/>
            <w:r>
              <w:rPr>
                <w:rFonts w:ascii="Calibri" w:hAnsi="Calibri"/>
                <w:b w:val="0"/>
                <w:color w:val="333333"/>
                <w:sz w:val="18"/>
              </w:rPr>
              <w:t>GlobalGiving</w:t>
            </w:r>
          </w:p>
        </w:tc>
        <w:tc>
          <w:tcPr>
            <w:tcW w:type="dxa" w:w="1176"/>
            <w:shd w:fill="F0F7FF" w:val="clear"/>
          </w:tcPr>
          <w:p>
            <w:pPr>
              <w:spacing w:before="40" w:after="40"/>
            </w:pPr>
            <w:r/>
            <w:r>
              <w:rPr>
                <w:rFonts w:ascii="Calibri" w:hAnsi="Calibri"/>
                <w:b w:val="0"/>
                <w:color w:val="333333"/>
                <w:sz w:val="18"/>
              </w:rPr>
              <w:t>Marketplace</w:t>
            </w:r>
          </w:p>
        </w:tc>
        <w:tc>
          <w:tcPr>
            <w:tcW w:type="dxa" w:w="1176"/>
            <w:shd w:fill="F0F7FF" w:val="clear"/>
          </w:tcPr>
          <w:p>
            <w:pPr>
              <w:spacing w:before="40" w:after="40"/>
            </w:pPr>
            <w:r/>
            <w:r>
              <w:rPr>
                <w:rFonts w:ascii="Calibri" w:hAnsi="Calibri"/>
                <w:b w:val="0"/>
                <w:color w:val="333333"/>
                <w:sz w:val="18"/>
              </w:rPr>
              <w:t>Both</w:t>
            </w:r>
          </w:p>
        </w:tc>
        <w:tc>
          <w:tcPr>
            <w:tcW w:type="dxa" w:w="1176"/>
            <w:shd w:fill="F0F7FF" w:val="clear"/>
          </w:tcPr>
          <w:p>
            <w:pPr>
              <w:spacing w:before="40" w:after="40"/>
            </w:pPr>
            <w:r/>
            <w:r>
              <w:rPr>
                <w:rFonts w:ascii="Calibri" w:hAnsi="Calibri"/>
                <w:b w:val="0"/>
                <w:color w:val="333333"/>
                <w:sz w:val="18"/>
              </w:rPr>
              <w:t>Established trust, 175 countries</w:t>
            </w:r>
          </w:p>
        </w:tc>
        <w:tc>
          <w:tcPr>
            <w:tcW w:type="dxa" w:w="1176"/>
            <w:shd w:fill="F0F7FF" w:val="clear"/>
          </w:tcPr>
          <w:p>
            <w:pPr>
              <w:spacing w:before="40" w:after="40"/>
            </w:pPr>
            <w:r/>
            <w:r>
              <w:rPr>
                <w:rFonts w:ascii="Calibri" w:hAnsi="Calibri"/>
                <w:b w:val="0"/>
                <w:color w:val="333333"/>
                <w:sz w:val="18"/>
              </w:rPr>
              <w:t>5-12% + 3% fees</w:t>
            </w:r>
          </w:p>
        </w:tc>
        <w:tc>
          <w:tcPr>
            <w:tcW w:type="dxa" w:w="1176"/>
            <w:shd w:fill="F0F7FF" w:val="clear"/>
          </w:tcPr>
          <w:p>
            <w:pPr>
              <w:spacing w:before="40" w:after="40"/>
            </w:pPr>
            <w:r/>
            <w:r>
              <w:rPr>
                <w:rFonts w:ascii="Calibri" w:hAnsi="Calibri"/>
                <w:b w:val="0"/>
                <w:color w:val="333333"/>
                <w:sz w:val="18"/>
              </w:rPr>
              <w:t>Yes</w:t>
            </w:r>
          </w:p>
        </w:tc>
        <w:tc>
          <w:tcPr>
            <w:tcW w:type="dxa" w:w="1176"/>
            <w:shd w:fill="F0F7FF" w:val="clear"/>
          </w:tcPr>
          <w:p>
            <w:pPr>
              <w:spacing w:before="40" w:after="40"/>
            </w:pPr>
            <w:r/>
            <w:r>
              <w:rPr>
                <w:rFonts w:ascii="Calibri" w:hAnsi="Calibri"/>
                <w:b w:val="0"/>
                <w:color w:val="333333"/>
                <w:sz w:val="18"/>
              </w:rPr>
              <w:t>No</w:t>
            </w:r>
          </w:p>
        </w:tc>
        <w:tc>
          <w:tcPr>
            <w:tcW w:type="dxa" w:w="1176"/>
            <w:shd w:fill="F0F7FF" w:val="clear"/>
          </w:tcPr>
          <w:p>
            <w:pPr>
              <w:spacing w:before="40" w:after="40"/>
            </w:pPr>
            <w:r/>
            <w:r>
              <w:rPr>
                <w:rFonts w:ascii="Calibri" w:hAnsi="Calibri"/>
                <w:b w:val="0"/>
                <w:color w:val="333333"/>
                <w:sz w:val="18"/>
              </w:rPr>
              <w:t>MEDIUM</w:t>
            </w:r>
          </w:p>
        </w:tc>
      </w:tr>
      <w:tr>
        <w:tc>
          <w:tcPr>
            <w:tcW w:type="dxa" w:w="1176"/>
          </w:tcPr>
          <w:p>
            <w:pPr>
              <w:spacing w:before="40" w:after="40"/>
            </w:pPr>
            <w:r/>
            <w:r>
              <w:rPr>
                <w:rFonts w:ascii="Calibri" w:hAnsi="Calibri"/>
                <w:b w:val="0"/>
                <w:color w:val="333333"/>
                <w:sz w:val="18"/>
              </w:rPr>
              <w:t>UN Partner Portal</w:t>
            </w:r>
          </w:p>
        </w:tc>
        <w:tc>
          <w:tcPr>
            <w:tcW w:type="dxa" w:w="1176"/>
          </w:tcPr>
          <w:p>
            <w:pPr>
              <w:spacing w:before="40" w:after="40"/>
            </w:pPr>
            <w:r/>
            <w:r>
              <w:rPr>
                <w:rFonts w:ascii="Calibri" w:hAnsi="Calibri"/>
                <w:b w:val="0"/>
                <w:color w:val="333333"/>
                <w:sz w:val="18"/>
              </w:rPr>
              <w:t>Due Diligence</w:t>
            </w:r>
          </w:p>
        </w:tc>
        <w:tc>
          <w:tcPr>
            <w:tcW w:type="dxa" w:w="1176"/>
          </w:tcPr>
          <w:p>
            <w:pPr>
              <w:spacing w:before="40" w:after="40"/>
            </w:pPr>
            <w:r/>
            <w:r>
              <w:rPr>
                <w:rFonts w:ascii="Calibri" w:hAnsi="Calibri"/>
                <w:b w:val="0"/>
                <w:color w:val="333333"/>
                <w:sz w:val="18"/>
              </w:rPr>
              <w:t>UN-CSO</w:t>
            </w:r>
          </w:p>
        </w:tc>
        <w:tc>
          <w:tcPr>
            <w:tcW w:type="dxa" w:w="1176"/>
          </w:tcPr>
          <w:p>
            <w:pPr>
              <w:spacing w:before="40" w:after="40"/>
            </w:pPr>
            <w:r/>
            <w:r>
              <w:rPr>
                <w:rFonts w:ascii="Calibri" w:hAnsi="Calibri"/>
                <w:b w:val="0"/>
                <w:color w:val="333333"/>
                <w:sz w:val="18"/>
              </w:rPr>
              <w:t>Free, harmonized across UN system</w:t>
            </w:r>
          </w:p>
        </w:tc>
        <w:tc>
          <w:tcPr>
            <w:tcW w:type="dxa" w:w="1176"/>
          </w:tcPr>
          <w:p>
            <w:pPr>
              <w:spacing w:before="40" w:after="40"/>
            </w:pPr>
            <w:r/>
            <w:r>
              <w:rPr>
                <w:rFonts w:ascii="Calibri" w:hAnsi="Calibri"/>
                <w:b w:val="0"/>
                <w:color w:val="333333"/>
                <w:sz w:val="18"/>
              </w:rPr>
              <w:t>Free</w:t>
            </w:r>
          </w:p>
        </w:tc>
        <w:tc>
          <w:tcPr>
            <w:tcW w:type="dxa" w:w="1176"/>
          </w:tcPr>
          <w:p>
            <w:pPr>
              <w:spacing w:before="40" w:after="40"/>
            </w:pPr>
            <w:r/>
            <w:r>
              <w:rPr>
                <w:rFonts w:ascii="Calibri" w:hAnsi="Calibri"/>
                <w:b w:val="0"/>
                <w:color w:val="333333"/>
                <w:sz w:val="18"/>
              </w:rPr>
              <w:t>Yes</w:t>
            </w:r>
          </w:p>
        </w:tc>
        <w:tc>
          <w:tcPr>
            <w:tcW w:type="dxa" w:w="1176"/>
          </w:tcPr>
          <w:p>
            <w:pPr>
              <w:spacing w:before="40" w:after="40"/>
            </w:pPr>
            <w:r/>
            <w:r>
              <w:rPr>
                <w:rFonts w:ascii="Calibri" w:hAnsi="Calibri"/>
                <w:b w:val="0"/>
                <w:color w:val="333333"/>
                <w:sz w:val="18"/>
              </w:rPr>
              <w:t>No</w:t>
            </w:r>
          </w:p>
        </w:tc>
        <w:tc>
          <w:tcPr>
            <w:tcW w:type="dxa" w:w="1176"/>
          </w:tcPr>
          <w:p>
            <w:pPr>
              <w:spacing w:before="40" w:after="40"/>
            </w:pPr>
            <w:r/>
            <w:r>
              <w:rPr>
                <w:rFonts w:ascii="Calibri" w:hAnsi="Calibri"/>
                <w:b w:val="0"/>
                <w:color w:val="333333"/>
                <w:sz w:val="18"/>
              </w:rPr>
              <w:t>MEDIUM</w:t>
            </w:r>
          </w:p>
        </w:tc>
      </w:tr>
      <w:tr>
        <w:tc>
          <w:tcPr>
            <w:tcW w:type="dxa" w:w="1176"/>
            <w:shd w:fill="F0F7FF" w:val="clear"/>
          </w:tcPr>
          <w:p>
            <w:pPr>
              <w:spacing w:before="40" w:after="40"/>
            </w:pPr>
            <w:r/>
            <w:r>
              <w:rPr>
                <w:rFonts w:ascii="Calibri" w:hAnsi="Calibri"/>
                <w:b w:val="0"/>
                <w:color w:val="333333"/>
                <w:sz w:val="18"/>
              </w:rPr>
              <w:t>TechSoup STEP</w:t>
            </w:r>
          </w:p>
        </w:tc>
        <w:tc>
          <w:tcPr>
            <w:tcW w:type="dxa" w:w="1176"/>
            <w:shd w:fill="F0F7FF" w:val="clear"/>
          </w:tcPr>
          <w:p>
            <w:pPr>
              <w:spacing w:before="40" w:after="40"/>
            </w:pPr>
            <w:r/>
            <w:r>
              <w:rPr>
                <w:rFonts w:ascii="Calibri" w:hAnsi="Calibri"/>
                <w:b w:val="0"/>
                <w:color w:val="333333"/>
                <w:sz w:val="18"/>
              </w:rPr>
              <w:t>Assessment</w:t>
            </w:r>
          </w:p>
        </w:tc>
        <w:tc>
          <w:tcPr>
            <w:tcW w:type="dxa" w:w="1176"/>
            <w:shd w:fill="F0F7FF" w:val="clear"/>
          </w:tcPr>
          <w:p>
            <w:pPr>
              <w:spacing w:before="40" w:after="40"/>
            </w:pPr>
            <w:r/>
            <w:r>
              <w:rPr>
                <w:rFonts w:ascii="Calibri" w:hAnsi="Calibri"/>
                <w:b w:val="0"/>
                <w:color w:val="333333"/>
                <w:sz w:val="18"/>
              </w:rPr>
              <w:t>Both</w:t>
            </w:r>
          </w:p>
        </w:tc>
        <w:tc>
          <w:tcPr>
            <w:tcW w:type="dxa" w:w="1176"/>
            <w:shd w:fill="F0F7FF" w:val="clear"/>
          </w:tcPr>
          <w:p>
            <w:pPr>
              <w:spacing w:before="40" w:after="40"/>
            </w:pPr>
            <w:r/>
            <w:r>
              <w:rPr>
                <w:rFonts w:ascii="Calibri" w:hAnsi="Calibri"/>
                <w:b w:val="0"/>
                <w:color w:val="333333"/>
                <w:sz w:val="18"/>
              </w:rPr>
              <w:t>Comprehensive organizational assessment</w:t>
            </w:r>
          </w:p>
        </w:tc>
        <w:tc>
          <w:tcPr>
            <w:tcW w:type="dxa" w:w="1176"/>
            <w:shd w:fill="F0F7FF" w:val="clear"/>
          </w:tcPr>
          <w:p>
            <w:pPr>
              <w:spacing w:before="40" w:after="40"/>
            </w:pPr>
            <w:r/>
            <w:r>
              <w:rPr>
                <w:rFonts w:ascii="Calibri" w:hAnsi="Calibri"/>
                <w:b w:val="0"/>
                <w:color w:val="333333"/>
                <w:sz w:val="18"/>
              </w:rPr>
              <w:t>Contact</w:t>
            </w:r>
          </w:p>
        </w:tc>
        <w:tc>
          <w:tcPr>
            <w:tcW w:type="dxa" w:w="1176"/>
            <w:shd w:fill="F0F7FF" w:val="clear"/>
          </w:tcPr>
          <w:p>
            <w:pPr>
              <w:spacing w:before="40" w:after="40"/>
            </w:pPr>
            <w:r/>
            <w:r>
              <w:rPr>
                <w:rFonts w:ascii="Calibri" w:hAnsi="Calibri"/>
                <w:b w:val="0"/>
                <w:color w:val="333333"/>
                <w:sz w:val="18"/>
              </w:rPr>
              <w:t>Yes</w:t>
            </w:r>
          </w:p>
        </w:tc>
        <w:tc>
          <w:tcPr>
            <w:tcW w:type="dxa" w:w="1176"/>
            <w:shd w:fill="F0F7FF" w:val="clear"/>
          </w:tcPr>
          <w:p>
            <w:pPr>
              <w:spacing w:before="40" w:after="40"/>
            </w:pPr>
            <w:r/>
            <w:r>
              <w:rPr>
                <w:rFonts w:ascii="Calibri" w:hAnsi="Calibri"/>
                <w:b w:val="0"/>
                <w:color w:val="333333"/>
                <w:sz w:val="18"/>
              </w:rPr>
              <w:t>No</w:t>
            </w:r>
          </w:p>
        </w:tc>
        <w:tc>
          <w:tcPr>
            <w:tcW w:type="dxa" w:w="1176"/>
            <w:shd w:fill="F0F7FF" w:val="clear"/>
          </w:tcPr>
          <w:p>
            <w:pPr>
              <w:spacing w:before="40" w:after="40"/>
            </w:pPr>
            <w:r/>
            <w:r>
              <w:rPr>
                <w:rFonts w:ascii="Calibri" w:hAnsi="Calibri"/>
                <w:b w:val="0"/>
                <w:color w:val="333333"/>
                <w:sz w:val="18"/>
              </w:rPr>
              <w:t>MEDIUM</w:t>
            </w:r>
          </w:p>
        </w:tc>
      </w:tr>
      <w:tr>
        <w:tc>
          <w:tcPr>
            <w:tcW w:type="dxa" w:w="1176"/>
          </w:tcPr>
          <w:p>
            <w:pPr>
              <w:spacing w:before="40" w:after="40"/>
            </w:pPr>
            <w:r/>
            <w:r>
              <w:rPr>
                <w:rFonts w:ascii="Calibri" w:hAnsi="Calibri"/>
                <w:b w:val="0"/>
                <w:color w:val="333333"/>
                <w:sz w:val="18"/>
              </w:rPr>
              <w:t>Xapien</w:t>
            </w:r>
          </w:p>
        </w:tc>
        <w:tc>
          <w:tcPr>
            <w:tcW w:type="dxa" w:w="1176"/>
          </w:tcPr>
          <w:p>
            <w:pPr>
              <w:spacing w:before="40" w:after="40"/>
            </w:pPr>
            <w:r/>
            <w:r>
              <w:rPr>
                <w:rFonts w:ascii="Calibri" w:hAnsi="Calibri"/>
                <w:b w:val="0"/>
                <w:color w:val="333333"/>
                <w:sz w:val="18"/>
              </w:rPr>
              <w:t>Screening</w:t>
            </w:r>
          </w:p>
        </w:tc>
        <w:tc>
          <w:tcPr>
            <w:tcW w:type="dxa" w:w="1176"/>
          </w:tcPr>
          <w:p>
            <w:pPr>
              <w:spacing w:before="40" w:after="40"/>
            </w:pPr>
            <w:r/>
            <w:r>
              <w:rPr>
                <w:rFonts w:ascii="Calibri" w:hAnsi="Calibri"/>
                <w:b w:val="0"/>
                <w:color w:val="333333"/>
                <w:sz w:val="18"/>
              </w:rPr>
              <w:t>Donors</w:t>
            </w:r>
          </w:p>
        </w:tc>
        <w:tc>
          <w:tcPr>
            <w:tcW w:type="dxa" w:w="1176"/>
          </w:tcPr>
          <w:p>
            <w:pPr>
              <w:spacing w:before="40" w:after="40"/>
            </w:pPr>
            <w:r/>
            <w:r>
              <w:rPr>
                <w:rFonts w:ascii="Calibri" w:hAnsi="Calibri"/>
                <w:b w:val="0"/>
                <w:color w:val="333333"/>
                <w:sz w:val="18"/>
              </w:rPr>
              <w:t>True AI (35T pages, 0.5B registries)</w:t>
            </w:r>
          </w:p>
        </w:tc>
        <w:tc>
          <w:tcPr>
            <w:tcW w:type="dxa" w:w="1176"/>
          </w:tcPr>
          <w:p>
            <w:pPr>
              <w:spacing w:before="40" w:after="40"/>
            </w:pPr>
            <w:r/>
            <w:r>
              <w:rPr>
                <w:rFonts w:ascii="Calibri" w:hAnsi="Calibri"/>
                <w:b w:val="0"/>
                <w:color w:val="333333"/>
                <w:sz w:val="18"/>
              </w:rPr>
              <w:t>Subscription</w:t>
            </w:r>
          </w:p>
        </w:tc>
        <w:tc>
          <w:tcPr>
            <w:tcW w:type="dxa" w:w="1176"/>
          </w:tcPr>
          <w:p>
            <w:pPr>
              <w:spacing w:before="40" w:after="40"/>
            </w:pPr>
            <w:r/>
            <w:r>
              <w:rPr>
                <w:rFonts w:ascii="Calibri" w:hAnsi="Calibri"/>
                <w:b w:val="0"/>
                <w:color w:val="333333"/>
                <w:sz w:val="18"/>
              </w:rPr>
              <w:t>Partial</w:t>
            </w:r>
          </w:p>
        </w:tc>
        <w:tc>
          <w:tcPr>
            <w:tcW w:type="dxa" w:w="1176"/>
          </w:tcPr>
          <w:p>
            <w:pPr>
              <w:spacing w:before="40" w:after="40"/>
            </w:pPr>
            <w:r/>
            <w:r>
              <w:rPr>
                <w:rFonts w:ascii="Calibri" w:hAnsi="Calibri"/>
                <w:b w:val="0"/>
                <w:color w:val="333333"/>
                <w:sz w:val="18"/>
              </w:rPr>
              <w:t>Yes</w:t>
            </w:r>
          </w:p>
        </w:tc>
        <w:tc>
          <w:tcPr>
            <w:tcW w:type="dxa" w:w="1176"/>
          </w:tcPr>
          <w:p>
            <w:pPr>
              <w:spacing w:before="40" w:after="40"/>
            </w:pPr>
            <w:r/>
            <w:r>
              <w:rPr>
                <w:rFonts w:ascii="Calibri" w:hAnsi="Calibri"/>
                <w:b w:val="0"/>
                <w:color w:val="333333"/>
                <w:sz w:val="18"/>
              </w:rPr>
              <w:t>LOW</w:t>
            </w:r>
          </w:p>
        </w:tc>
      </w:tr>
    </w:tbl>
    <w:p/>
    <w:p>
      <w:pPr>
        <w:pStyle w:val="Heading3"/>
        <w:spacing w:before="200" w:after="80"/>
      </w:pPr>
      <w:r>
        <w:rPr>
          <w:rFonts w:ascii="Calibri" w:hAnsi="Calibri"/>
          <w:color w:val="1E40AF"/>
          <w:sz w:val="24"/>
        </w:rPr>
        <w:t>Fluxx (HIGH THREAT)</w:t>
      </w:r>
    </w:p>
    <w:p>
      <w:pPr>
        <w:pStyle w:val="ListBullet"/>
        <w:spacing w:after="60" w:line="300" w:lineRule="exact"/>
      </w:pPr>
      <w:r>
        <w:rPr>
          <w:rFonts w:ascii="Calibri" w:hAnsi="Calibri"/>
          <w:color w:val="333333"/>
          <w:sz w:val="21"/>
        </w:rPr>
        <w:t>Strengths: Most comprehensive donor-side lifecycle management, Grantelligence AI analytics, TAG 2024 top choice</w:t>
      </w:r>
    </w:p>
    <w:p>
      <w:pPr>
        <w:pStyle w:val="ListBullet"/>
        <w:spacing w:after="60" w:line="300" w:lineRule="exact"/>
      </w:pPr>
      <w:r>
        <w:rPr>
          <w:rFonts w:ascii="Calibri" w:hAnsi="Calibri"/>
          <w:color w:val="333333"/>
          <w:sz w:val="21"/>
        </w:rPr>
        <w:t>Weaknesses: Enterprise-only pricing excludes Global South CSOs, no marketplace or capacity assessment, no NGO-facing tools, US/Europe focus only</w:t>
      </w:r>
    </w:p>
    <w:p>
      <w:pPr>
        <w:pStyle w:val="ListBullet"/>
        <w:spacing w:after="60" w:line="300" w:lineRule="exact"/>
      </w:pPr>
      <w:r>
        <w:rPr>
          <w:rFonts w:ascii="Calibri" w:hAnsi="Calibri"/>
          <w:color w:val="333333"/>
          <w:sz w:val="21"/>
        </w:rPr>
        <w:t>Recent: Fluxx Grantseeker added (free/premium tiers), but separate product from Grantmaker with limited integration</w:t>
      </w:r>
    </w:p>
    <w:p>
      <w:pPr>
        <w:pStyle w:val="Heading3"/>
        <w:spacing w:before="200" w:after="80"/>
      </w:pPr>
      <w:r>
        <w:rPr>
          <w:rFonts w:ascii="Calibri" w:hAnsi="Calibri"/>
          <w:color w:val="1E40AF"/>
          <w:sz w:val="24"/>
        </w:rPr>
        <w:t>Submittable (HIGH THREAT)</w:t>
      </w:r>
    </w:p>
    <w:p>
      <w:pPr>
        <w:pStyle w:val="ListBullet"/>
        <w:spacing w:after="60" w:line="300" w:lineRule="exact"/>
      </w:pPr>
      <w:r>
        <w:rPr>
          <w:rFonts w:ascii="Calibri" w:hAnsi="Calibri"/>
          <w:color w:val="333333"/>
          <w:sz w:val="21"/>
        </w:rPr>
        <w:t>Strengths: Massive scale (25M applications processed, 145K programs), strong brand recognition, growing AI capabilities</w:t>
      </w:r>
    </w:p>
    <w:p>
      <w:pPr>
        <w:pStyle w:val="ListBullet"/>
        <w:spacing w:after="60" w:line="300" w:lineRule="exact"/>
      </w:pPr>
      <w:r>
        <w:rPr>
          <w:rFonts w:ascii="Calibri" w:hAnsi="Calibri"/>
          <w:color w:val="333333"/>
          <w:sz w:val="21"/>
        </w:rPr>
        <w:t>Weaknesses: Application-focused only (no discovery, no assessment, no ERP), no Global South presence, pricing starts ~$5K/yr</w:t>
      </w:r>
    </w:p>
    <w:p>
      <w:pPr>
        <w:pStyle w:val="ListBullet"/>
        <w:spacing w:after="60" w:line="300" w:lineRule="exact"/>
      </w:pPr>
      <w:r>
        <w:rPr>
          <w:rFonts w:ascii="Calibri" w:hAnsi="Calibri"/>
          <w:color w:val="333333"/>
          <w:sz w:val="21"/>
        </w:rPr>
        <w:t>Recent: Added AI fraud detection and smart form features</w:t>
      </w:r>
    </w:p>
    <w:p>
      <w:pPr>
        <w:pStyle w:val="Heading3"/>
        <w:spacing w:before="200" w:after="80"/>
      </w:pPr>
      <w:r>
        <w:rPr>
          <w:rFonts w:ascii="Calibri" w:hAnsi="Calibri"/>
          <w:color w:val="1E40AF"/>
          <w:sz w:val="24"/>
        </w:rPr>
        <w:t>SmartSimple (MEDIUM THREAT)</w:t>
      </w:r>
    </w:p>
    <w:p>
      <w:pPr>
        <w:pStyle w:val="ListBullet"/>
        <w:spacing w:after="60" w:line="300" w:lineRule="exact"/>
      </w:pPr>
      <w:r>
        <w:rPr>
          <w:rFonts w:ascii="Calibri" w:hAnsi="Calibri"/>
          <w:color w:val="333333"/>
          <w:sz w:val="21"/>
        </w:rPr>
        <w:t>Strengths: Extremely configurable, 45+ languages, merged with Foundant Technologies (Aug 2024), launched +AI in 2023</w:t>
      </w:r>
    </w:p>
    <w:p>
      <w:pPr>
        <w:pStyle w:val="ListBullet"/>
        <w:spacing w:after="60" w:line="300" w:lineRule="exact"/>
      </w:pPr>
      <w:r>
        <w:rPr>
          <w:rFonts w:ascii="Calibri" w:hAnsi="Calibri"/>
          <w:color w:val="333333"/>
          <w:sz w:val="21"/>
        </w:rPr>
        <w:t>Weaknesses: Complex implementation, enterprise sales cycle, limited Global South focus despite language support</w:t>
      </w:r>
    </w:p>
    <w:p>
      <w:pPr>
        <w:pStyle w:val="ListBullet"/>
        <w:spacing w:after="60" w:line="300" w:lineRule="exact"/>
      </w:pPr>
      <w:r>
        <w:rPr>
          <w:rFonts w:ascii="Calibri" w:hAnsi="Calibri"/>
          <w:color w:val="333333"/>
          <w:sz w:val="21"/>
        </w:rPr>
        <w:t>Recent: SmartSimple Cloud +AI launched; Foundant merger creates largest grantmaking software company</w:t>
      </w:r>
    </w:p>
    <w:p>
      <w:pPr>
        <w:pStyle w:val="Heading3"/>
        <w:spacing w:before="200" w:after="80"/>
      </w:pPr>
      <w:r>
        <w:rPr>
          <w:rFonts w:ascii="Calibri" w:hAnsi="Calibri"/>
          <w:color w:val="1E40AF"/>
          <w:sz w:val="24"/>
        </w:rPr>
        <w:t>GlobalGiving (MEDIUM THREAT)</w:t>
      </w:r>
    </w:p>
    <w:p>
      <w:pPr>
        <w:pStyle w:val="ListBullet"/>
        <w:spacing w:after="60" w:line="300" w:lineRule="exact"/>
      </w:pPr>
      <w:r>
        <w:rPr>
          <w:rFonts w:ascii="Calibri" w:hAnsi="Calibri"/>
          <w:color w:val="333333"/>
          <w:sz w:val="21"/>
        </w:rPr>
        <w:t>Strengths: Established marketplace trusted in 175 countries, strong brand in development sector</w:t>
      </w:r>
    </w:p>
    <w:p>
      <w:pPr>
        <w:pStyle w:val="ListBullet"/>
        <w:spacing w:after="60" w:line="300" w:lineRule="exact"/>
      </w:pPr>
      <w:r>
        <w:rPr>
          <w:rFonts w:ascii="Calibri" w:hAnsi="Calibri"/>
          <w:color w:val="333333"/>
          <w:sz w:val="21"/>
        </w:rPr>
        <w:t>Weaknesses: Discovery-only (no grant management, no assessment, no AI), 5-12% + 3% fee structure reduces net funding to NGOs</w:t>
      </w:r>
    </w:p>
    <w:p>
      <w:pPr>
        <w:pStyle w:val="ListBullet"/>
        <w:spacing w:after="60" w:line="300" w:lineRule="exact"/>
      </w:pPr>
      <w:r>
        <w:rPr>
          <w:rFonts w:ascii="Calibri" w:hAnsi="Calibri"/>
          <w:color w:val="333333"/>
          <w:sz w:val="21"/>
        </w:rPr>
        <w:t>Differentiation: Kuja offers full lifecycle vs. GlobalGiving’s discovery-only model</w:t>
      </w:r>
    </w:p>
    <w:p>
      <w:pPr>
        <w:pStyle w:val="Heading3"/>
        <w:spacing w:before="200" w:after="80"/>
      </w:pPr>
      <w:r>
        <w:rPr>
          <w:rFonts w:ascii="Calibri" w:hAnsi="Calibri"/>
          <w:color w:val="1E40AF"/>
          <w:sz w:val="24"/>
        </w:rPr>
        <w:t>UN Partner Portal (MEDIUM THREAT)</w:t>
      </w:r>
    </w:p>
    <w:p>
      <w:pPr>
        <w:pStyle w:val="ListBullet"/>
        <w:spacing w:after="60" w:line="300" w:lineRule="exact"/>
      </w:pPr>
      <w:r>
        <w:rPr>
          <w:rFonts w:ascii="Calibri" w:hAnsi="Calibri"/>
          <w:color w:val="333333"/>
          <w:sz w:val="21"/>
        </w:rPr>
        <w:t>Strengths: Free, harmonized across UN system, mandatory for UN partnerships</w:t>
      </w:r>
    </w:p>
    <w:p>
      <w:pPr>
        <w:pStyle w:val="ListBullet"/>
        <w:spacing w:after="60" w:line="300" w:lineRule="exact"/>
      </w:pPr>
      <w:r>
        <w:rPr>
          <w:rFonts w:ascii="Calibri" w:hAnsi="Calibri"/>
          <w:color w:val="333333"/>
          <w:sz w:val="21"/>
        </w:rPr>
        <w:t>Weaknesses: UN-only ecosystem (not useful for bilateral/private donors), rigid processes, no marketplace, no AI, no ERP</w:t>
      </w:r>
    </w:p>
    <w:p>
      <w:pPr>
        <w:pStyle w:val="ListBullet"/>
        <w:spacing w:after="60" w:line="300" w:lineRule="exact"/>
      </w:pPr>
      <w:r>
        <w:rPr>
          <w:rFonts w:ascii="Calibri" w:hAnsi="Calibri"/>
          <w:color w:val="333333"/>
          <w:sz w:val="21"/>
        </w:rPr>
        <w:t>Note: Complementary — Kuja’s HACT framework aligns with UNPP requirements</w:t>
      </w:r>
    </w:p>
    <w:p>
      <w:pPr>
        <w:pStyle w:val="Heading3"/>
        <w:spacing w:before="200" w:after="80"/>
      </w:pPr>
      <w:r>
        <w:rPr>
          <w:rFonts w:ascii="Calibri" w:hAnsi="Calibri"/>
          <w:color w:val="1E40AF"/>
          <w:sz w:val="24"/>
        </w:rPr>
        <w:t>TechSoup STEP (MEDIUM THREAT)</w:t>
      </w:r>
    </w:p>
    <w:p>
      <w:pPr>
        <w:pStyle w:val="ListBullet"/>
        <w:spacing w:after="60" w:line="300" w:lineRule="exact"/>
      </w:pPr>
      <w:r>
        <w:rPr>
          <w:rFonts w:ascii="Calibri" w:hAnsi="Calibri"/>
          <w:color w:val="333333"/>
          <w:sz w:val="21"/>
        </w:rPr>
        <w:t>Strengths: Comprehensive organizational assessment, strong nonprofit sector credibility, global reach</w:t>
      </w:r>
    </w:p>
    <w:p>
      <w:pPr>
        <w:pStyle w:val="ListBullet"/>
        <w:spacing w:after="60" w:line="300" w:lineRule="exact"/>
      </w:pPr>
      <w:r>
        <w:rPr>
          <w:rFonts w:ascii="Calibri" w:hAnsi="Calibri"/>
          <w:color w:val="333333"/>
          <w:sz w:val="21"/>
        </w:rPr>
        <w:t>Weaknesses: Assessment-only (no grant management, no marketplace, no ERP), limited AI, separate from any grant workflow</w:t>
      </w:r>
    </w:p>
    <w:p>
      <w:pPr>
        <w:pStyle w:val="ListBullet"/>
        <w:spacing w:after="60" w:line="300" w:lineRule="exact"/>
      </w:pPr>
      <w:r>
        <w:rPr>
          <w:rFonts w:ascii="Calibri" w:hAnsi="Calibri"/>
          <w:color w:val="333333"/>
          <w:sz w:val="21"/>
        </w:rPr>
        <w:t>Note: Kuja’s assessment module is a superset (5 frameworks including alignment with STEP methodology)</w:t>
      </w:r>
    </w:p>
    <w:p>
      <w:r>
        <w:br w:type="page"/>
      </w:r>
    </w:p>
    <w:p>
      <w:pPr>
        <w:pStyle w:val="Heading1"/>
        <w:spacing w:before="360" w:after="160"/>
      </w:pPr>
      <w:r>
        <w:rPr>
          <w:rFonts w:ascii="Calibri" w:hAnsi="Calibri"/>
          <w:color w:val="1E40AF"/>
        </w:rPr>
        <w:t>5. Feature Comparison Matrix</w:t>
      </w:r>
    </w:p>
    <w:p>
      <w:pPr>
        <w:spacing w:after="120" w:line="300" w:lineRule="exact"/>
      </w:pPr>
      <w:r>
        <w:rPr>
          <w:rFonts w:ascii="Calibri" w:hAnsi="Calibri"/>
          <w:b w:val="0"/>
          <w:i/>
          <w:color w:val="333333"/>
          <w:sz w:val="21"/>
        </w:rPr>
        <w:t>Y = Yes (fully supported), P = Partial (limited support), — = Not available.</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941"/>
        <w:gridCol w:w="941"/>
        <w:gridCol w:w="941"/>
        <w:gridCol w:w="941"/>
        <w:gridCol w:w="941"/>
        <w:gridCol w:w="941"/>
        <w:gridCol w:w="941"/>
        <w:gridCol w:w="941"/>
        <w:gridCol w:w="941"/>
        <w:gridCol w:w="941"/>
      </w:tblGrid>
      <w:tr>
        <w:tc>
          <w:tcPr>
            <w:tcW w:type="dxa" w:w="941"/>
            <w:shd w:fill="1E40AF" w:val="clear"/>
          </w:tcPr>
          <w:p>
            <w:pPr>
              <w:spacing w:before="40" w:after="40"/>
            </w:pPr>
            <w:r/>
            <w:r>
              <w:rPr>
                <w:rFonts w:ascii="Calibri" w:hAnsi="Calibri"/>
                <w:b/>
                <w:color w:val="FFFFFF"/>
                <w:sz w:val="15"/>
              </w:rPr>
              <w:t>Feature</w:t>
            </w:r>
          </w:p>
        </w:tc>
        <w:tc>
          <w:tcPr>
            <w:tcW w:type="dxa" w:w="941"/>
            <w:shd w:fill="1E40AF" w:val="clear"/>
          </w:tcPr>
          <w:p>
            <w:pPr>
              <w:spacing w:before="40" w:after="40"/>
            </w:pPr>
            <w:r/>
            <w:r>
              <w:rPr>
                <w:rFonts w:ascii="Calibri" w:hAnsi="Calibri"/>
                <w:b/>
                <w:color w:val="FFFFFF"/>
                <w:sz w:val="15"/>
              </w:rPr>
              <w:t>Kuja</w:t>
            </w:r>
          </w:p>
        </w:tc>
        <w:tc>
          <w:tcPr>
            <w:tcW w:type="dxa" w:w="941"/>
            <w:shd w:fill="1E40AF" w:val="clear"/>
          </w:tcPr>
          <w:p>
            <w:pPr>
              <w:spacing w:before="40" w:after="40"/>
            </w:pPr>
            <w:r/>
            <w:r>
              <w:rPr>
                <w:rFonts w:ascii="Calibri" w:hAnsi="Calibri"/>
                <w:b/>
                <w:color w:val="FFFFFF"/>
                <w:sz w:val="15"/>
              </w:rPr>
              <w:t>Fluxx</w:t>
            </w:r>
          </w:p>
        </w:tc>
        <w:tc>
          <w:tcPr>
            <w:tcW w:type="dxa" w:w="941"/>
            <w:shd w:fill="1E40AF" w:val="clear"/>
          </w:tcPr>
          <w:p>
            <w:pPr>
              <w:spacing w:before="40" w:after="40"/>
            </w:pPr>
            <w:r/>
            <w:r>
              <w:rPr>
                <w:rFonts w:ascii="Calibri" w:hAnsi="Calibri"/>
                <w:b/>
                <w:color w:val="FFFFFF"/>
                <w:sz w:val="15"/>
              </w:rPr>
              <w:t>Submittable</w:t>
            </w:r>
          </w:p>
        </w:tc>
        <w:tc>
          <w:tcPr>
            <w:tcW w:type="dxa" w:w="941"/>
            <w:shd w:fill="1E40AF" w:val="clear"/>
          </w:tcPr>
          <w:p>
            <w:pPr>
              <w:spacing w:before="40" w:after="40"/>
            </w:pPr>
            <w:r/>
            <w:r>
              <w:rPr>
                <w:rFonts w:ascii="Calibri" w:hAnsi="Calibri"/>
                <w:b/>
                <w:color w:val="FFFFFF"/>
                <w:sz w:val="15"/>
              </w:rPr>
              <w:t>SmartSimple</w:t>
            </w:r>
          </w:p>
        </w:tc>
        <w:tc>
          <w:tcPr>
            <w:tcW w:type="dxa" w:w="941"/>
            <w:shd w:fill="1E40AF" w:val="clear"/>
          </w:tcPr>
          <w:p>
            <w:pPr>
              <w:spacing w:before="40" w:after="40"/>
            </w:pPr>
            <w:r/>
            <w:r>
              <w:rPr>
                <w:rFonts w:ascii="Calibri" w:hAnsi="Calibri"/>
                <w:b/>
                <w:color w:val="FFFFFF"/>
                <w:sz w:val="15"/>
              </w:rPr>
              <w:t>UNPP</w:t>
            </w:r>
          </w:p>
        </w:tc>
        <w:tc>
          <w:tcPr>
            <w:tcW w:type="dxa" w:w="941"/>
            <w:shd w:fill="1E40AF" w:val="clear"/>
          </w:tcPr>
          <w:p>
            <w:pPr>
              <w:spacing w:before="40" w:after="40"/>
            </w:pPr>
            <w:r/>
            <w:r>
              <w:rPr>
                <w:rFonts w:ascii="Calibri" w:hAnsi="Calibri"/>
                <w:b/>
                <w:color w:val="FFFFFF"/>
                <w:sz w:val="15"/>
              </w:rPr>
              <w:t>STEP</w:t>
            </w:r>
          </w:p>
        </w:tc>
        <w:tc>
          <w:tcPr>
            <w:tcW w:type="dxa" w:w="941"/>
            <w:shd w:fill="1E40AF" w:val="clear"/>
          </w:tcPr>
          <w:p>
            <w:pPr>
              <w:spacing w:before="40" w:after="40"/>
            </w:pPr>
            <w:r/>
            <w:r>
              <w:rPr>
                <w:rFonts w:ascii="Calibri" w:hAnsi="Calibri"/>
                <w:b/>
                <w:color w:val="FFFFFF"/>
                <w:sz w:val="15"/>
              </w:rPr>
              <w:t>Xapien</w:t>
            </w:r>
          </w:p>
        </w:tc>
        <w:tc>
          <w:tcPr>
            <w:tcW w:type="dxa" w:w="941"/>
            <w:shd w:fill="1E40AF" w:val="clear"/>
          </w:tcPr>
          <w:p>
            <w:pPr>
              <w:spacing w:before="40" w:after="40"/>
            </w:pPr>
            <w:r/>
            <w:r>
              <w:rPr>
                <w:rFonts w:ascii="Calibri" w:hAnsi="Calibri"/>
                <w:b/>
                <w:color w:val="FFFFFF"/>
                <w:sz w:val="15"/>
              </w:rPr>
              <w:t>GlobalGiving</w:t>
            </w:r>
          </w:p>
        </w:tc>
        <w:tc>
          <w:tcPr>
            <w:tcW w:type="dxa" w:w="941"/>
            <w:shd w:fill="1E40AF" w:val="clear"/>
          </w:tcPr>
          <w:p>
            <w:pPr>
              <w:spacing w:before="40" w:after="40"/>
            </w:pPr>
            <w:r/>
            <w:r>
              <w:rPr>
                <w:rFonts w:ascii="Calibri" w:hAnsi="Calibri"/>
                <w:b/>
                <w:color w:val="FFFFFF"/>
                <w:sz w:val="15"/>
              </w:rPr>
              <w:t>Instrumentl</w:t>
            </w:r>
          </w:p>
        </w:tc>
      </w:tr>
      <w:tr>
        <w:tc>
          <w:tcPr>
            <w:tcW w:type="dxa" w:w="941"/>
          </w:tcPr>
          <w:p>
            <w:pPr>
              <w:spacing w:before="40" w:after="40"/>
            </w:pPr>
            <w:r/>
            <w:r>
              <w:rPr>
                <w:rFonts w:ascii="Calibri" w:hAnsi="Calibri"/>
                <w:b w:val="0"/>
                <w:color w:val="333333"/>
                <w:sz w:val="15"/>
              </w:rPr>
              <w:t>Self-Service Digital Platform</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r>
      <w:tr>
        <w:tc>
          <w:tcPr>
            <w:tcW w:type="dxa" w:w="941"/>
            <w:shd w:fill="F0F7FF" w:val="clear"/>
          </w:tcPr>
          <w:p>
            <w:pPr>
              <w:spacing w:before="40" w:after="40"/>
            </w:pPr>
            <w:r/>
            <w:r>
              <w:rPr>
                <w:rFonts w:ascii="Calibri" w:hAnsi="Calibri"/>
                <w:b w:val="0"/>
                <w:color w:val="333333"/>
                <w:sz w:val="15"/>
              </w:rPr>
              <w:t>Embedded AI Intelligence (action-oriented, grounded, traceable)</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P</w:t>
            </w:r>
          </w:p>
        </w:tc>
      </w:tr>
      <w:tr>
        <w:tc>
          <w:tcPr>
            <w:tcW w:type="dxa" w:w="941"/>
          </w:tcPr>
          <w:p>
            <w:pPr>
              <w:spacing w:before="40" w:after="40"/>
            </w:pPr>
            <w:r/>
            <w:r>
              <w:rPr>
                <w:rFonts w:ascii="Calibri" w:hAnsi="Calibri"/>
                <w:b w:val="0"/>
                <w:color w:val="333333"/>
                <w:sz w:val="15"/>
              </w:rPr>
              <w:t>Two-Pillar Organisation Trust Profile</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Multi-Framework Capacity Assessment</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Capacity Passporting (one assessment, many frameworks)</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Custom Donor Framework Builder</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Two-Sided Marketplace</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Match Scoring with Top-Strength / Top-Blocker</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P</w:t>
            </w:r>
          </w:p>
        </w:tc>
      </w:tr>
      <w:tr>
        <w:tc>
          <w:tcPr>
            <w:tcW w:type="dxa" w:w="941"/>
          </w:tcPr>
          <w:p>
            <w:pPr>
              <w:spacing w:before="40" w:after="40"/>
            </w:pPr>
            <w:r/>
            <w:r>
              <w:rPr>
                <w:rFonts w:ascii="Calibri" w:hAnsi="Calibri"/>
                <w:b w:val="0"/>
                <w:color w:val="333333"/>
                <w:sz w:val="15"/>
              </w:rPr>
              <w:t>Two Paths to Create a Grant (prompt OR PDF extract)</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AI Application Co-Author with Provenance</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Real-Time Document Scoring on Upload</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Donor-Aware Document Analysis</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Pre-Submission Readiness + Compliance Pre-Empt</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Reviewer One-Screen Summary + Evidence Extraction</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Sanctions / AML / CTF Screening</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Government Registry &amp; Standing Verification</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Tax-Exempt Status Verification per Country</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Beneficial Ownership Transparency + COI Check</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Adverse Media Monitoring (daily, AI-classified)</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AI Compliance Calendar + Proactive Reminders</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AI Report Drafting from Prior Data</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Donor-Perspective Report Pre-Flight</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4-Pillar Compliance Health Score</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Trajectory Forecast + Slips-in-N-Days Warning</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Risk Register with Owner + Due Date</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Organisational Memory + Provenance Ledger</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Structured @mention Collaboration + Web Push</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Six-Language Native UI (EN/AR/FR/SW/SO/ES) with Role-Aware Tone</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Mobile-First Progressive Web App</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r>
      <w:tr>
        <w:tc>
          <w:tcPr>
            <w:tcW w:type="dxa" w:w="941"/>
            <w:shd w:fill="F0F7FF" w:val="clear"/>
          </w:tcPr>
          <w:p>
            <w:pPr>
              <w:spacing w:before="40" w:after="40"/>
            </w:pPr>
            <w:r/>
            <w:r>
              <w:rPr>
                <w:rFonts w:ascii="Calibri" w:hAnsi="Calibri"/>
                <w:b w:val="0"/>
                <w:color w:val="333333"/>
                <w:sz w:val="15"/>
              </w:rPr>
              <w:t>Offline-First with Background Sync</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Donor Configuration of Criteria + Weights</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Grant Application Portal</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Review &amp; Award Workflow</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ERP Integration (Odoo)</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Multi-Tenancy</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Tamper-Evident Audit Chain</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Hard-Enforceable Admin 2FA</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AI Surface Health + Cost Forecast (admin)</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Free Tier for CSOs</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Global South Design</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w:t>
            </w:r>
          </w:p>
        </w:tc>
      </w:tr>
    </w:tbl>
    <w:p/>
    <w:p>
      <w:pPr>
        <w:spacing w:after="120" w:line="300" w:lineRule="exact"/>
      </w:pPr>
      <w:r>
        <w:rPr>
          <w:rFonts w:ascii="Calibri" w:hAnsi="Calibri"/>
          <w:b w:val="0"/>
          <w:i/>
          <w:color w:val="333333"/>
          <w:sz w:val="21"/>
        </w:rPr>
        <w:t>Kuja delivers full support (Y) across every row, including 17 differentiators not offered by any competitor: two-pillar trust profile, capacity passporting, custom donor framework builder, two-path grant creation, AI application co-author with provenance, real-time document scoring, pre-submission readiness, reviewer one-screen summary, tax-exempt verification, beneficial-ownership transparency, AI compliance calendar, AI report drafting, donor-perspective pre-flight, 4-pillar compliance health, slips-in-N-days trajectory forecast, organisational memory, structured collaboration with web push, six-language native UI with role-aware tone, offline-first PWA, and admin AI surface health monitoring. The closest competitor on legacy features (Fluxx) does not offer any of these differentiators; SmartSimple offers partial parity on two. No competitor combines marketplace + two-pillar trust profile + embedded AI intelligence in a single Global-South-first platform.</w:t>
      </w:r>
    </w:p>
    <w:p>
      <w:r>
        <w:br w:type="page"/>
      </w:r>
    </w:p>
    <w:p>
      <w:pPr>
        <w:pStyle w:val="Heading1"/>
        <w:spacing w:before="360" w:after="160"/>
      </w:pPr>
      <w:r>
        <w:rPr>
          <w:rFonts w:ascii="Calibri" w:hAnsi="Calibri"/>
          <w:color w:val="1E40AF"/>
        </w:rPr>
        <w:t>6. Market Research &amp; Data</w:t>
      </w:r>
    </w:p>
    <w:p>
      <w:pPr>
        <w:pStyle w:val="Heading2"/>
        <w:spacing w:before="280" w:after="120"/>
      </w:pPr>
      <w:r>
        <w:rPr>
          <w:rFonts w:ascii="Calibri" w:hAnsi="Calibri"/>
          <w:color w:val="0D9488"/>
        </w:rPr>
        <w:t>Market Size</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3135"/>
            <w:shd w:fill="1E40AF" w:val="clear"/>
          </w:tcPr>
          <w:p>
            <w:pPr>
              <w:spacing w:before="40" w:after="40"/>
            </w:pPr>
            <w:r/>
            <w:r>
              <w:rPr>
                <w:rFonts w:ascii="Calibri" w:hAnsi="Calibri"/>
                <w:b/>
                <w:color w:val="FFFFFF"/>
                <w:sz w:val="18"/>
              </w:rPr>
              <w:t>Metric</w:t>
            </w:r>
          </w:p>
        </w:tc>
        <w:tc>
          <w:tcPr>
            <w:tcW w:type="dxa" w:w="3135"/>
            <w:shd w:fill="1E40AF" w:val="clear"/>
          </w:tcPr>
          <w:p>
            <w:pPr>
              <w:spacing w:before="40" w:after="40"/>
            </w:pPr>
            <w:r/>
            <w:r>
              <w:rPr>
                <w:rFonts w:ascii="Calibri" w:hAnsi="Calibri"/>
                <w:b/>
                <w:color w:val="FFFFFF"/>
                <w:sz w:val="18"/>
              </w:rPr>
              <w:t>Value</w:t>
            </w:r>
          </w:p>
        </w:tc>
        <w:tc>
          <w:tcPr>
            <w:tcW w:type="dxa" w:w="3135"/>
            <w:shd w:fill="1E40AF" w:val="clear"/>
          </w:tcPr>
          <w:p>
            <w:pPr>
              <w:spacing w:before="40" w:after="40"/>
            </w:pPr>
            <w:r/>
            <w:r>
              <w:rPr>
                <w:rFonts w:ascii="Calibri" w:hAnsi="Calibri"/>
                <w:b/>
                <w:color w:val="FFFFFF"/>
                <w:sz w:val="18"/>
              </w:rPr>
              <w:t>Source</w:t>
            </w:r>
          </w:p>
        </w:tc>
      </w:tr>
      <w:tr>
        <w:tc>
          <w:tcPr>
            <w:tcW w:type="dxa" w:w="3135"/>
          </w:tcPr>
          <w:p>
            <w:pPr>
              <w:spacing w:before="40" w:after="40"/>
            </w:pPr>
            <w:r/>
            <w:r>
              <w:rPr>
                <w:rFonts w:ascii="Calibri" w:hAnsi="Calibri"/>
                <w:b w:val="0"/>
                <w:color w:val="333333"/>
                <w:sz w:val="18"/>
              </w:rPr>
              <w:t>Global grant management software market (2024)</w:t>
            </w:r>
          </w:p>
        </w:tc>
        <w:tc>
          <w:tcPr>
            <w:tcW w:type="dxa" w:w="3135"/>
          </w:tcPr>
          <w:p>
            <w:pPr>
              <w:spacing w:before="40" w:after="40"/>
            </w:pPr>
            <w:r/>
            <w:r>
              <w:rPr>
                <w:rFonts w:ascii="Calibri" w:hAnsi="Calibri"/>
                <w:b w:val="0"/>
                <w:color w:val="333333"/>
                <w:sz w:val="18"/>
              </w:rPr>
              <w:t>$2.75 billion</w:t>
            </w:r>
          </w:p>
        </w:tc>
        <w:tc>
          <w:tcPr>
            <w:tcW w:type="dxa" w:w="3135"/>
          </w:tcPr>
          <w:p>
            <w:pPr>
              <w:spacing w:before="40" w:after="40"/>
            </w:pPr>
            <w:r/>
            <w:r>
              <w:rPr>
                <w:rFonts w:ascii="Calibri" w:hAnsi="Calibri"/>
                <w:b w:val="0"/>
                <w:color w:val="333333"/>
                <w:sz w:val="18"/>
              </w:rPr>
              <w:t>Grand View Research</w:t>
            </w:r>
          </w:p>
        </w:tc>
      </w:tr>
      <w:tr>
        <w:tc>
          <w:tcPr>
            <w:tcW w:type="dxa" w:w="3135"/>
            <w:shd w:fill="F0F7FF" w:val="clear"/>
          </w:tcPr>
          <w:p>
            <w:pPr>
              <w:spacing w:before="40" w:after="40"/>
            </w:pPr>
            <w:r/>
            <w:r>
              <w:rPr>
                <w:rFonts w:ascii="Calibri" w:hAnsi="Calibri"/>
                <w:b w:val="0"/>
                <w:color w:val="333333"/>
                <w:sz w:val="18"/>
              </w:rPr>
              <w:t>Projected market size (2030)</w:t>
            </w:r>
          </w:p>
        </w:tc>
        <w:tc>
          <w:tcPr>
            <w:tcW w:type="dxa" w:w="3135"/>
            <w:shd w:fill="F0F7FF" w:val="clear"/>
          </w:tcPr>
          <w:p>
            <w:pPr>
              <w:spacing w:before="40" w:after="40"/>
            </w:pPr>
            <w:r/>
            <w:r>
              <w:rPr>
                <w:rFonts w:ascii="Calibri" w:hAnsi="Calibri"/>
                <w:b w:val="0"/>
                <w:color w:val="333333"/>
                <w:sz w:val="18"/>
              </w:rPr>
              <w:t>$4.79 billion</w:t>
            </w:r>
          </w:p>
        </w:tc>
        <w:tc>
          <w:tcPr>
            <w:tcW w:type="dxa" w:w="3135"/>
            <w:shd w:fill="F0F7FF" w:val="clear"/>
          </w:tcPr>
          <w:p>
            <w:pPr>
              <w:spacing w:before="40" w:after="40"/>
            </w:pPr>
            <w:r/>
            <w:r>
              <w:rPr>
                <w:rFonts w:ascii="Calibri" w:hAnsi="Calibri"/>
                <w:b w:val="0"/>
                <w:color w:val="333333"/>
                <w:sz w:val="18"/>
              </w:rPr>
              <w:t>Grand View Research</w:t>
            </w:r>
          </w:p>
        </w:tc>
      </w:tr>
      <w:tr>
        <w:tc>
          <w:tcPr>
            <w:tcW w:type="dxa" w:w="3135"/>
          </w:tcPr>
          <w:p>
            <w:pPr>
              <w:spacing w:before="40" w:after="40"/>
            </w:pPr>
            <w:r/>
            <w:r>
              <w:rPr>
                <w:rFonts w:ascii="Calibri" w:hAnsi="Calibri"/>
                <w:b w:val="0"/>
                <w:color w:val="333333"/>
                <w:sz w:val="18"/>
              </w:rPr>
              <w:t>CAGR (2024-2030)</w:t>
            </w:r>
          </w:p>
        </w:tc>
        <w:tc>
          <w:tcPr>
            <w:tcW w:type="dxa" w:w="3135"/>
          </w:tcPr>
          <w:p>
            <w:pPr>
              <w:spacing w:before="40" w:after="40"/>
            </w:pPr>
            <w:r/>
            <w:r>
              <w:rPr>
                <w:rFonts w:ascii="Calibri" w:hAnsi="Calibri"/>
                <w:b w:val="0"/>
                <w:color w:val="333333"/>
                <w:sz w:val="18"/>
              </w:rPr>
              <w:t>10.3%</w:t>
            </w:r>
          </w:p>
        </w:tc>
        <w:tc>
          <w:tcPr>
            <w:tcW w:type="dxa" w:w="3135"/>
          </w:tcPr>
          <w:p>
            <w:pPr>
              <w:spacing w:before="40" w:after="40"/>
            </w:pPr>
            <w:r/>
            <w:r>
              <w:rPr>
                <w:rFonts w:ascii="Calibri" w:hAnsi="Calibri"/>
                <w:b w:val="0"/>
                <w:color w:val="333333"/>
                <w:sz w:val="18"/>
              </w:rPr>
              <w:t>Grand View Research</w:t>
            </w:r>
          </w:p>
        </w:tc>
      </w:tr>
      <w:tr>
        <w:tc>
          <w:tcPr>
            <w:tcW w:type="dxa" w:w="3135"/>
            <w:shd w:fill="F0F7FF" w:val="clear"/>
          </w:tcPr>
          <w:p>
            <w:pPr>
              <w:spacing w:before="40" w:after="40"/>
            </w:pPr>
            <w:r/>
            <w:r>
              <w:rPr>
                <w:rFonts w:ascii="Calibri" w:hAnsi="Calibri"/>
                <w:b w:val="0"/>
                <w:color w:val="333333"/>
                <w:sz w:val="18"/>
              </w:rPr>
              <w:t>Nonprofit/NGO segment share</w:t>
            </w:r>
          </w:p>
        </w:tc>
        <w:tc>
          <w:tcPr>
            <w:tcW w:type="dxa" w:w="3135"/>
            <w:shd w:fill="F0F7FF" w:val="clear"/>
          </w:tcPr>
          <w:p>
            <w:pPr>
              <w:spacing w:before="40" w:after="40"/>
            </w:pPr>
            <w:r/>
            <w:r>
              <w:rPr>
                <w:rFonts w:ascii="Calibri" w:hAnsi="Calibri"/>
                <w:b w:val="0"/>
                <w:color w:val="333333"/>
                <w:sz w:val="18"/>
              </w:rPr>
              <w:t>58.2%</w:t>
            </w:r>
          </w:p>
        </w:tc>
        <w:tc>
          <w:tcPr>
            <w:tcW w:type="dxa" w:w="3135"/>
            <w:shd w:fill="F0F7FF" w:val="clear"/>
          </w:tcPr>
          <w:p>
            <w:pPr>
              <w:spacing w:before="40" w:after="40"/>
            </w:pPr>
            <w:r/>
            <w:r>
              <w:rPr>
                <w:rFonts w:ascii="Calibri" w:hAnsi="Calibri"/>
                <w:b w:val="0"/>
                <w:color w:val="333333"/>
                <w:sz w:val="18"/>
              </w:rPr>
              <w:t>Grand View Research</w:t>
            </w:r>
          </w:p>
        </w:tc>
      </w:tr>
      <w:tr>
        <w:tc>
          <w:tcPr>
            <w:tcW w:type="dxa" w:w="3135"/>
          </w:tcPr>
          <w:p>
            <w:pPr>
              <w:spacing w:before="40" w:after="40"/>
            </w:pPr>
            <w:r/>
            <w:r>
              <w:rPr>
                <w:rFonts w:ascii="Calibri" w:hAnsi="Calibri"/>
                <w:b w:val="0"/>
                <w:color w:val="333333"/>
                <w:sz w:val="18"/>
              </w:rPr>
              <w:t>Cloud-based deployments</w:t>
            </w:r>
          </w:p>
        </w:tc>
        <w:tc>
          <w:tcPr>
            <w:tcW w:type="dxa" w:w="3135"/>
          </w:tcPr>
          <w:p>
            <w:pPr>
              <w:spacing w:before="40" w:after="40"/>
            </w:pPr>
            <w:r/>
            <w:r>
              <w:rPr>
                <w:rFonts w:ascii="Calibri" w:hAnsi="Calibri"/>
                <w:b w:val="0"/>
                <w:color w:val="333333"/>
                <w:sz w:val="18"/>
              </w:rPr>
              <w:t>65% of new implementations</w:t>
            </w:r>
          </w:p>
        </w:tc>
        <w:tc>
          <w:tcPr>
            <w:tcW w:type="dxa" w:w="3135"/>
          </w:tcPr>
          <w:p>
            <w:pPr>
              <w:spacing w:before="40" w:after="40"/>
            </w:pPr>
            <w:r/>
            <w:r>
              <w:rPr>
                <w:rFonts w:ascii="Calibri" w:hAnsi="Calibri"/>
                <w:b w:val="0"/>
                <w:color w:val="333333"/>
                <w:sz w:val="18"/>
              </w:rPr>
              <w:t>Industry reports</w:t>
            </w:r>
          </w:p>
        </w:tc>
      </w:tr>
      <w:tr>
        <w:tc>
          <w:tcPr>
            <w:tcW w:type="dxa" w:w="3135"/>
            <w:shd w:fill="F0F7FF" w:val="clear"/>
          </w:tcPr>
          <w:p>
            <w:pPr>
              <w:spacing w:before="40" w:after="40"/>
            </w:pPr>
            <w:r/>
            <w:r>
              <w:rPr>
                <w:rFonts w:ascii="Calibri" w:hAnsi="Calibri"/>
                <w:b w:val="0"/>
                <w:color w:val="333333"/>
                <w:sz w:val="18"/>
              </w:rPr>
              <w:t>Nonprofits wanting to expand AI use</w:t>
            </w:r>
          </w:p>
        </w:tc>
        <w:tc>
          <w:tcPr>
            <w:tcW w:type="dxa" w:w="3135"/>
            <w:shd w:fill="F0F7FF" w:val="clear"/>
          </w:tcPr>
          <w:p>
            <w:pPr>
              <w:spacing w:before="40" w:after="40"/>
            </w:pPr>
            <w:r/>
            <w:r>
              <w:rPr>
                <w:rFonts w:ascii="Calibri" w:hAnsi="Calibri"/>
                <w:b w:val="0"/>
                <w:color w:val="333333"/>
                <w:sz w:val="18"/>
              </w:rPr>
              <w:t>90%</w:t>
            </w:r>
          </w:p>
        </w:tc>
        <w:tc>
          <w:tcPr>
            <w:tcW w:type="dxa" w:w="3135"/>
            <w:shd w:fill="F0F7FF" w:val="clear"/>
          </w:tcPr>
          <w:p>
            <w:pPr>
              <w:spacing w:before="40" w:after="40"/>
            </w:pPr>
            <w:r/>
            <w:r>
              <w:rPr>
                <w:rFonts w:ascii="Calibri" w:hAnsi="Calibri"/>
                <w:b w:val="0"/>
                <w:color w:val="333333"/>
                <w:sz w:val="18"/>
              </w:rPr>
              <w:t>CEP "AI With Purpose" (2025)</w:t>
            </w:r>
          </w:p>
        </w:tc>
      </w:tr>
      <w:tr>
        <w:tc>
          <w:tcPr>
            <w:tcW w:type="dxa" w:w="3135"/>
          </w:tcPr>
          <w:p>
            <w:pPr>
              <w:spacing w:before="40" w:after="40"/>
            </w:pPr>
            <w:r/>
            <w:r>
              <w:rPr>
                <w:rFonts w:ascii="Calibri" w:hAnsi="Calibri"/>
                <w:b w:val="0"/>
                <w:color w:val="333333"/>
                <w:sz w:val="18"/>
              </w:rPr>
              <w:t>Foundations wanting to expand AI use</w:t>
            </w:r>
          </w:p>
        </w:tc>
        <w:tc>
          <w:tcPr>
            <w:tcW w:type="dxa" w:w="3135"/>
          </w:tcPr>
          <w:p>
            <w:pPr>
              <w:spacing w:before="40" w:after="40"/>
            </w:pPr>
            <w:r/>
            <w:r>
              <w:rPr>
                <w:rFonts w:ascii="Calibri" w:hAnsi="Calibri"/>
                <w:b w:val="0"/>
                <w:color w:val="333333"/>
                <w:sz w:val="18"/>
              </w:rPr>
              <w:t>94%</w:t>
            </w:r>
          </w:p>
        </w:tc>
        <w:tc>
          <w:tcPr>
            <w:tcW w:type="dxa" w:w="3135"/>
          </w:tcPr>
          <w:p>
            <w:pPr>
              <w:spacing w:before="40" w:after="40"/>
            </w:pPr>
            <w:r/>
            <w:r>
              <w:rPr>
                <w:rFonts w:ascii="Calibri" w:hAnsi="Calibri"/>
                <w:b w:val="0"/>
                <w:color w:val="333333"/>
                <w:sz w:val="18"/>
              </w:rPr>
              <w:t>CEP "AI With Purpose" (2025)</w:t>
            </w:r>
          </w:p>
        </w:tc>
      </w:tr>
    </w:tbl>
    <w:p/>
    <w:p>
      <w:pPr>
        <w:pStyle w:val="Heading2"/>
        <w:spacing w:before="280" w:after="120"/>
      </w:pPr>
      <w:r>
        <w:rPr>
          <w:rFonts w:ascii="Calibri" w:hAnsi="Calibri"/>
          <w:color w:val="0D9488"/>
        </w:rPr>
        <w:t>TAM/SAM/SOM Methodology</w:t>
      </w:r>
    </w:p>
    <w:p>
      <w:pPr>
        <w:pStyle w:val="ListBullet"/>
        <w:spacing w:after="60" w:line="300" w:lineRule="exact"/>
      </w:pPr>
      <w:r>
        <w:rPr>
          <w:rFonts w:ascii="Calibri" w:hAnsi="Calibri"/>
          <w:b/>
          <w:color w:val="333333"/>
          <w:sz w:val="21"/>
        </w:rPr>
        <w:t xml:space="preserve">TAM: </w:t>
      </w:r>
      <w:r>
        <w:rPr>
          <w:rFonts w:ascii="Calibri" w:hAnsi="Calibri"/>
          <w:color w:val="333333"/>
          <w:sz w:val="21"/>
        </w:rPr>
        <w:t>TAM: Full global grant management software market ($2.75B → $4.79B)</w:t>
      </w:r>
    </w:p>
    <w:p>
      <w:pPr>
        <w:pStyle w:val="ListBullet"/>
        <w:spacing w:after="60" w:line="300" w:lineRule="exact"/>
      </w:pPr>
      <w:r>
        <w:rPr>
          <w:rFonts w:ascii="Calibri" w:hAnsi="Calibri"/>
          <w:b/>
          <w:color w:val="333333"/>
          <w:sz w:val="21"/>
        </w:rPr>
        <w:t xml:space="preserve">SAM: </w:t>
      </w:r>
      <w:r>
        <w:rPr>
          <w:rFonts w:ascii="Calibri" w:hAnsi="Calibri"/>
          <w:color w:val="333333"/>
          <w:sz w:val="21"/>
        </w:rPr>
        <w:t>SAM: NGO/nonprofit segment (58.2% = ~$1.6B in 2024, ~$2.79B by 2030). Includes donor-side platforms used for nonprofit grantmaking.</w:t>
      </w:r>
    </w:p>
    <w:p>
      <w:pPr>
        <w:pStyle w:val="ListBullet"/>
        <w:spacing w:after="60" w:line="300" w:lineRule="exact"/>
      </w:pPr>
      <w:r>
        <w:rPr>
          <w:rFonts w:ascii="Calibri" w:hAnsi="Calibri"/>
          <w:b/>
          <w:color w:val="333333"/>
          <w:sz w:val="21"/>
        </w:rPr>
        <w:t xml:space="preserve">SOM: </w:t>
      </w:r>
      <w:r>
        <w:rPr>
          <w:rFonts w:ascii="Calibri" w:hAnsi="Calibri"/>
          <w:color w:val="333333"/>
          <w:sz w:val="21"/>
        </w:rPr>
        <w:t>SOM: Kuja’s realistic Year 1-3 capture based on geographic focus (Africa first), pricing model, and sales capacity. Year 1: $1M. Year 3: $2M+ ARR.</w:t>
      </w:r>
    </w:p>
    <w:p>
      <w:pPr>
        <w:pStyle w:val="Heading2"/>
        <w:spacing w:before="280" w:after="120"/>
      </w:pPr>
      <w:r>
        <w:rPr>
          <w:rFonts w:ascii="Calibri" w:hAnsi="Calibri"/>
          <w:color w:val="0D9488"/>
        </w:rPr>
        <w:t>Sector Trends</w:t>
      </w:r>
    </w:p>
    <w:p>
      <w:pPr>
        <w:pStyle w:val="ListBullet"/>
        <w:spacing w:after="60" w:line="300" w:lineRule="exact"/>
      </w:pPr>
      <w:r>
        <w:rPr>
          <w:rFonts w:ascii="Calibri" w:hAnsi="Calibri"/>
          <w:color w:val="333333"/>
          <w:sz w:val="21"/>
        </w:rPr>
        <w:t>Aid localization: Grand Bargain 2.0 commits 25% direct funding to local actors; actual figure below 5%</w:t>
      </w:r>
    </w:p>
    <w:p>
      <w:pPr>
        <w:pStyle w:val="ListBullet"/>
        <w:spacing w:after="60" w:line="300" w:lineRule="exact"/>
      </w:pPr>
      <w:r>
        <w:rPr>
          <w:rFonts w:ascii="Calibri" w:hAnsi="Calibri"/>
          <w:color w:val="333333"/>
          <w:sz w:val="21"/>
        </w:rPr>
        <w:t>USAID disruption: 83% programs cancelled (March 2025), 81+ NGOs closed field offices, $36B in cuts</w:t>
      </w:r>
    </w:p>
    <w:p>
      <w:pPr>
        <w:pStyle w:val="ListBullet"/>
        <w:spacing w:after="60" w:line="300" w:lineRule="exact"/>
      </w:pPr>
      <w:r>
        <w:rPr>
          <w:rFonts w:ascii="Calibri" w:hAnsi="Calibri"/>
          <w:color w:val="333333"/>
          <w:sz w:val="21"/>
        </w:rPr>
        <w:t>Digital transformation: 65% of new grant management deployments are cloud-based</w:t>
      </w:r>
    </w:p>
    <w:p>
      <w:pPr>
        <w:pStyle w:val="ListBullet"/>
        <w:spacing w:after="60" w:line="300" w:lineRule="exact"/>
      </w:pPr>
      <w:r>
        <w:rPr>
          <w:rFonts w:ascii="Calibri" w:hAnsi="Calibri"/>
          <w:color w:val="333333"/>
          <w:sz w:val="21"/>
        </w:rPr>
        <w:t>AI adoption surge: 92% of nonprofits use AI in some capacity (Virtuous/Fundraising.AI 2026), but 76% lack formal AI strategy (TechSoup 2025)</w:t>
      </w:r>
    </w:p>
    <w:p>
      <w:pPr>
        <w:pStyle w:val="ListBullet"/>
        <w:spacing w:after="60" w:line="300" w:lineRule="exact"/>
      </w:pPr>
      <w:r>
        <w:rPr>
          <w:rFonts w:ascii="Calibri" w:hAnsi="Calibri"/>
          <w:color w:val="333333"/>
          <w:sz w:val="21"/>
        </w:rPr>
        <w:t>Merger activity: SmartSimple + Foundant merger (Aug 2024), Bonterra launched Grantmaker (Feb 2026)</w:t>
      </w:r>
    </w:p>
    <w:p>
      <w:pPr>
        <w:pStyle w:val="ListBullet"/>
        <w:spacing w:after="60" w:line="300" w:lineRule="exact"/>
      </w:pPr>
      <w:r>
        <w:rPr>
          <w:rFonts w:ascii="Calibri" w:hAnsi="Calibri"/>
          <w:color w:val="333333"/>
          <w:sz w:val="21"/>
        </w:rPr>
        <w:t>Assessment standardization: Growing demand for passportable, reusable capacity assessments across donors</w:t>
      </w:r>
    </w:p>
    <w:p>
      <w:pPr>
        <w:pStyle w:val="Heading2"/>
        <w:spacing w:before="280" w:after="120"/>
      </w:pPr>
      <w:r>
        <w:rPr>
          <w:rFonts w:ascii="Calibri" w:hAnsi="Calibri"/>
          <w:color w:val="0D9488"/>
        </w:rPr>
        <w:t>Target Market Segments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3135"/>
            <w:shd w:fill="1E40AF" w:val="clear"/>
          </w:tcPr>
          <w:p>
            <w:pPr>
              <w:spacing w:before="40" w:after="40"/>
            </w:pPr>
            <w:r/>
            <w:r>
              <w:rPr>
                <w:rFonts w:ascii="Calibri" w:hAnsi="Calibri"/>
                <w:b/>
                <w:color w:val="FFFFFF"/>
                <w:sz w:val="18"/>
              </w:rPr>
              <w:t>Segment</w:t>
            </w:r>
          </w:p>
        </w:tc>
        <w:tc>
          <w:tcPr>
            <w:tcW w:type="dxa" w:w="3135"/>
            <w:shd w:fill="1E40AF" w:val="clear"/>
          </w:tcPr>
          <w:p>
            <w:pPr>
              <w:spacing w:before="40" w:after="40"/>
            </w:pPr>
            <w:r/>
            <w:r>
              <w:rPr>
                <w:rFonts w:ascii="Calibri" w:hAnsi="Calibri"/>
                <w:b/>
                <w:color w:val="FFFFFF"/>
                <w:sz w:val="18"/>
              </w:rPr>
              <w:t>Estimated Size</w:t>
            </w:r>
          </w:p>
        </w:tc>
        <w:tc>
          <w:tcPr>
            <w:tcW w:type="dxa" w:w="3135"/>
            <w:shd w:fill="1E40AF" w:val="clear"/>
          </w:tcPr>
          <w:p>
            <w:pPr>
              <w:spacing w:before="40" w:after="40"/>
            </w:pPr>
            <w:r/>
            <w:r>
              <w:rPr>
                <w:rFonts w:ascii="Calibri" w:hAnsi="Calibri"/>
                <w:b/>
                <w:color w:val="FFFFFF"/>
                <w:sz w:val="18"/>
              </w:rPr>
              <w:t>Kuja’s Approach</w:t>
            </w:r>
          </w:p>
        </w:tc>
      </w:tr>
      <w:tr>
        <w:tc>
          <w:tcPr>
            <w:tcW w:type="dxa" w:w="3135"/>
          </w:tcPr>
          <w:p>
            <w:pPr>
              <w:spacing w:before="40" w:after="40"/>
            </w:pPr>
            <w:r/>
            <w:r>
              <w:rPr>
                <w:rFonts w:ascii="Calibri" w:hAnsi="Calibri"/>
                <w:b w:val="0"/>
                <w:color w:val="333333"/>
                <w:sz w:val="18"/>
              </w:rPr>
              <w:t>African CSOs/NGOs</w:t>
            </w:r>
          </w:p>
        </w:tc>
        <w:tc>
          <w:tcPr>
            <w:tcW w:type="dxa" w:w="3135"/>
          </w:tcPr>
          <w:p>
            <w:pPr>
              <w:spacing w:before="40" w:after="40"/>
            </w:pPr>
            <w:r/>
            <w:r>
              <w:rPr>
                <w:rFonts w:ascii="Calibri" w:hAnsi="Calibri"/>
                <w:b w:val="0"/>
                <w:color w:val="333333"/>
                <w:sz w:val="18"/>
              </w:rPr>
              <w:t>100,000+ registered organizations</w:t>
            </w:r>
          </w:p>
        </w:tc>
        <w:tc>
          <w:tcPr>
            <w:tcW w:type="dxa" w:w="3135"/>
          </w:tcPr>
          <w:p>
            <w:pPr>
              <w:spacing w:before="40" w:after="40"/>
            </w:pPr>
            <w:r/>
            <w:r>
              <w:rPr>
                <w:rFonts w:ascii="Calibri" w:hAnsi="Calibri"/>
                <w:b w:val="0"/>
                <w:color w:val="333333"/>
                <w:sz w:val="18"/>
              </w:rPr>
              <w:t>Free tier for marketplace + paid assessment + ERP</w:t>
            </w:r>
          </w:p>
        </w:tc>
      </w:tr>
      <w:tr>
        <w:tc>
          <w:tcPr>
            <w:tcW w:type="dxa" w:w="3135"/>
            <w:shd w:fill="F0F7FF" w:val="clear"/>
          </w:tcPr>
          <w:p>
            <w:pPr>
              <w:spacing w:before="40" w:after="40"/>
            </w:pPr>
            <w:r/>
            <w:r>
              <w:rPr>
                <w:rFonts w:ascii="Calibri" w:hAnsi="Calibri"/>
                <w:b w:val="0"/>
                <w:color w:val="333333"/>
                <w:sz w:val="18"/>
              </w:rPr>
              <w:t>Global South CSOs (incl. LatAm, Asia)</w:t>
            </w:r>
          </w:p>
        </w:tc>
        <w:tc>
          <w:tcPr>
            <w:tcW w:type="dxa" w:w="3135"/>
            <w:shd w:fill="F0F7FF" w:val="clear"/>
          </w:tcPr>
          <w:p>
            <w:pPr>
              <w:spacing w:before="40" w:after="40"/>
            </w:pPr>
            <w:r/>
            <w:r>
              <w:rPr>
                <w:rFonts w:ascii="Calibri" w:hAnsi="Calibri"/>
                <w:b w:val="0"/>
                <w:color w:val="333333"/>
                <w:sz w:val="18"/>
              </w:rPr>
              <w:t>500,000+</w:t>
            </w:r>
          </w:p>
        </w:tc>
        <w:tc>
          <w:tcPr>
            <w:tcW w:type="dxa" w:w="3135"/>
            <w:shd w:fill="F0F7FF" w:val="clear"/>
          </w:tcPr>
          <w:p>
            <w:pPr>
              <w:spacing w:before="40" w:after="40"/>
            </w:pPr>
            <w:r/>
            <w:r>
              <w:rPr>
                <w:rFonts w:ascii="Calibri" w:hAnsi="Calibri"/>
                <w:b w:val="0"/>
                <w:color w:val="333333"/>
                <w:sz w:val="18"/>
              </w:rPr>
              <w:t>Phase 2-3 geographic expansion</w:t>
            </w:r>
          </w:p>
        </w:tc>
      </w:tr>
      <w:tr>
        <w:tc>
          <w:tcPr>
            <w:tcW w:type="dxa" w:w="3135"/>
          </w:tcPr>
          <w:p>
            <w:pPr>
              <w:spacing w:before="40" w:after="40"/>
            </w:pPr>
            <w:r/>
            <w:r>
              <w:rPr>
                <w:rFonts w:ascii="Calibri" w:hAnsi="Calibri"/>
                <w:b w:val="0"/>
                <w:color w:val="333333"/>
                <w:sz w:val="18"/>
              </w:rPr>
              <w:t>Bilateral/multilateral donors</w:t>
            </w:r>
          </w:p>
        </w:tc>
        <w:tc>
          <w:tcPr>
            <w:tcW w:type="dxa" w:w="3135"/>
          </w:tcPr>
          <w:p>
            <w:pPr>
              <w:spacing w:before="40" w:after="40"/>
            </w:pPr>
            <w:r/>
            <w:r>
              <w:rPr>
                <w:rFonts w:ascii="Calibri" w:hAnsi="Calibri"/>
                <w:b w:val="0"/>
                <w:color w:val="333333"/>
                <w:sz w:val="18"/>
              </w:rPr>
              <w:t>50+ major institutions</w:t>
            </w:r>
          </w:p>
        </w:tc>
        <w:tc>
          <w:tcPr>
            <w:tcW w:type="dxa" w:w="3135"/>
          </w:tcPr>
          <w:p>
            <w:pPr>
              <w:spacing w:before="40" w:after="40"/>
            </w:pPr>
            <w:r/>
            <w:r>
              <w:rPr>
                <w:rFonts w:ascii="Calibri" w:hAnsi="Calibri"/>
                <w:b w:val="0"/>
                <w:color w:val="333333"/>
                <w:sz w:val="18"/>
              </w:rPr>
              <w:t>Premium end-to-end solution</w:t>
            </w:r>
          </w:p>
        </w:tc>
      </w:tr>
      <w:tr>
        <w:tc>
          <w:tcPr>
            <w:tcW w:type="dxa" w:w="3135"/>
            <w:shd w:fill="F0F7FF" w:val="clear"/>
          </w:tcPr>
          <w:p>
            <w:pPr>
              <w:spacing w:before="40" w:after="40"/>
            </w:pPr>
            <w:r/>
            <w:r>
              <w:rPr>
                <w:rFonts w:ascii="Calibri" w:hAnsi="Calibri"/>
                <w:b w:val="0"/>
                <w:color w:val="333333"/>
                <w:sz w:val="18"/>
              </w:rPr>
              <w:t>Private foundations</w:t>
            </w:r>
          </w:p>
        </w:tc>
        <w:tc>
          <w:tcPr>
            <w:tcW w:type="dxa" w:w="3135"/>
            <w:shd w:fill="F0F7FF" w:val="clear"/>
          </w:tcPr>
          <w:p>
            <w:pPr>
              <w:spacing w:before="40" w:after="40"/>
            </w:pPr>
            <w:r/>
            <w:r>
              <w:rPr>
                <w:rFonts w:ascii="Calibri" w:hAnsi="Calibri"/>
                <w:b w:val="0"/>
                <w:color w:val="333333"/>
                <w:sz w:val="18"/>
              </w:rPr>
              <w:t>200,000+ globally</w:t>
            </w:r>
          </w:p>
        </w:tc>
        <w:tc>
          <w:tcPr>
            <w:tcW w:type="dxa" w:w="3135"/>
            <w:shd w:fill="F0F7FF" w:val="clear"/>
          </w:tcPr>
          <w:p>
            <w:pPr>
              <w:spacing w:before="40" w:after="40"/>
            </w:pPr>
            <w:r/>
            <w:r>
              <w:rPr>
                <w:rFonts w:ascii="Calibri" w:hAnsi="Calibri"/>
                <w:b w:val="0"/>
                <w:color w:val="333333"/>
                <w:sz w:val="18"/>
              </w:rPr>
              <w:t>Application portal + matching</w:t>
            </w:r>
          </w:p>
        </w:tc>
      </w:tr>
      <w:tr>
        <w:tc>
          <w:tcPr>
            <w:tcW w:type="dxa" w:w="3135"/>
          </w:tcPr>
          <w:p>
            <w:pPr>
              <w:spacing w:before="40" w:after="40"/>
            </w:pPr>
            <w:r/>
            <w:r>
              <w:rPr>
                <w:rFonts w:ascii="Calibri" w:hAnsi="Calibri"/>
                <w:b w:val="0"/>
                <w:color w:val="333333"/>
                <w:sz w:val="18"/>
              </w:rPr>
              <w:t>INGOs seeking local partners</w:t>
            </w:r>
          </w:p>
        </w:tc>
        <w:tc>
          <w:tcPr>
            <w:tcW w:type="dxa" w:w="3135"/>
          </w:tcPr>
          <w:p>
            <w:pPr>
              <w:spacing w:before="40" w:after="40"/>
            </w:pPr>
            <w:r/>
            <w:r>
              <w:rPr>
                <w:rFonts w:ascii="Calibri" w:hAnsi="Calibri"/>
                <w:b w:val="0"/>
                <w:color w:val="333333"/>
                <w:sz w:val="18"/>
              </w:rPr>
              <w:t>1,000+</w:t>
            </w:r>
          </w:p>
        </w:tc>
        <w:tc>
          <w:tcPr>
            <w:tcW w:type="dxa" w:w="3135"/>
          </w:tcPr>
          <w:p>
            <w:pPr>
              <w:spacing w:before="40" w:after="40"/>
            </w:pPr>
            <w:r/>
            <w:r>
              <w:rPr>
                <w:rFonts w:ascii="Calibri" w:hAnsi="Calibri"/>
                <w:b w:val="0"/>
                <w:color w:val="333333"/>
                <w:sz w:val="18"/>
              </w:rPr>
              <w:t>Marketplace + assessment integration</w:t>
            </w:r>
          </w:p>
        </w:tc>
      </w:tr>
    </w:tbl>
    <w:p>
      <w:r>
        <w:br w:type="page"/>
      </w:r>
    </w:p>
    <w:p>
      <w:pPr>
        <w:pStyle w:val="Heading1"/>
        <w:spacing w:before="360" w:after="160"/>
      </w:pPr>
      <w:r>
        <w:rPr>
          <w:rFonts w:ascii="Calibri" w:hAnsi="Calibri"/>
          <w:color w:val="1E40AF"/>
        </w:rPr>
        <w:t>7. Competitive Advantages</w:t>
      </w:r>
    </w:p>
    <w:p>
      <w:pPr>
        <w:spacing w:after="120" w:line="300" w:lineRule="exact"/>
      </w:pPr>
      <w:r>
        <w:rPr>
          <w:rFonts w:ascii="Calibri" w:hAnsi="Calibri"/>
          <w:b w:val="0"/>
          <w:i w:val="0"/>
          <w:color w:val="333333"/>
          <w:sz w:val="21"/>
        </w:rPr>
        <w:t>Kuja’s differentiation rests on ten commitments. The first three are category-defining capabilities no competitor offers; the next four are structural advantages competitors would need years to build; the final three are about who Kuja is.</w:t>
      </w:r>
    </w:p>
    <w:p>
      <w:pPr>
        <w:spacing w:after="120" w:line="300" w:lineRule="exact"/>
      </w:pPr>
      <w:r>
        <w:rPr>
          <w:rFonts w:ascii="Calibri" w:hAnsi="Calibri"/>
          <w:b/>
          <w:color w:val="1E40AF"/>
          <w:sz w:val="21"/>
        </w:rPr>
        <w:t xml:space="preserve">1. EMBEDDED AI INTELLIGENCE, NOT A CHATBOT: </w:t>
      </w:r>
      <w:r>
        <w:rPr>
          <w:rFonts w:ascii="Calibri" w:hAnsi="Calibri"/>
          <w:color w:val="333333"/>
          <w:sz w:val="21"/>
        </w:rPr>
        <w:t>AI is woven through every workflow as a working partner: it drafts applications and reports, scores documents in real time as they upload, extracts donor reporting requirements into a compliance calendar, predicts donor concerns before submission, generates auditable reviewer rationales, translates compliance findings into plain language, and surfaces risks before they escalate. Every AI output is grounded in the user’s actual evidence, traceable to its sources, action-oriented (an editable starting point), and falls back gracefully when the AI service is unavailable. This is architectural — not a feature you can graft on. Competitors offering AI today provide either generic chatbots or analytics dashboards, not a working AI partner woven into the lifecycle.</w:t>
      </w:r>
    </w:p>
    <w:p>
      <w:pPr>
        <w:spacing w:after="120" w:line="300" w:lineRule="exact"/>
      </w:pPr>
      <w:r>
        <w:rPr>
          <w:rFonts w:ascii="Calibri" w:hAnsi="Calibri"/>
          <w:b/>
          <w:color w:val="1E40AF"/>
          <w:sz w:val="21"/>
        </w:rPr>
        <w:t xml:space="preserve">2. TWO-PILLAR ORGANISATION TRUST PROFILE: </w:t>
      </w:r>
      <w:r>
        <w:rPr>
          <w:rFonts w:ascii="Calibri" w:hAnsi="Calibri"/>
          <w:color w:val="333333"/>
          <w:sz w:val="21"/>
        </w:rPr>
        <w:t>Every NGO on Kuja presents a Trust Profile composed of two distinct pillars that travel with them across applications. The Capacity Profile answers "can this org execute?" — sourced from completed assessments across embedded frameworks and passported to any donor’s framework via maintained mappings. The Due Diligence Profile answers "is this org safe to fund?" — combining continuous sanctions/AML/CTF screening, government registration and tax-exempt verification, beneficial-ownership transparency with donor-staff conflict checks, and daily adverse-media monitoring. No competitor offers both pillars together; no competitor offers passporting on the due-diligence side.</w:t>
      </w:r>
    </w:p>
    <w:p>
      <w:pPr>
        <w:spacing w:after="120" w:line="300" w:lineRule="exact"/>
      </w:pPr>
      <w:r>
        <w:rPr>
          <w:rFonts w:ascii="Calibri" w:hAnsi="Calibri"/>
          <w:b/>
          <w:color w:val="1E40AF"/>
          <w:sz w:val="21"/>
        </w:rPr>
        <w:t xml:space="preserve">3. COMPLIANCE SIMPLIFIED FOR BOTH SIDES: </w:t>
      </w:r>
      <w:r>
        <w:rPr>
          <w:rFonts w:ascii="Calibri" w:hAnsi="Calibri"/>
          <w:color w:val="333333"/>
          <w:sz w:val="21"/>
        </w:rPr>
        <w:t>Compliance is the most expensive friction in the grant relationship. Kuja simplifies it for both sides simultaneously. NGOs get a compliance co-pilot: extracts donor reporting requirements into a calendar, sends proactive reminders, drafts report narratives from prior data, scores evidence as it uploads, predicts donor concerns, and guides revision responses. Donors get pre-assessed, pre-scored reports plus a 4-pillar compliance health score, daily trajectory snapshots, slips-in-N-days forecasting, and a risk register with owners and due dates. The donor is never surprised; the NGO is never blocked.</w:t>
      </w:r>
    </w:p>
    <w:p>
      <w:pPr>
        <w:spacing w:after="120" w:line="300" w:lineRule="exact"/>
      </w:pPr>
      <w:r>
        <w:rPr>
          <w:rFonts w:ascii="Calibri" w:hAnsi="Calibri"/>
          <w:b/>
          <w:color w:val="1E40AF"/>
          <w:sz w:val="21"/>
        </w:rPr>
        <w:t xml:space="preserve">4. ONLY END-TO-END PLATFORM: </w:t>
      </w:r>
      <w:r>
        <w:rPr>
          <w:rFonts w:ascii="Calibri" w:hAnsi="Calibri"/>
          <w:color w:val="333333"/>
          <w:sz w:val="21"/>
        </w:rPr>
        <w:t>Kuja is the only solution combining marketplace discovery, two-pillar trust profile, AI-co-authored applications, dual-scoring review, AI-supported reporting with portfolio health monitoring, and ERP operations in a single platform. Organisations and donors never switch between disconnected tools or re-enter data.</w:t>
      </w:r>
    </w:p>
    <w:p>
      <w:pPr>
        <w:spacing w:after="120" w:line="300" w:lineRule="exact"/>
      </w:pPr>
      <w:r>
        <w:rPr>
          <w:rFonts w:ascii="Calibri" w:hAnsi="Calibri"/>
          <w:b/>
          <w:color w:val="1E40AF"/>
          <w:sz w:val="21"/>
        </w:rPr>
        <w:t xml:space="preserve">5. MOBILE-FIRST, OFFLINE-FIRST: </w:t>
      </w:r>
      <w:r>
        <w:rPr>
          <w:rFonts w:ascii="Calibri" w:hAnsi="Calibri"/>
          <w:color w:val="333333"/>
          <w:sz w:val="21"/>
        </w:rPr>
        <w:t>Kuja runs as a progressive web application installable on a phone. Field officers in low-connectivity areas draft applications, complete capacity assessments, write progress reports, fill out indicator data, and capture evidence photographs without an active connection. Work auto-saves to the device; uploads sync in the background when the network returns. This is a structural commitment to the operating reality of Global South NGOs, not a feature flag.</w:t>
      </w:r>
    </w:p>
    <w:p>
      <w:pPr>
        <w:spacing w:after="120" w:line="300" w:lineRule="exact"/>
      </w:pPr>
      <w:r>
        <w:rPr>
          <w:rFonts w:ascii="Calibri" w:hAnsi="Calibri"/>
          <w:b/>
          <w:color w:val="1E40AF"/>
          <w:sz w:val="21"/>
        </w:rPr>
        <w:t xml:space="preserve">6. BUILT BY AND FOR THE GLOBAL SOUTH: </w:t>
      </w:r>
      <w:r>
        <w:rPr>
          <w:rFonts w:ascii="Calibri" w:hAnsi="Calibri"/>
          <w:color w:val="333333"/>
          <w:sz w:val="21"/>
        </w:rPr>
        <w:t>Adeso’s 30+ years of humanitarian experience across Africa informs every design decision. Six interface languages at parity (English, Arabic, French, Swahili, Somali, Spanish) with role-appropriate tone — warm and coaching for NGOs, precise and decision-oriented for donors. Multi-currency operations, low-bandwidth optimisation, scanned-document handling, and culturally appropriate UX patterns. No competitor operates at this level of Global South coverage.</w:t>
      </w:r>
    </w:p>
    <w:p>
      <w:pPr>
        <w:spacing w:after="120" w:line="300" w:lineRule="exact"/>
      </w:pPr>
      <w:r>
        <w:rPr>
          <w:rFonts w:ascii="Calibri" w:hAnsi="Calibri"/>
          <w:b/>
          <w:color w:val="1E40AF"/>
          <w:sz w:val="21"/>
        </w:rPr>
        <w:t xml:space="preserve">7. DUAL-SIDED NETWORK EFFECTS: </w:t>
      </w:r>
      <w:r>
        <w:rPr>
          <w:rFonts w:ascii="Calibri" w:hAnsi="Calibri"/>
          <w:color w:val="333333"/>
          <w:sz w:val="21"/>
        </w:rPr>
        <w:t>Kuja serves both sides of the funding equation. CSOs gain visibility, a portable Trust Profile, an AI working partner for every application and report, and a calendar of obligations. Donors gain a vetted pipeline, pre-assessed reports, portfolio health monitoring, and trajectory forecasting. More CSOs attract more donors, which attract more CSOs.</w:t>
      </w:r>
    </w:p>
    <w:p>
      <w:pPr>
        <w:spacing w:after="120" w:line="300" w:lineRule="exact"/>
      </w:pPr>
      <w:r>
        <w:rPr>
          <w:rFonts w:ascii="Calibri" w:hAnsi="Calibri"/>
          <w:b/>
          <w:color w:val="1E40AF"/>
          <w:sz w:val="21"/>
        </w:rPr>
        <w:t xml:space="preserve">8. AUDITABLE BY CONSTRUCTION: </w:t>
      </w:r>
      <w:r>
        <w:rPr>
          <w:rFonts w:ascii="Calibri" w:hAnsi="Calibri"/>
          <w:color w:val="333333"/>
          <w:sz w:val="21"/>
        </w:rPr>
        <w:t>Every AI claim is traceable to its source via a provenance ledger. Every compliance-relevant event is recorded in a tamper-evident hash-chained audit log: authentications, sanctions findings, verification stamps, document scores, decisions, risk lifecycle transitions. Donor compliance officers can override AI determinations with rationale that itself becomes part of the record. This is procurement-grade auditability — not an afterthought.</w:t>
      </w:r>
    </w:p>
    <w:p>
      <w:pPr>
        <w:spacing w:after="120" w:line="300" w:lineRule="exact"/>
      </w:pPr>
      <w:r>
        <w:rPr>
          <w:rFonts w:ascii="Calibri" w:hAnsi="Calibri"/>
          <w:b/>
          <w:color w:val="1E40AF"/>
          <w:sz w:val="21"/>
        </w:rPr>
        <w:t xml:space="preserve">9. SEAMLESS ERP CONVERSION: </w:t>
      </w:r>
      <w:r>
        <w:rPr>
          <w:rFonts w:ascii="Calibri" w:hAnsi="Calibri"/>
          <w:color w:val="333333"/>
          <w:sz w:val="21"/>
        </w:rPr>
        <w:t>Organisations that adopt KujaBuild (Odoo 17) benefit from seamless onboarding — most organisational data is already captured through marketplace registration, capacity assessment, application, and reporting stages. Multi-tenancy allows donors to access real-time financial data for their grants.</w:t>
      </w:r>
    </w:p>
    <w:p>
      <w:pPr>
        <w:spacing w:after="120" w:line="300" w:lineRule="exact"/>
      </w:pPr>
      <w:r>
        <w:rPr>
          <w:rFonts w:ascii="Calibri" w:hAnsi="Calibri"/>
          <w:b/>
          <w:color w:val="1E40AF"/>
          <w:sz w:val="21"/>
        </w:rPr>
        <w:t xml:space="preserve">10. CREDIBILITY OF ADESO: </w:t>
      </w:r>
      <w:r>
        <w:rPr>
          <w:rFonts w:ascii="Calibri" w:hAnsi="Calibri"/>
          <w:color w:val="333333"/>
          <w:sz w:val="21"/>
        </w:rPr>
        <w:t>As a Somali-founded organisation with three decades of impact across Africa and co-founder of the NEAR Network (the largest network of national and local organisations in the Global South), Adeso brings unmatched sector credibility. Kuja is not a Silicon Valley startup attempting to serve communities it does not understand — it is a solution built by the communities it serves.</w:t>
      </w:r>
    </w:p>
    <w:p>
      <w:pPr>
        <w:spacing w:after="120" w:line="300" w:lineRule="exact"/>
      </w:pPr>
      <w:r>
        <w:rPr>
          <w:rFonts w:ascii="Calibri" w:hAnsi="Calibri"/>
          <w:b/>
          <w:color w:val="1E40AF"/>
          <w:sz w:val="21"/>
        </w:rPr>
        <w:t xml:space="preserve">11. SUSTAINED AI CONVERSATION INSTEAD OF ONE-SHOT PROMPTS: </w:t>
      </w:r>
      <w:r>
        <w:rPr>
          <w:rFonts w:ascii="Calibri" w:hAnsi="Calibri"/>
          <w:color w:val="333333"/>
          <w:sz w:val="21"/>
        </w:rPr>
        <w:t>Every AI surface in Kuja used to be one-shot — ask, answer, forget. Phase 24 added a sustained chat with three operating modes: a global thread at /chat, plus per-entity threads embedded on every grant, application, and report detail page so context is automatic. Users can ask follow-ups, refine in place, compare across turns, and reset when they want to start fresh. Per-user thread isolation, last-12-message history cap, and an anti-hallucination discipline footer prevent the assistant from inventing numbers or making up answers about data outside its scope. No other grant platform exposes an actual conversational interface, let alone scopes it deterministically to the entity being viewed.</w:t>
      </w:r>
    </w:p>
    <w:p>
      <w:pPr>
        <w:spacing w:after="120" w:line="300" w:lineRule="exact"/>
      </w:pPr>
      <w:r>
        <w:rPr>
          <w:rFonts w:ascii="Calibri" w:hAnsi="Calibri"/>
          <w:b/>
          <w:color w:val="1E40AF"/>
          <w:sz w:val="21"/>
        </w:rPr>
        <w:t xml:space="preserve">12. AUTOMATIC REVIEWER ASSIGNMENT THAT JUST WORKS: </w:t>
      </w:r>
      <w:r>
        <w:rPr>
          <w:rFonts w:ascii="Calibri" w:hAnsi="Calibri"/>
          <w:color w:val="333333"/>
          <w:sz w:val="21"/>
        </w:rPr>
        <w:t>Manual reviewer assignment was the single most common cause of applications sitting in queue for days at most donors. Kuja’s reviewer match service ranks candidates by sector fit, country fit, throughput health, and current workload — and Phase 25 wired this directly into the application submit handler. NGOs submit, panels populate automatically with reasoning, reviewers are notified, and a nightly safety-net cron at 02:45 UTC sweeps any application that slipped through. Donors retain a one-tap manual override; idempotency prevents duplicates. The donor never has to think about it.</w:t>
      </w:r>
    </w:p>
    <w:p>
      <w:pPr>
        <w:spacing w:after="120" w:line="300" w:lineRule="exact"/>
      </w:pPr>
      <w:r>
        <w:rPr>
          <w:rFonts w:ascii="Calibri" w:hAnsi="Calibri"/>
          <w:b/>
          <w:color w:val="1E40AF"/>
          <w:sz w:val="21"/>
        </w:rPr>
        <w:t xml:space="preserve">13. PORTFOLIO COHORT ANALYTICS — BENCHMARKING DONORS HONESTLY: </w:t>
      </w:r>
      <w:r>
        <w:rPr>
          <w:rFonts w:ascii="Calibri" w:hAnsi="Calibri"/>
          <w:color w:val="333333"/>
          <w:sz w:val="21"/>
        </w:rPr>
        <w:t>Donors making portfolio-level decisions can now see how the NGOs THEY fund compare against the NGOs OTHER donors fund: grantee capacity score, AI score at award, country and sector diversity, share of funding to small/emerging organisations, and grantee report on-time rate. Each metric shows the donor’s value, cohort median, percentile rank, and a verdict pill (above/on par/below). When the cohort is too small to fairly compare (fewer than three other donors, or below per-metric sample minimums) the card surfaces an explicit sparseness message rather than fake numbers. No competitor exposes anonymised cross-donor portfolio benchmarks with this discipline.</w:t>
      </w:r>
    </w:p>
    <w:p>
      <w:pPr>
        <w:spacing w:after="120" w:line="300" w:lineRule="exact"/>
      </w:pPr>
      <w:r>
        <w:rPr>
          <w:rFonts w:ascii="Calibri" w:hAnsi="Calibri"/>
          <w:b/>
          <w:color w:val="1E40AF"/>
          <w:sz w:val="21"/>
        </w:rPr>
        <w:t xml:space="preserve">14. REAL-USER METRICS BUILT IN, NOT BOLTED ON: </w:t>
      </w:r>
      <w:r>
        <w:rPr>
          <w:rFonts w:ascii="Calibri" w:hAnsi="Calibri"/>
          <w:color w:val="333333"/>
          <w:sz w:val="21"/>
        </w:rPr>
        <w:t>Phase 29-31 added a behavioural metrics layer that records every meaningful user action to a dedicated UserEvent table, lightweight enough that recording is non-blocking and best-effort. The admin metrics dashboard at /admin/metrics surfaces DAU/WAU/MAU with role and language breakdowns, six funnel views (chat, application, report, review, readiness→submit, pre-flight→submit), per-language adoption of flagship features (the parity signal that should drive deep i18n investment), and a deterministic A/B bucketing helper so any feature can be tested against a control arm. A 1-question NPS micro-survey fires at moments-of-completion (application + report submit) to capture perceived value alongside behavioural data. This means product decisions — including the next round of deep i18n investment — can be data-driven rather than guessed.</w:t>
      </w:r>
    </w:p>
    <w:p>
      <w:r>
        <w:br w:type="page"/>
      </w:r>
    </w:p>
    <w:p>
      <w:pPr>
        <w:pStyle w:val="Heading1"/>
        <w:spacing w:before="360" w:after="160"/>
      </w:pPr>
      <w:r>
        <w:rPr>
          <w:rFonts w:ascii="Calibri" w:hAnsi="Calibri"/>
          <w:color w:val="1E40AF"/>
        </w:rPr>
        <w:t>8. Risk Analysis &amp; Mitigation</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568"/>
        <w:gridCol w:w="1568"/>
        <w:gridCol w:w="1568"/>
        <w:gridCol w:w="1568"/>
        <w:gridCol w:w="1568"/>
        <w:gridCol w:w="1568"/>
      </w:tblGrid>
      <w:tr>
        <w:tc>
          <w:tcPr>
            <w:tcW w:type="dxa" w:w="1568"/>
            <w:shd w:fill="1E40AF" w:val="clear"/>
          </w:tcPr>
          <w:p>
            <w:pPr>
              <w:spacing w:before="40" w:after="40"/>
            </w:pPr>
            <w:r/>
            <w:r>
              <w:rPr>
                <w:rFonts w:ascii="Calibri" w:hAnsi="Calibri"/>
                <w:b/>
                <w:color w:val="FFFFFF"/>
                <w:sz w:val="18"/>
              </w:rPr>
              <w:t>#</w:t>
            </w:r>
          </w:p>
        </w:tc>
        <w:tc>
          <w:tcPr>
            <w:tcW w:type="dxa" w:w="1568"/>
            <w:shd w:fill="1E40AF" w:val="clear"/>
          </w:tcPr>
          <w:p>
            <w:pPr>
              <w:spacing w:before="40" w:after="40"/>
            </w:pPr>
            <w:r/>
            <w:r>
              <w:rPr>
                <w:rFonts w:ascii="Calibri" w:hAnsi="Calibri"/>
                <w:b/>
                <w:color w:val="FFFFFF"/>
                <w:sz w:val="18"/>
              </w:rPr>
              <w:t>Risk Category</w:t>
            </w:r>
          </w:p>
        </w:tc>
        <w:tc>
          <w:tcPr>
            <w:tcW w:type="dxa" w:w="1568"/>
            <w:shd w:fill="1E40AF" w:val="clear"/>
          </w:tcPr>
          <w:p>
            <w:pPr>
              <w:spacing w:before="40" w:after="40"/>
            </w:pPr>
            <w:r/>
            <w:r>
              <w:rPr>
                <w:rFonts w:ascii="Calibri" w:hAnsi="Calibri"/>
                <w:b/>
                <w:color w:val="FFFFFF"/>
                <w:sz w:val="18"/>
              </w:rPr>
              <w:t>Risk Description</w:t>
            </w:r>
          </w:p>
        </w:tc>
        <w:tc>
          <w:tcPr>
            <w:tcW w:type="dxa" w:w="1568"/>
            <w:shd w:fill="1E40AF" w:val="clear"/>
          </w:tcPr>
          <w:p>
            <w:pPr>
              <w:spacing w:before="40" w:after="40"/>
            </w:pPr>
            <w:r/>
            <w:r>
              <w:rPr>
                <w:rFonts w:ascii="Calibri" w:hAnsi="Calibri"/>
                <w:b/>
                <w:color w:val="FFFFFF"/>
                <w:sz w:val="18"/>
              </w:rPr>
              <w:t>Likelihood</w:t>
            </w:r>
          </w:p>
        </w:tc>
        <w:tc>
          <w:tcPr>
            <w:tcW w:type="dxa" w:w="1568"/>
            <w:shd w:fill="1E40AF" w:val="clear"/>
          </w:tcPr>
          <w:p>
            <w:pPr>
              <w:spacing w:before="40" w:after="40"/>
            </w:pPr>
            <w:r/>
            <w:r>
              <w:rPr>
                <w:rFonts w:ascii="Calibri" w:hAnsi="Calibri"/>
                <w:b/>
                <w:color w:val="FFFFFF"/>
                <w:sz w:val="18"/>
              </w:rPr>
              <w:t>Impact</w:t>
            </w:r>
          </w:p>
        </w:tc>
        <w:tc>
          <w:tcPr>
            <w:tcW w:type="dxa" w:w="1568"/>
            <w:shd w:fill="1E40AF" w:val="clear"/>
          </w:tcPr>
          <w:p>
            <w:pPr>
              <w:spacing w:before="40" w:after="40"/>
            </w:pPr>
            <w:r/>
            <w:r>
              <w:rPr>
                <w:rFonts w:ascii="Calibri" w:hAnsi="Calibri"/>
                <w:b/>
                <w:color w:val="FFFFFF"/>
                <w:sz w:val="18"/>
              </w:rPr>
              <w:t>Mitigation Strategy</w:t>
            </w:r>
          </w:p>
        </w:tc>
      </w:tr>
      <w:tr>
        <w:tc>
          <w:tcPr>
            <w:tcW w:type="dxa" w:w="1568"/>
          </w:tcPr>
          <w:p>
            <w:pPr>
              <w:spacing w:before="40" w:after="40"/>
            </w:pPr>
            <w:r/>
            <w:r>
              <w:rPr>
                <w:rFonts w:ascii="Calibri" w:hAnsi="Calibri"/>
                <w:b w:val="0"/>
                <w:color w:val="333333"/>
                <w:sz w:val="18"/>
              </w:rPr>
              <w:t>R1</w:t>
            </w:r>
          </w:p>
        </w:tc>
        <w:tc>
          <w:tcPr>
            <w:tcW w:type="dxa" w:w="1568"/>
          </w:tcPr>
          <w:p>
            <w:pPr>
              <w:spacing w:before="40" w:after="40"/>
            </w:pPr>
            <w:r/>
            <w:r>
              <w:rPr>
                <w:rFonts w:ascii="Calibri" w:hAnsi="Calibri"/>
                <w:b w:val="0"/>
                <w:color w:val="333333"/>
                <w:sz w:val="18"/>
              </w:rPr>
              <w:t>Market</w:t>
            </w:r>
          </w:p>
        </w:tc>
        <w:tc>
          <w:tcPr>
            <w:tcW w:type="dxa" w:w="1568"/>
          </w:tcPr>
          <w:p>
            <w:pPr>
              <w:spacing w:before="40" w:after="40"/>
            </w:pPr>
            <w:r/>
            <w:r>
              <w:rPr>
                <w:rFonts w:ascii="Calibri" w:hAnsi="Calibri"/>
                <w:b w:val="0"/>
                <w:color w:val="333333"/>
                <w:sz w:val="18"/>
              </w:rPr>
              <w:t>USAID funding partially restored, reducing urgency for alternatives</w:t>
            </w:r>
          </w:p>
        </w:tc>
        <w:tc>
          <w:tcPr>
            <w:tcW w:type="dxa" w:w="1568"/>
          </w:tcPr>
          <w:p>
            <w:pPr>
              <w:spacing w:before="40" w:after="40"/>
            </w:pPr>
            <w:r/>
            <w:r>
              <w:rPr>
                <w:rFonts w:ascii="Calibri" w:hAnsi="Calibri"/>
                <w:b w:val="0"/>
                <w:color w:val="333333"/>
                <w:sz w:val="18"/>
              </w:rPr>
              <w:t>Medium</w:t>
            </w:r>
          </w:p>
        </w:tc>
        <w:tc>
          <w:tcPr>
            <w:tcW w:type="dxa" w:w="1568"/>
          </w:tcPr>
          <w:p>
            <w:pPr>
              <w:spacing w:before="40" w:after="40"/>
            </w:pPr>
            <w:r/>
            <w:r>
              <w:rPr>
                <w:rFonts w:ascii="Calibri" w:hAnsi="Calibri"/>
                <w:b w:val="0"/>
                <w:color w:val="333333"/>
                <w:sz w:val="18"/>
              </w:rPr>
              <w:t>Medium</w:t>
            </w:r>
          </w:p>
        </w:tc>
        <w:tc>
          <w:tcPr>
            <w:tcW w:type="dxa" w:w="1568"/>
          </w:tcPr>
          <w:p>
            <w:pPr>
              <w:spacing w:before="40" w:after="40"/>
            </w:pPr>
            <w:r/>
            <w:r>
              <w:rPr>
                <w:rFonts w:ascii="Calibri" w:hAnsi="Calibri"/>
                <w:b w:val="0"/>
                <w:color w:val="333333"/>
                <w:sz w:val="18"/>
              </w:rPr>
              <w:t>Kuja’s value proposition extends beyond USAID — diversified funding pathways benefit organizations regardless of USAID status</w:t>
            </w:r>
          </w:p>
        </w:tc>
      </w:tr>
      <w:tr>
        <w:tc>
          <w:tcPr>
            <w:tcW w:type="dxa" w:w="1568"/>
            <w:shd w:fill="F0F7FF" w:val="clear"/>
          </w:tcPr>
          <w:p>
            <w:pPr>
              <w:spacing w:before="40" w:after="40"/>
            </w:pPr>
            <w:r/>
            <w:r>
              <w:rPr>
                <w:rFonts w:ascii="Calibri" w:hAnsi="Calibri"/>
                <w:b w:val="0"/>
                <w:color w:val="333333"/>
                <w:sz w:val="18"/>
              </w:rPr>
              <w:t>R2</w:t>
            </w:r>
          </w:p>
        </w:tc>
        <w:tc>
          <w:tcPr>
            <w:tcW w:type="dxa" w:w="1568"/>
            <w:shd w:fill="F0F7FF" w:val="clear"/>
          </w:tcPr>
          <w:p>
            <w:pPr>
              <w:spacing w:before="40" w:after="40"/>
            </w:pPr>
            <w:r/>
            <w:r>
              <w:rPr>
                <w:rFonts w:ascii="Calibri" w:hAnsi="Calibri"/>
                <w:b w:val="0"/>
                <w:color w:val="333333"/>
                <w:sz w:val="18"/>
              </w:rPr>
              <w:t>Market</w:t>
            </w:r>
          </w:p>
        </w:tc>
        <w:tc>
          <w:tcPr>
            <w:tcW w:type="dxa" w:w="1568"/>
            <w:shd w:fill="F0F7FF" w:val="clear"/>
          </w:tcPr>
          <w:p>
            <w:pPr>
              <w:spacing w:before="40" w:after="40"/>
            </w:pPr>
            <w:r/>
            <w:r>
              <w:rPr>
                <w:rFonts w:ascii="Calibri" w:hAnsi="Calibri"/>
                <w:b w:val="0"/>
                <w:color w:val="333333"/>
                <w:sz w:val="18"/>
              </w:rPr>
              <w:t>Major competitor (Fluxx/Submittable) launches Global South offering</w:t>
            </w:r>
          </w:p>
        </w:tc>
        <w:tc>
          <w:tcPr>
            <w:tcW w:type="dxa" w:w="1568"/>
            <w:shd w:fill="F0F7FF" w:val="clear"/>
          </w:tcPr>
          <w:p>
            <w:pPr>
              <w:spacing w:before="40" w:after="40"/>
            </w:pPr>
            <w:r/>
            <w:r>
              <w:rPr>
                <w:rFonts w:ascii="Calibri" w:hAnsi="Calibri"/>
                <w:b w:val="0"/>
                <w:color w:val="333333"/>
                <w:sz w:val="18"/>
              </w:rPr>
              <w:t>Medium</w:t>
            </w:r>
          </w:p>
        </w:tc>
        <w:tc>
          <w:tcPr>
            <w:tcW w:type="dxa" w:w="1568"/>
            <w:shd w:fill="F0F7FF" w:val="clear"/>
          </w:tcPr>
          <w:p>
            <w:pPr>
              <w:spacing w:before="40" w:after="40"/>
            </w:pPr>
            <w:r/>
            <w:r>
              <w:rPr>
                <w:rFonts w:ascii="Calibri" w:hAnsi="Calibri"/>
                <w:b w:val="0"/>
                <w:color w:val="333333"/>
                <w:sz w:val="18"/>
              </w:rPr>
              <w:t>High</w:t>
            </w:r>
          </w:p>
        </w:tc>
        <w:tc>
          <w:tcPr>
            <w:tcW w:type="dxa" w:w="1568"/>
            <w:shd w:fill="F0F7FF" w:val="clear"/>
          </w:tcPr>
          <w:p>
            <w:pPr>
              <w:spacing w:before="40" w:after="40"/>
            </w:pPr>
            <w:r/>
            <w:r>
              <w:rPr>
                <w:rFonts w:ascii="Calibri" w:hAnsi="Calibri"/>
                <w:b w:val="0"/>
                <w:color w:val="333333"/>
                <w:sz w:val="18"/>
              </w:rPr>
              <w:t>First-mover advantage, Adeso’s deep network relationships, and local expertise create switching costs competitors cannot replicate quickly</w:t>
            </w:r>
          </w:p>
        </w:tc>
      </w:tr>
      <w:tr>
        <w:tc>
          <w:tcPr>
            <w:tcW w:type="dxa" w:w="1568"/>
          </w:tcPr>
          <w:p>
            <w:pPr>
              <w:spacing w:before="40" w:after="40"/>
            </w:pPr>
            <w:r/>
            <w:r>
              <w:rPr>
                <w:rFonts w:ascii="Calibri" w:hAnsi="Calibri"/>
                <w:b w:val="0"/>
                <w:color w:val="333333"/>
                <w:sz w:val="18"/>
              </w:rPr>
              <w:t>R3</w:t>
            </w:r>
          </w:p>
        </w:tc>
        <w:tc>
          <w:tcPr>
            <w:tcW w:type="dxa" w:w="1568"/>
          </w:tcPr>
          <w:p>
            <w:pPr>
              <w:spacing w:before="40" w:after="40"/>
            </w:pPr>
            <w:r/>
            <w:r>
              <w:rPr>
                <w:rFonts w:ascii="Calibri" w:hAnsi="Calibri"/>
                <w:b w:val="0"/>
                <w:color w:val="333333"/>
                <w:sz w:val="18"/>
              </w:rPr>
              <w:t>Market</w:t>
            </w:r>
          </w:p>
        </w:tc>
        <w:tc>
          <w:tcPr>
            <w:tcW w:type="dxa" w:w="1568"/>
          </w:tcPr>
          <w:p>
            <w:pPr>
              <w:spacing w:before="40" w:after="40"/>
            </w:pPr>
            <w:r/>
            <w:r>
              <w:rPr>
                <w:rFonts w:ascii="Calibri" w:hAnsi="Calibri"/>
                <w:b w:val="0"/>
                <w:color w:val="333333"/>
                <w:sz w:val="18"/>
              </w:rPr>
              <w:t>Donor adoption slower than projected</w:t>
            </w:r>
          </w:p>
        </w:tc>
        <w:tc>
          <w:tcPr>
            <w:tcW w:type="dxa" w:w="1568"/>
          </w:tcPr>
          <w:p>
            <w:pPr>
              <w:spacing w:before="40" w:after="40"/>
            </w:pPr>
            <w:r/>
            <w:r>
              <w:rPr>
                <w:rFonts w:ascii="Calibri" w:hAnsi="Calibri"/>
                <w:b w:val="0"/>
                <w:color w:val="333333"/>
                <w:sz w:val="18"/>
              </w:rPr>
              <w:t>High</w:t>
            </w:r>
          </w:p>
        </w:tc>
        <w:tc>
          <w:tcPr>
            <w:tcW w:type="dxa" w:w="1568"/>
          </w:tcPr>
          <w:p>
            <w:pPr>
              <w:spacing w:before="40" w:after="40"/>
            </w:pPr>
            <w:r/>
            <w:r>
              <w:rPr>
                <w:rFonts w:ascii="Calibri" w:hAnsi="Calibri"/>
                <w:b w:val="0"/>
                <w:color w:val="333333"/>
                <w:sz w:val="18"/>
              </w:rPr>
              <w:t>High</w:t>
            </w:r>
          </w:p>
        </w:tc>
        <w:tc>
          <w:tcPr>
            <w:tcW w:type="dxa" w:w="1568"/>
          </w:tcPr>
          <w:p>
            <w:pPr>
              <w:spacing w:before="40" w:after="40"/>
            </w:pPr>
            <w:r/>
            <w:r>
              <w:rPr>
                <w:rFonts w:ascii="Calibri" w:hAnsi="Calibri"/>
                <w:b w:val="0"/>
                <w:color w:val="333333"/>
                <w:sz w:val="18"/>
              </w:rPr>
              <w:t>Focus on CSO network partnerships for bottom-up demand generation; demonstrate ROI through pilot outcomes</w:t>
            </w:r>
          </w:p>
        </w:tc>
      </w:tr>
      <w:tr>
        <w:tc>
          <w:tcPr>
            <w:tcW w:type="dxa" w:w="1568"/>
            <w:shd w:fill="F0F7FF" w:val="clear"/>
          </w:tcPr>
          <w:p>
            <w:pPr>
              <w:spacing w:before="40" w:after="40"/>
            </w:pPr>
            <w:r/>
            <w:r>
              <w:rPr>
                <w:rFonts w:ascii="Calibri" w:hAnsi="Calibri"/>
                <w:b w:val="0"/>
                <w:color w:val="333333"/>
                <w:sz w:val="18"/>
              </w:rPr>
              <w:t>R4</w:t>
            </w:r>
          </w:p>
        </w:tc>
        <w:tc>
          <w:tcPr>
            <w:tcW w:type="dxa" w:w="1568"/>
            <w:shd w:fill="F0F7FF" w:val="clear"/>
          </w:tcPr>
          <w:p>
            <w:pPr>
              <w:spacing w:before="40" w:after="40"/>
            </w:pPr>
            <w:r/>
            <w:r>
              <w:rPr>
                <w:rFonts w:ascii="Calibri" w:hAnsi="Calibri"/>
                <w:b w:val="0"/>
                <w:color w:val="333333"/>
                <w:sz w:val="18"/>
              </w:rPr>
              <w:t>Technical</w:t>
            </w:r>
          </w:p>
        </w:tc>
        <w:tc>
          <w:tcPr>
            <w:tcW w:type="dxa" w:w="1568"/>
            <w:shd w:fill="F0F7FF" w:val="clear"/>
          </w:tcPr>
          <w:p>
            <w:pPr>
              <w:spacing w:before="40" w:after="40"/>
            </w:pPr>
            <w:r/>
            <w:r>
              <w:rPr>
                <w:rFonts w:ascii="Calibri" w:hAnsi="Calibri"/>
                <w:b w:val="0"/>
                <w:color w:val="333333"/>
                <w:sz w:val="18"/>
              </w:rPr>
              <w:t>AI accuracy insufficient for compliance-critical decisions</w:t>
            </w:r>
          </w:p>
        </w:tc>
        <w:tc>
          <w:tcPr>
            <w:tcW w:type="dxa" w:w="1568"/>
            <w:shd w:fill="F0F7FF" w:val="clear"/>
          </w:tcPr>
          <w:p>
            <w:pPr>
              <w:spacing w:before="40" w:after="40"/>
            </w:pPr>
            <w:r/>
            <w:r>
              <w:rPr>
                <w:rFonts w:ascii="Calibri" w:hAnsi="Calibri"/>
                <w:b w:val="0"/>
                <w:color w:val="333333"/>
                <w:sz w:val="18"/>
              </w:rPr>
              <w:t>Low</w:t>
            </w:r>
          </w:p>
        </w:tc>
        <w:tc>
          <w:tcPr>
            <w:tcW w:type="dxa" w:w="1568"/>
            <w:shd w:fill="F0F7FF" w:val="clear"/>
          </w:tcPr>
          <w:p>
            <w:pPr>
              <w:spacing w:before="40" w:after="40"/>
            </w:pPr>
            <w:r/>
            <w:r>
              <w:rPr>
                <w:rFonts w:ascii="Calibri" w:hAnsi="Calibri"/>
                <w:b w:val="0"/>
                <w:color w:val="333333"/>
                <w:sz w:val="18"/>
              </w:rPr>
              <w:t>High</w:t>
            </w:r>
          </w:p>
        </w:tc>
        <w:tc>
          <w:tcPr>
            <w:tcW w:type="dxa" w:w="1568"/>
            <w:shd w:fill="F0F7FF" w:val="clear"/>
          </w:tcPr>
          <w:p>
            <w:pPr>
              <w:spacing w:before="40" w:after="40"/>
            </w:pPr>
            <w:r/>
            <w:r>
              <w:rPr>
                <w:rFonts w:ascii="Calibri" w:hAnsi="Calibri"/>
                <w:b w:val="0"/>
                <w:color w:val="333333"/>
                <w:sz w:val="18"/>
              </w:rPr>
              <w:t>AI provides recommendations, not decisions — human reviewers always have final authority. Continuous prompt engineering and model updates.</w:t>
            </w:r>
          </w:p>
        </w:tc>
      </w:tr>
      <w:tr>
        <w:tc>
          <w:tcPr>
            <w:tcW w:type="dxa" w:w="1568"/>
          </w:tcPr>
          <w:p>
            <w:pPr>
              <w:spacing w:before="40" w:after="40"/>
            </w:pPr>
            <w:r/>
            <w:r>
              <w:rPr>
                <w:rFonts w:ascii="Calibri" w:hAnsi="Calibri"/>
                <w:b w:val="0"/>
                <w:color w:val="333333"/>
                <w:sz w:val="18"/>
              </w:rPr>
              <w:t>R5</w:t>
            </w:r>
          </w:p>
        </w:tc>
        <w:tc>
          <w:tcPr>
            <w:tcW w:type="dxa" w:w="1568"/>
          </w:tcPr>
          <w:p>
            <w:pPr>
              <w:spacing w:before="40" w:after="40"/>
            </w:pPr>
            <w:r/>
            <w:r>
              <w:rPr>
                <w:rFonts w:ascii="Calibri" w:hAnsi="Calibri"/>
                <w:b w:val="0"/>
                <w:color w:val="333333"/>
                <w:sz w:val="18"/>
              </w:rPr>
              <w:t>Technical</w:t>
            </w:r>
          </w:p>
        </w:tc>
        <w:tc>
          <w:tcPr>
            <w:tcW w:type="dxa" w:w="1568"/>
          </w:tcPr>
          <w:p>
            <w:pPr>
              <w:spacing w:before="40" w:after="40"/>
            </w:pPr>
            <w:r/>
            <w:r>
              <w:rPr>
                <w:rFonts w:ascii="Calibri" w:hAnsi="Calibri"/>
                <w:b w:val="0"/>
                <w:color w:val="333333"/>
                <w:sz w:val="18"/>
              </w:rPr>
              <w:t>OpenSanctions API dependency (rate limits, downtime)</w:t>
            </w:r>
          </w:p>
        </w:tc>
        <w:tc>
          <w:tcPr>
            <w:tcW w:type="dxa" w:w="1568"/>
          </w:tcPr>
          <w:p>
            <w:pPr>
              <w:spacing w:before="40" w:after="40"/>
            </w:pPr>
            <w:r/>
            <w:r>
              <w:rPr>
                <w:rFonts w:ascii="Calibri" w:hAnsi="Calibri"/>
                <w:b w:val="0"/>
                <w:color w:val="333333"/>
                <w:sz w:val="18"/>
              </w:rPr>
              <w:t>Medium</w:t>
            </w:r>
          </w:p>
        </w:tc>
        <w:tc>
          <w:tcPr>
            <w:tcW w:type="dxa" w:w="1568"/>
          </w:tcPr>
          <w:p>
            <w:pPr>
              <w:spacing w:before="40" w:after="40"/>
            </w:pPr>
            <w:r/>
            <w:r>
              <w:rPr>
                <w:rFonts w:ascii="Calibri" w:hAnsi="Calibri"/>
                <w:b w:val="0"/>
                <w:color w:val="333333"/>
                <w:sz w:val="18"/>
              </w:rPr>
              <w:t>Medium</w:t>
            </w:r>
          </w:p>
        </w:tc>
        <w:tc>
          <w:tcPr>
            <w:tcW w:type="dxa" w:w="1568"/>
          </w:tcPr>
          <w:p>
            <w:pPr>
              <w:spacing w:before="40" w:after="40"/>
            </w:pPr>
            <w:r/>
            <w:r>
              <w:rPr>
                <w:rFonts w:ascii="Calibri" w:hAnsi="Calibri"/>
                <w:b w:val="0"/>
                <w:color w:val="333333"/>
                <w:sz w:val="18"/>
              </w:rPr>
              <w:t>Fallback to direct UN XML/OFAC CSV/EU CSV downloads. Local caching of sanctions data. Multiple data sources.</w:t>
            </w:r>
          </w:p>
        </w:tc>
      </w:tr>
      <w:tr>
        <w:tc>
          <w:tcPr>
            <w:tcW w:type="dxa" w:w="1568"/>
            <w:shd w:fill="F0F7FF" w:val="clear"/>
          </w:tcPr>
          <w:p>
            <w:pPr>
              <w:spacing w:before="40" w:after="40"/>
            </w:pPr>
            <w:r/>
            <w:r>
              <w:rPr>
                <w:rFonts w:ascii="Calibri" w:hAnsi="Calibri"/>
                <w:b w:val="0"/>
                <w:color w:val="333333"/>
                <w:sz w:val="18"/>
              </w:rPr>
              <w:t>R6</w:t>
            </w:r>
          </w:p>
        </w:tc>
        <w:tc>
          <w:tcPr>
            <w:tcW w:type="dxa" w:w="1568"/>
            <w:shd w:fill="F0F7FF" w:val="clear"/>
          </w:tcPr>
          <w:p>
            <w:pPr>
              <w:spacing w:before="40" w:after="40"/>
            </w:pPr>
            <w:r/>
            <w:r>
              <w:rPr>
                <w:rFonts w:ascii="Calibri" w:hAnsi="Calibri"/>
                <w:b w:val="0"/>
                <w:color w:val="333333"/>
                <w:sz w:val="18"/>
              </w:rPr>
              <w:t>Technical</w:t>
            </w:r>
          </w:p>
        </w:tc>
        <w:tc>
          <w:tcPr>
            <w:tcW w:type="dxa" w:w="1568"/>
            <w:shd w:fill="F0F7FF" w:val="clear"/>
          </w:tcPr>
          <w:p>
            <w:pPr>
              <w:spacing w:before="40" w:after="40"/>
            </w:pPr>
            <w:r/>
            <w:r>
              <w:rPr>
                <w:rFonts w:ascii="Calibri" w:hAnsi="Calibri"/>
                <w:b w:val="0"/>
                <w:color w:val="333333"/>
                <w:sz w:val="18"/>
              </w:rPr>
              <w:t>Government registry APIs change or become unavailable</w:t>
            </w:r>
          </w:p>
        </w:tc>
        <w:tc>
          <w:tcPr>
            <w:tcW w:type="dxa" w:w="1568"/>
            <w:shd w:fill="F0F7FF" w:val="clear"/>
          </w:tcPr>
          <w:p>
            <w:pPr>
              <w:spacing w:before="40" w:after="40"/>
            </w:pPr>
            <w:r/>
            <w:r>
              <w:rPr>
                <w:rFonts w:ascii="Calibri" w:hAnsi="Calibri"/>
                <w:b w:val="0"/>
                <w:color w:val="333333"/>
                <w:sz w:val="18"/>
              </w:rPr>
              <w:t>Medium</w:t>
            </w:r>
          </w:p>
        </w:tc>
        <w:tc>
          <w:tcPr>
            <w:tcW w:type="dxa" w:w="1568"/>
            <w:shd w:fill="F0F7FF" w:val="clear"/>
          </w:tcPr>
          <w:p>
            <w:pPr>
              <w:spacing w:before="40" w:after="40"/>
            </w:pPr>
            <w:r/>
            <w:r>
              <w:rPr>
                <w:rFonts w:ascii="Calibri" w:hAnsi="Calibri"/>
                <w:b w:val="0"/>
                <w:color w:val="333333"/>
                <w:sz w:val="18"/>
              </w:rPr>
              <w:t>Low</w:t>
            </w:r>
          </w:p>
        </w:tc>
        <w:tc>
          <w:tcPr>
            <w:tcW w:type="dxa" w:w="1568"/>
            <w:shd w:fill="F0F7FF" w:val="clear"/>
          </w:tcPr>
          <w:p>
            <w:pPr>
              <w:spacing w:before="40" w:after="40"/>
            </w:pPr>
            <w:r/>
            <w:r>
              <w:rPr>
                <w:rFonts w:ascii="Calibri" w:hAnsi="Calibri"/>
                <w:b w:val="0"/>
                <w:color w:val="333333"/>
                <w:sz w:val="18"/>
              </w:rPr>
              <w:t>HTTP scraping with per-country parsers allows rapid adaptation. Manual fallback for verification.</w:t>
            </w:r>
          </w:p>
        </w:tc>
      </w:tr>
      <w:tr>
        <w:tc>
          <w:tcPr>
            <w:tcW w:type="dxa" w:w="1568"/>
          </w:tcPr>
          <w:p>
            <w:pPr>
              <w:spacing w:before="40" w:after="40"/>
            </w:pPr>
            <w:r/>
            <w:r>
              <w:rPr>
                <w:rFonts w:ascii="Calibri" w:hAnsi="Calibri"/>
                <w:b w:val="0"/>
                <w:color w:val="333333"/>
                <w:sz w:val="18"/>
              </w:rPr>
              <w:t>R7</w:t>
            </w:r>
          </w:p>
        </w:tc>
        <w:tc>
          <w:tcPr>
            <w:tcW w:type="dxa" w:w="1568"/>
          </w:tcPr>
          <w:p>
            <w:pPr>
              <w:spacing w:before="40" w:after="40"/>
            </w:pPr>
            <w:r/>
            <w:r>
              <w:rPr>
                <w:rFonts w:ascii="Calibri" w:hAnsi="Calibri"/>
                <w:b w:val="0"/>
                <w:color w:val="333333"/>
                <w:sz w:val="18"/>
              </w:rPr>
              <w:t>Technical</w:t>
            </w:r>
          </w:p>
        </w:tc>
        <w:tc>
          <w:tcPr>
            <w:tcW w:type="dxa" w:w="1568"/>
          </w:tcPr>
          <w:p>
            <w:pPr>
              <w:spacing w:before="40" w:after="40"/>
            </w:pPr>
            <w:r/>
            <w:r>
              <w:rPr>
                <w:rFonts w:ascii="Calibri" w:hAnsi="Calibri"/>
                <w:b w:val="0"/>
                <w:color w:val="333333"/>
                <w:sz w:val="18"/>
              </w:rPr>
              <w:t>Platform scaling under high concurrent load</w:t>
            </w:r>
          </w:p>
        </w:tc>
        <w:tc>
          <w:tcPr>
            <w:tcW w:type="dxa" w:w="1568"/>
          </w:tcPr>
          <w:p>
            <w:pPr>
              <w:spacing w:before="40" w:after="40"/>
            </w:pPr>
            <w:r/>
            <w:r>
              <w:rPr>
                <w:rFonts w:ascii="Calibri" w:hAnsi="Calibri"/>
                <w:b w:val="0"/>
                <w:color w:val="333333"/>
                <w:sz w:val="18"/>
              </w:rPr>
              <w:t>Medium</w:t>
            </w:r>
          </w:p>
        </w:tc>
        <w:tc>
          <w:tcPr>
            <w:tcW w:type="dxa" w:w="1568"/>
          </w:tcPr>
          <w:p>
            <w:pPr>
              <w:spacing w:before="40" w:after="40"/>
            </w:pPr>
            <w:r/>
            <w:r>
              <w:rPr>
                <w:rFonts w:ascii="Calibri" w:hAnsi="Calibri"/>
                <w:b w:val="0"/>
                <w:color w:val="333333"/>
                <w:sz w:val="18"/>
              </w:rPr>
              <w:t>Medium</w:t>
            </w:r>
          </w:p>
        </w:tc>
        <w:tc>
          <w:tcPr>
            <w:tcW w:type="dxa" w:w="1568"/>
          </w:tcPr>
          <w:p>
            <w:pPr>
              <w:spacing w:before="40" w:after="40"/>
            </w:pPr>
            <w:r/>
            <w:r>
              <w:rPr>
                <w:rFonts w:ascii="Calibri" w:hAnsi="Calibri"/>
                <w:b w:val="0"/>
                <w:color w:val="333333"/>
                <w:sz w:val="18"/>
              </w:rPr>
              <w:t>Railway auto-scaling, PostgreSQL connection pooling, CDN for static assets. Load testing before geographic expansion.</w:t>
            </w:r>
          </w:p>
        </w:tc>
      </w:tr>
      <w:tr>
        <w:tc>
          <w:tcPr>
            <w:tcW w:type="dxa" w:w="1568"/>
            <w:shd w:fill="F0F7FF" w:val="clear"/>
          </w:tcPr>
          <w:p>
            <w:pPr>
              <w:spacing w:before="40" w:after="40"/>
            </w:pPr>
            <w:r/>
            <w:r>
              <w:rPr>
                <w:rFonts w:ascii="Calibri" w:hAnsi="Calibri"/>
                <w:b w:val="0"/>
                <w:color w:val="333333"/>
                <w:sz w:val="18"/>
              </w:rPr>
              <w:t>R8</w:t>
            </w:r>
          </w:p>
        </w:tc>
        <w:tc>
          <w:tcPr>
            <w:tcW w:type="dxa" w:w="1568"/>
            <w:shd w:fill="F0F7FF" w:val="clear"/>
          </w:tcPr>
          <w:p>
            <w:pPr>
              <w:spacing w:before="40" w:after="40"/>
            </w:pPr>
            <w:r/>
            <w:r>
              <w:rPr>
                <w:rFonts w:ascii="Calibri" w:hAnsi="Calibri"/>
                <w:b w:val="0"/>
                <w:color w:val="333333"/>
                <w:sz w:val="18"/>
              </w:rPr>
              <w:t>Operational</w:t>
            </w:r>
          </w:p>
        </w:tc>
        <w:tc>
          <w:tcPr>
            <w:tcW w:type="dxa" w:w="1568"/>
            <w:shd w:fill="F0F7FF" w:val="clear"/>
          </w:tcPr>
          <w:p>
            <w:pPr>
              <w:spacing w:before="40" w:after="40"/>
            </w:pPr>
            <w:r/>
            <w:r>
              <w:rPr>
                <w:rFonts w:ascii="Calibri" w:hAnsi="Calibri"/>
                <w:b w:val="0"/>
                <w:color w:val="333333"/>
                <w:sz w:val="18"/>
              </w:rPr>
              <w:t>Insufficient team capacity for geographic expansion</w:t>
            </w:r>
          </w:p>
        </w:tc>
        <w:tc>
          <w:tcPr>
            <w:tcW w:type="dxa" w:w="1568"/>
            <w:shd w:fill="F0F7FF" w:val="clear"/>
          </w:tcPr>
          <w:p>
            <w:pPr>
              <w:spacing w:before="40" w:after="40"/>
            </w:pPr>
            <w:r/>
            <w:r>
              <w:rPr>
                <w:rFonts w:ascii="Calibri" w:hAnsi="Calibri"/>
                <w:b w:val="0"/>
                <w:color w:val="333333"/>
                <w:sz w:val="18"/>
              </w:rPr>
              <w:t>High</w:t>
            </w:r>
          </w:p>
        </w:tc>
        <w:tc>
          <w:tcPr>
            <w:tcW w:type="dxa" w:w="1568"/>
            <w:shd w:fill="F0F7FF" w:val="clear"/>
          </w:tcPr>
          <w:p>
            <w:pPr>
              <w:spacing w:before="40" w:after="40"/>
            </w:pPr>
            <w:r/>
            <w:r>
              <w:rPr>
                <w:rFonts w:ascii="Calibri" w:hAnsi="Calibri"/>
                <w:b w:val="0"/>
                <w:color w:val="333333"/>
                <w:sz w:val="18"/>
              </w:rPr>
              <w:t>Medium</w:t>
            </w:r>
          </w:p>
        </w:tc>
        <w:tc>
          <w:tcPr>
            <w:tcW w:type="dxa" w:w="1568"/>
            <w:shd w:fill="F0F7FF" w:val="clear"/>
          </w:tcPr>
          <w:p>
            <w:pPr>
              <w:spacing w:before="40" w:after="40"/>
            </w:pPr>
            <w:r/>
            <w:r>
              <w:rPr>
                <w:rFonts w:ascii="Calibri" w:hAnsi="Calibri"/>
                <w:b w:val="0"/>
                <w:color w:val="333333"/>
                <w:sz w:val="18"/>
              </w:rPr>
              <w:t>Partner-led expansion model reduces need for direct presence. CSO networks handle local recruitment. Phased rollout (Kenya → SSA → LatAm).</w:t>
            </w:r>
          </w:p>
        </w:tc>
      </w:tr>
      <w:tr>
        <w:tc>
          <w:tcPr>
            <w:tcW w:type="dxa" w:w="1568"/>
          </w:tcPr>
          <w:p>
            <w:pPr>
              <w:spacing w:before="40" w:after="40"/>
            </w:pPr>
            <w:r/>
            <w:r>
              <w:rPr>
                <w:rFonts w:ascii="Calibri" w:hAnsi="Calibri"/>
                <w:b w:val="0"/>
                <w:color w:val="333333"/>
                <w:sz w:val="18"/>
              </w:rPr>
              <w:t>R9</w:t>
            </w:r>
          </w:p>
        </w:tc>
        <w:tc>
          <w:tcPr>
            <w:tcW w:type="dxa" w:w="1568"/>
          </w:tcPr>
          <w:p>
            <w:pPr>
              <w:spacing w:before="40" w:after="40"/>
            </w:pPr>
            <w:r/>
            <w:r>
              <w:rPr>
                <w:rFonts w:ascii="Calibri" w:hAnsi="Calibri"/>
                <w:b w:val="0"/>
                <w:color w:val="333333"/>
                <w:sz w:val="18"/>
              </w:rPr>
              <w:t>Operational</w:t>
            </w:r>
          </w:p>
        </w:tc>
        <w:tc>
          <w:tcPr>
            <w:tcW w:type="dxa" w:w="1568"/>
          </w:tcPr>
          <w:p>
            <w:pPr>
              <w:spacing w:before="40" w:after="40"/>
            </w:pPr>
            <w:r/>
            <w:r>
              <w:rPr>
                <w:rFonts w:ascii="Calibri" w:hAnsi="Calibri"/>
                <w:b w:val="0"/>
                <w:color w:val="333333"/>
                <w:sz w:val="18"/>
              </w:rPr>
              <w:t>CSO network MOUs do not translate to user acquisition</w:t>
            </w:r>
          </w:p>
        </w:tc>
        <w:tc>
          <w:tcPr>
            <w:tcW w:type="dxa" w:w="1568"/>
          </w:tcPr>
          <w:p>
            <w:pPr>
              <w:spacing w:before="40" w:after="40"/>
            </w:pPr>
            <w:r/>
            <w:r>
              <w:rPr>
                <w:rFonts w:ascii="Calibri" w:hAnsi="Calibri"/>
                <w:b w:val="0"/>
                <w:color w:val="333333"/>
                <w:sz w:val="18"/>
              </w:rPr>
              <w:t>Medium</w:t>
            </w:r>
          </w:p>
        </w:tc>
        <w:tc>
          <w:tcPr>
            <w:tcW w:type="dxa" w:w="1568"/>
          </w:tcPr>
          <w:p>
            <w:pPr>
              <w:spacing w:before="40" w:after="40"/>
            </w:pPr>
            <w:r/>
            <w:r>
              <w:rPr>
                <w:rFonts w:ascii="Calibri" w:hAnsi="Calibri"/>
                <w:b w:val="0"/>
                <w:color w:val="333333"/>
                <w:sz w:val="18"/>
              </w:rPr>
              <w:t>High</w:t>
            </w:r>
          </w:p>
        </w:tc>
        <w:tc>
          <w:tcPr>
            <w:tcW w:type="dxa" w:w="1568"/>
          </w:tcPr>
          <w:p>
            <w:pPr>
              <w:spacing w:before="40" w:after="40"/>
            </w:pPr>
            <w:r/>
            <w:r>
              <w:rPr>
                <w:rFonts w:ascii="Calibri" w:hAnsi="Calibri"/>
                <w:b w:val="0"/>
                <w:color w:val="333333"/>
                <w:sz w:val="18"/>
              </w:rPr>
              <w:t>Direct sales fallback. Incentivize networks with revenue share on ERP reselling. Joint donor proposals to fund member access.</w:t>
            </w:r>
          </w:p>
        </w:tc>
      </w:tr>
      <w:tr>
        <w:tc>
          <w:tcPr>
            <w:tcW w:type="dxa" w:w="1568"/>
            <w:shd w:fill="F0F7FF" w:val="clear"/>
          </w:tcPr>
          <w:p>
            <w:pPr>
              <w:spacing w:before="40" w:after="40"/>
            </w:pPr>
            <w:r/>
            <w:r>
              <w:rPr>
                <w:rFonts w:ascii="Calibri" w:hAnsi="Calibri"/>
                <w:b w:val="0"/>
                <w:color w:val="333333"/>
                <w:sz w:val="18"/>
              </w:rPr>
              <w:t>R10</w:t>
            </w:r>
          </w:p>
        </w:tc>
        <w:tc>
          <w:tcPr>
            <w:tcW w:type="dxa" w:w="1568"/>
            <w:shd w:fill="F0F7FF" w:val="clear"/>
          </w:tcPr>
          <w:p>
            <w:pPr>
              <w:spacing w:before="40" w:after="40"/>
            </w:pPr>
            <w:r/>
            <w:r>
              <w:rPr>
                <w:rFonts w:ascii="Calibri" w:hAnsi="Calibri"/>
                <w:b w:val="0"/>
                <w:color w:val="333333"/>
                <w:sz w:val="18"/>
              </w:rPr>
              <w:t>Financial</w:t>
            </w:r>
          </w:p>
        </w:tc>
        <w:tc>
          <w:tcPr>
            <w:tcW w:type="dxa" w:w="1568"/>
            <w:shd w:fill="F0F7FF" w:val="clear"/>
          </w:tcPr>
          <w:p>
            <w:pPr>
              <w:spacing w:before="40" w:after="40"/>
            </w:pPr>
            <w:r/>
            <w:r>
              <w:rPr>
                <w:rFonts w:ascii="Calibri" w:hAnsi="Calibri"/>
                <w:b w:val="0"/>
                <w:color w:val="333333"/>
                <w:sz w:val="18"/>
              </w:rPr>
              <w:t>Revenue concentration in single donor contracts</w:t>
            </w:r>
          </w:p>
        </w:tc>
        <w:tc>
          <w:tcPr>
            <w:tcW w:type="dxa" w:w="1568"/>
            <w:shd w:fill="F0F7FF" w:val="clear"/>
          </w:tcPr>
          <w:p>
            <w:pPr>
              <w:spacing w:before="40" w:after="40"/>
            </w:pPr>
            <w:r/>
            <w:r>
              <w:rPr>
                <w:rFonts w:ascii="Calibri" w:hAnsi="Calibri"/>
                <w:b w:val="0"/>
                <w:color w:val="333333"/>
                <w:sz w:val="18"/>
              </w:rPr>
              <w:t>Medium</w:t>
            </w:r>
          </w:p>
        </w:tc>
        <w:tc>
          <w:tcPr>
            <w:tcW w:type="dxa" w:w="1568"/>
            <w:shd w:fill="F0F7FF" w:val="clear"/>
          </w:tcPr>
          <w:p>
            <w:pPr>
              <w:spacing w:before="40" w:after="40"/>
            </w:pPr>
            <w:r/>
            <w:r>
              <w:rPr>
                <w:rFonts w:ascii="Calibri" w:hAnsi="Calibri"/>
                <w:b w:val="0"/>
                <w:color w:val="333333"/>
                <w:sz w:val="18"/>
              </w:rPr>
              <w:t>High</w:t>
            </w:r>
          </w:p>
        </w:tc>
        <w:tc>
          <w:tcPr>
            <w:tcW w:type="dxa" w:w="1568"/>
            <w:shd w:fill="F0F7FF" w:val="clear"/>
          </w:tcPr>
          <w:p>
            <w:pPr>
              <w:spacing w:before="40" w:after="40"/>
            </w:pPr>
            <w:r/>
            <w:r>
              <w:rPr>
                <w:rFonts w:ascii="Calibri" w:hAnsi="Calibri"/>
                <w:b w:val="0"/>
                <w:color w:val="333333"/>
                <w:sz w:val="18"/>
              </w:rPr>
              <w:t>Diversify across product lines (portal, ERP, outsourcing). Target 10+ donors by end of 2026. Build recurring revenue from CSO subscriptions.</w:t>
            </w:r>
          </w:p>
        </w:tc>
      </w:tr>
      <w:tr>
        <w:tc>
          <w:tcPr>
            <w:tcW w:type="dxa" w:w="1568"/>
          </w:tcPr>
          <w:p>
            <w:pPr>
              <w:spacing w:before="40" w:after="40"/>
            </w:pPr>
            <w:r/>
            <w:r>
              <w:rPr>
                <w:rFonts w:ascii="Calibri" w:hAnsi="Calibri"/>
                <w:b w:val="0"/>
                <w:color w:val="333333"/>
                <w:sz w:val="18"/>
              </w:rPr>
              <w:t>R11</w:t>
            </w:r>
          </w:p>
        </w:tc>
        <w:tc>
          <w:tcPr>
            <w:tcW w:type="dxa" w:w="1568"/>
          </w:tcPr>
          <w:p>
            <w:pPr>
              <w:spacing w:before="40" w:after="40"/>
            </w:pPr>
            <w:r/>
            <w:r>
              <w:rPr>
                <w:rFonts w:ascii="Calibri" w:hAnsi="Calibri"/>
                <w:b w:val="0"/>
                <w:color w:val="333333"/>
                <w:sz w:val="18"/>
              </w:rPr>
              <w:t>Financial</w:t>
            </w:r>
          </w:p>
        </w:tc>
        <w:tc>
          <w:tcPr>
            <w:tcW w:type="dxa" w:w="1568"/>
          </w:tcPr>
          <w:p>
            <w:pPr>
              <w:spacing w:before="40" w:after="40"/>
            </w:pPr>
            <w:r/>
            <w:r>
              <w:rPr>
                <w:rFonts w:ascii="Calibri" w:hAnsi="Calibri"/>
                <w:b w:val="0"/>
                <w:color w:val="333333"/>
                <w:sz w:val="18"/>
              </w:rPr>
              <w:t>Cross-subsidy model unsustainable at scale</w:t>
            </w:r>
          </w:p>
        </w:tc>
        <w:tc>
          <w:tcPr>
            <w:tcW w:type="dxa" w:w="1568"/>
          </w:tcPr>
          <w:p>
            <w:pPr>
              <w:spacing w:before="40" w:after="40"/>
            </w:pPr>
            <w:r/>
            <w:r>
              <w:rPr>
                <w:rFonts w:ascii="Calibri" w:hAnsi="Calibri"/>
                <w:b w:val="0"/>
                <w:color w:val="333333"/>
                <w:sz w:val="18"/>
              </w:rPr>
              <w:t>Low</w:t>
            </w:r>
          </w:p>
        </w:tc>
        <w:tc>
          <w:tcPr>
            <w:tcW w:type="dxa" w:w="1568"/>
          </w:tcPr>
          <w:p>
            <w:pPr>
              <w:spacing w:before="40" w:after="40"/>
            </w:pPr>
            <w:r/>
            <w:r>
              <w:rPr>
                <w:rFonts w:ascii="Calibri" w:hAnsi="Calibri"/>
                <w:b w:val="0"/>
                <w:color w:val="333333"/>
                <w:sz w:val="18"/>
              </w:rPr>
              <w:t>Medium</w:t>
            </w:r>
          </w:p>
        </w:tc>
        <w:tc>
          <w:tcPr>
            <w:tcW w:type="dxa" w:w="1568"/>
          </w:tcPr>
          <w:p>
            <w:pPr>
              <w:spacing w:before="40" w:after="40"/>
            </w:pPr>
            <w:r/>
            <w:r>
              <w:rPr>
                <w:rFonts w:ascii="Calibri" w:hAnsi="Calibri"/>
                <w:b w:val="0"/>
                <w:color w:val="333333"/>
                <w:sz w:val="18"/>
              </w:rPr>
              <w:t>Model validated through pilot phase. Donor premium (75%) covers CSO subsidization. Adjust ratios based on unit economics data.</w:t>
            </w:r>
          </w:p>
        </w:tc>
      </w:tr>
      <w:tr>
        <w:tc>
          <w:tcPr>
            <w:tcW w:type="dxa" w:w="1568"/>
            <w:shd w:fill="F0F7FF" w:val="clear"/>
          </w:tcPr>
          <w:p>
            <w:pPr>
              <w:spacing w:before="40" w:after="40"/>
            </w:pPr>
            <w:r/>
            <w:r>
              <w:rPr>
                <w:rFonts w:ascii="Calibri" w:hAnsi="Calibri"/>
                <w:b w:val="0"/>
                <w:color w:val="333333"/>
                <w:sz w:val="18"/>
              </w:rPr>
              <w:t>R12</w:t>
            </w:r>
          </w:p>
        </w:tc>
        <w:tc>
          <w:tcPr>
            <w:tcW w:type="dxa" w:w="1568"/>
            <w:shd w:fill="F0F7FF" w:val="clear"/>
          </w:tcPr>
          <w:p>
            <w:pPr>
              <w:spacing w:before="40" w:after="40"/>
            </w:pPr>
            <w:r/>
            <w:r>
              <w:rPr>
                <w:rFonts w:ascii="Calibri" w:hAnsi="Calibri"/>
                <w:b w:val="0"/>
                <w:color w:val="333333"/>
                <w:sz w:val="18"/>
              </w:rPr>
              <w:t>Competitive</w:t>
            </w:r>
          </w:p>
        </w:tc>
        <w:tc>
          <w:tcPr>
            <w:tcW w:type="dxa" w:w="1568"/>
            <w:shd w:fill="F0F7FF" w:val="clear"/>
          </w:tcPr>
          <w:p>
            <w:pPr>
              <w:spacing w:before="40" w:after="40"/>
            </w:pPr>
            <w:r/>
            <w:r>
              <w:rPr>
                <w:rFonts w:ascii="Calibri" w:hAnsi="Calibri"/>
                <w:b w:val="0"/>
                <w:color w:val="333333"/>
                <w:sz w:val="18"/>
              </w:rPr>
              <w:t>Bonterra Grantmaker (Feb 2026) captures small foundation market</w:t>
            </w:r>
          </w:p>
        </w:tc>
        <w:tc>
          <w:tcPr>
            <w:tcW w:type="dxa" w:w="1568"/>
            <w:shd w:fill="F0F7FF" w:val="clear"/>
          </w:tcPr>
          <w:p>
            <w:pPr>
              <w:spacing w:before="40" w:after="40"/>
            </w:pPr>
            <w:r/>
            <w:r>
              <w:rPr>
                <w:rFonts w:ascii="Calibri" w:hAnsi="Calibri"/>
                <w:b w:val="0"/>
                <w:color w:val="333333"/>
                <w:sz w:val="18"/>
              </w:rPr>
              <w:t>Medium</w:t>
            </w:r>
          </w:p>
        </w:tc>
        <w:tc>
          <w:tcPr>
            <w:tcW w:type="dxa" w:w="1568"/>
            <w:shd w:fill="F0F7FF" w:val="clear"/>
          </w:tcPr>
          <w:p>
            <w:pPr>
              <w:spacing w:before="40" w:after="40"/>
            </w:pPr>
            <w:r/>
            <w:r>
              <w:rPr>
                <w:rFonts w:ascii="Calibri" w:hAnsi="Calibri"/>
                <w:b w:val="0"/>
                <w:color w:val="333333"/>
                <w:sz w:val="18"/>
              </w:rPr>
              <w:t>Low</w:t>
            </w:r>
          </w:p>
        </w:tc>
        <w:tc>
          <w:tcPr>
            <w:tcW w:type="dxa" w:w="1568"/>
            <w:shd w:fill="F0F7FF" w:val="clear"/>
          </w:tcPr>
          <w:p>
            <w:pPr>
              <w:spacing w:before="40" w:after="40"/>
            </w:pPr>
            <w:r/>
            <w:r>
              <w:rPr>
                <w:rFonts w:ascii="Calibri" w:hAnsi="Calibri"/>
                <w:b w:val="0"/>
                <w:color w:val="333333"/>
                <w:sz w:val="18"/>
              </w:rPr>
              <w:t>Bonterra targets US foundations; Kuja targets Global South. Minimal overlap. Monitor for international expansion.</w:t>
            </w:r>
          </w:p>
        </w:tc>
      </w:tr>
    </w:tbl>
    <w:p>
      <w:r>
        <w:br w:type="page"/>
      </w:r>
    </w:p>
    <w:p>
      <w:pPr>
        <w:pStyle w:val="Heading1"/>
        <w:spacing w:before="360" w:after="160"/>
      </w:pPr>
      <w:r>
        <w:rPr>
          <w:rFonts w:ascii="Calibri" w:hAnsi="Calibri"/>
          <w:color w:val="1E40AF"/>
        </w:rPr>
        <w:t>9. Product Roadmap</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3135"/>
            <w:shd w:fill="1E40AF" w:val="clear"/>
          </w:tcPr>
          <w:p>
            <w:pPr>
              <w:spacing w:before="40" w:after="40"/>
            </w:pPr>
            <w:r/>
            <w:r>
              <w:rPr>
                <w:rFonts w:ascii="Calibri" w:hAnsi="Calibri"/>
                <w:b/>
                <w:color w:val="FFFFFF"/>
                <w:sz w:val="18"/>
              </w:rPr>
              <w:t>Quarter</w:t>
            </w:r>
          </w:p>
        </w:tc>
        <w:tc>
          <w:tcPr>
            <w:tcW w:type="dxa" w:w="3135"/>
            <w:shd w:fill="1E40AF" w:val="clear"/>
          </w:tcPr>
          <w:p>
            <w:pPr>
              <w:spacing w:before="40" w:after="40"/>
            </w:pPr>
            <w:r/>
            <w:r>
              <w:rPr>
                <w:rFonts w:ascii="Calibri" w:hAnsi="Calibri"/>
                <w:b/>
                <w:color w:val="FFFFFF"/>
                <w:sz w:val="18"/>
              </w:rPr>
              <w:t>Milestone</w:t>
            </w:r>
          </w:p>
        </w:tc>
        <w:tc>
          <w:tcPr>
            <w:tcW w:type="dxa" w:w="3135"/>
            <w:shd w:fill="1E40AF" w:val="clear"/>
          </w:tcPr>
          <w:p>
            <w:pPr>
              <w:spacing w:before="40" w:after="40"/>
            </w:pPr>
            <w:r/>
            <w:r>
              <w:rPr>
                <w:rFonts w:ascii="Calibri" w:hAnsi="Calibri"/>
                <w:b/>
                <w:color w:val="FFFFFF"/>
                <w:sz w:val="18"/>
              </w:rPr>
              <w:t>Status</w:t>
            </w:r>
          </w:p>
        </w:tc>
      </w:tr>
      <w:tr>
        <w:tc>
          <w:tcPr>
            <w:tcW w:type="dxa" w:w="3135"/>
          </w:tcPr>
          <w:p>
            <w:pPr>
              <w:spacing w:before="40" w:after="40"/>
            </w:pPr>
            <w:r/>
            <w:r>
              <w:rPr>
                <w:rFonts w:ascii="Calibri" w:hAnsi="Calibri"/>
                <w:b w:val="0"/>
                <w:color w:val="333333"/>
                <w:sz w:val="18"/>
              </w:rPr>
              <w:t>Q1 2026</w:t>
            </w:r>
          </w:p>
        </w:tc>
        <w:tc>
          <w:tcPr>
            <w:tcW w:type="dxa" w:w="3135"/>
          </w:tcPr>
          <w:p>
            <w:pPr>
              <w:spacing w:before="40" w:after="40"/>
            </w:pPr>
            <w:r/>
            <w:r>
              <w:rPr>
                <w:rFonts w:ascii="Calibri" w:hAnsi="Calibri"/>
                <w:b w:val="0"/>
                <w:color w:val="333333"/>
                <w:sz w:val="18"/>
              </w:rPr>
              <w:t>Grant Platform v3 live with full AI capabilities</w:t>
            </w:r>
          </w:p>
        </w:tc>
        <w:tc>
          <w:tcPr>
            <w:tcW w:type="dxa" w:w="3135"/>
          </w:tcPr>
          <w:p>
            <w:pPr>
              <w:spacing w:before="40" w:after="40"/>
            </w:pPr>
            <w:r/>
            <w:r>
              <w:rPr>
                <w:rFonts w:ascii="Calibri" w:hAnsi="Calibri"/>
                <w:b w:val="0"/>
                <w:color w:val="333333"/>
                <w:sz w:val="18"/>
              </w:rPr>
              <w:t>Shipped</w:t>
            </w:r>
          </w:p>
        </w:tc>
      </w:tr>
      <w:tr>
        <w:tc>
          <w:tcPr>
            <w:tcW w:type="dxa" w:w="3135"/>
            <w:shd w:fill="F0F7FF" w:val="clear"/>
          </w:tcPr>
          <w:p>
            <w:pPr>
              <w:spacing w:before="40" w:after="40"/>
            </w:pPr>
            <w:r/>
            <w:r>
              <w:rPr>
                <w:rFonts w:ascii="Calibri" w:hAnsi="Calibri"/>
                <w:b w:val="0"/>
                <w:color w:val="333333"/>
                <w:sz w:val="18"/>
              </w:rPr>
              <w:t>Q1 2026</w:t>
            </w:r>
          </w:p>
        </w:tc>
        <w:tc>
          <w:tcPr>
            <w:tcW w:type="dxa" w:w="3135"/>
            <w:shd w:fill="F0F7FF" w:val="clear"/>
          </w:tcPr>
          <w:p>
            <w:pPr>
              <w:spacing w:before="40" w:after="40"/>
            </w:pPr>
            <w:r/>
            <w:r>
              <w:rPr>
                <w:rFonts w:ascii="Calibri" w:hAnsi="Calibri"/>
                <w:b w:val="0"/>
                <w:color w:val="333333"/>
                <w:sz w:val="18"/>
              </w:rPr>
              <w:t>Live sanctions screening (OpenSanctions + fallback)</w:t>
            </w:r>
          </w:p>
        </w:tc>
        <w:tc>
          <w:tcPr>
            <w:tcW w:type="dxa" w:w="3135"/>
            <w:shd w:fill="F0F7FF" w:val="clear"/>
          </w:tcPr>
          <w:p>
            <w:pPr>
              <w:spacing w:before="40" w:after="40"/>
            </w:pPr>
            <w:r/>
            <w:r>
              <w:rPr>
                <w:rFonts w:ascii="Calibri" w:hAnsi="Calibri"/>
                <w:b w:val="0"/>
                <w:color w:val="333333"/>
                <w:sz w:val="18"/>
              </w:rPr>
              <w:t>Shipped</w:t>
            </w:r>
          </w:p>
        </w:tc>
      </w:tr>
      <w:tr>
        <w:tc>
          <w:tcPr>
            <w:tcW w:type="dxa" w:w="3135"/>
          </w:tcPr>
          <w:p>
            <w:pPr>
              <w:spacing w:before="40" w:after="40"/>
            </w:pPr>
            <w:r/>
            <w:r>
              <w:rPr>
                <w:rFonts w:ascii="Calibri" w:hAnsi="Calibri"/>
                <w:b w:val="0"/>
                <w:color w:val="333333"/>
                <w:sz w:val="18"/>
              </w:rPr>
              <w:t>Q1 2026</w:t>
            </w:r>
          </w:p>
        </w:tc>
        <w:tc>
          <w:tcPr>
            <w:tcW w:type="dxa" w:w="3135"/>
          </w:tcPr>
          <w:p>
            <w:pPr>
              <w:spacing w:before="40" w:after="40"/>
            </w:pPr>
            <w:r/>
            <w:r>
              <w:rPr>
                <w:rFonts w:ascii="Calibri" w:hAnsi="Calibri"/>
                <w:b w:val="0"/>
                <w:color w:val="333333"/>
                <w:sz w:val="18"/>
              </w:rPr>
              <w:t>Government registry verification (7 African countries live)</w:t>
            </w:r>
          </w:p>
        </w:tc>
        <w:tc>
          <w:tcPr>
            <w:tcW w:type="dxa" w:w="3135"/>
          </w:tcPr>
          <w:p>
            <w:pPr>
              <w:spacing w:before="40" w:after="40"/>
            </w:pPr>
            <w:r/>
            <w:r>
              <w:rPr>
                <w:rFonts w:ascii="Calibri" w:hAnsi="Calibri"/>
                <w:b w:val="0"/>
                <w:color w:val="333333"/>
                <w:sz w:val="18"/>
              </w:rPr>
              <w:t>Shipped</w:t>
            </w:r>
          </w:p>
        </w:tc>
      </w:tr>
      <w:tr>
        <w:tc>
          <w:tcPr>
            <w:tcW w:type="dxa" w:w="3135"/>
            <w:shd w:fill="F0F7FF" w:val="clear"/>
          </w:tcPr>
          <w:p>
            <w:pPr>
              <w:spacing w:before="40" w:after="40"/>
            </w:pPr>
            <w:r/>
            <w:r>
              <w:rPr>
                <w:rFonts w:ascii="Calibri" w:hAnsi="Calibri"/>
                <w:b w:val="0"/>
                <w:color w:val="333333"/>
                <w:sz w:val="18"/>
              </w:rPr>
              <w:t>Q1 2026</w:t>
            </w:r>
          </w:p>
        </w:tc>
        <w:tc>
          <w:tcPr>
            <w:tcW w:type="dxa" w:w="3135"/>
            <w:shd w:fill="F0F7FF" w:val="clear"/>
          </w:tcPr>
          <w:p>
            <w:pPr>
              <w:spacing w:before="40" w:after="40"/>
            </w:pPr>
            <w:r/>
            <w:r>
              <w:rPr>
                <w:rFonts w:ascii="Calibri" w:hAnsi="Calibri"/>
                <w:b w:val="0"/>
                <w:color w:val="333333"/>
                <w:sz w:val="18"/>
              </w:rPr>
              <w:t>AI document analysis against donor-specific requirements</w:t>
            </w:r>
          </w:p>
        </w:tc>
        <w:tc>
          <w:tcPr>
            <w:tcW w:type="dxa" w:w="3135"/>
            <w:shd w:fill="F0F7FF" w:val="clear"/>
          </w:tcPr>
          <w:p>
            <w:pPr>
              <w:spacing w:before="40" w:after="40"/>
            </w:pPr>
            <w:r/>
            <w:r>
              <w:rPr>
                <w:rFonts w:ascii="Calibri" w:hAnsi="Calibri"/>
                <w:b w:val="0"/>
                <w:color w:val="333333"/>
                <w:sz w:val="18"/>
              </w:rPr>
              <w:t>Shipped</w:t>
            </w:r>
          </w:p>
        </w:tc>
      </w:tr>
      <w:tr>
        <w:tc>
          <w:tcPr>
            <w:tcW w:type="dxa" w:w="3135"/>
          </w:tcPr>
          <w:p>
            <w:pPr>
              <w:spacing w:before="40" w:after="40"/>
            </w:pPr>
            <w:r/>
            <w:r>
              <w:rPr>
                <w:rFonts w:ascii="Calibri" w:hAnsi="Calibri"/>
                <w:b w:val="0"/>
                <w:color w:val="333333"/>
                <w:sz w:val="18"/>
              </w:rPr>
              <w:t>Q1 2026</w:t>
            </w:r>
          </w:p>
        </w:tc>
        <w:tc>
          <w:tcPr>
            <w:tcW w:type="dxa" w:w="3135"/>
          </w:tcPr>
          <w:p>
            <w:pPr>
              <w:spacing w:before="40" w:after="40"/>
            </w:pPr>
            <w:r/>
            <w:r>
              <w:rPr>
                <w:rFonts w:ascii="Calibri" w:hAnsi="Calibri"/>
                <w:b w:val="0"/>
                <w:color w:val="333333"/>
                <w:sz w:val="18"/>
              </w:rPr>
              <w:t>Grant agreement upload with AI extraction</w:t>
            </w:r>
          </w:p>
        </w:tc>
        <w:tc>
          <w:tcPr>
            <w:tcW w:type="dxa" w:w="3135"/>
          </w:tcPr>
          <w:p>
            <w:pPr>
              <w:spacing w:before="40" w:after="40"/>
            </w:pPr>
            <w:r/>
            <w:r>
              <w:rPr>
                <w:rFonts w:ascii="Calibri" w:hAnsi="Calibri"/>
                <w:b w:val="0"/>
                <w:color w:val="333333"/>
                <w:sz w:val="18"/>
              </w:rPr>
              <w:t>Shipped</w:t>
            </w:r>
          </w:p>
        </w:tc>
      </w:tr>
      <w:tr>
        <w:tc>
          <w:tcPr>
            <w:tcW w:type="dxa" w:w="3135"/>
            <w:shd w:fill="F0F7FF" w:val="clear"/>
          </w:tcPr>
          <w:p>
            <w:pPr>
              <w:spacing w:before="40" w:after="40"/>
            </w:pPr>
            <w:r/>
            <w:r>
              <w:rPr>
                <w:rFonts w:ascii="Calibri" w:hAnsi="Calibri"/>
                <w:b w:val="0"/>
                <w:color w:val="333333"/>
                <w:sz w:val="18"/>
              </w:rPr>
              <w:t>Q1 2026</w:t>
            </w:r>
          </w:p>
        </w:tc>
        <w:tc>
          <w:tcPr>
            <w:tcW w:type="dxa" w:w="3135"/>
            <w:shd w:fill="F0F7FF" w:val="clear"/>
          </w:tcPr>
          <w:p>
            <w:pPr>
              <w:spacing w:before="40" w:after="40"/>
            </w:pPr>
            <w:r/>
            <w:r>
              <w:rPr>
                <w:rFonts w:ascii="Calibri" w:hAnsi="Calibri"/>
                <w:b w:val="0"/>
                <w:color w:val="333333"/>
                <w:sz w:val="18"/>
              </w:rPr>
              <w:t>Donor grant wizard with AI evaluation criteria</w:t>
            </w:r>
          </w:p>
        </w:tc>
        <w:tc>
          <w:tcPr>
            <w:tcW w:type="dxa" w:w="3135"/>
            <w:shd w:fill="F0F7FF" w:val="clear"/>
          </w:tcPr>
          <w:p>
            <w:pPr>
              <w:spacing w:before="40" w:after="40"/>
            </w:pPr>
            <w:r/>
            <w:r>
              <w:rPr>
                <w:rFonts w:ascii="Calibri" w:hAnsi="Calibri"/>
                <w:b w:val="0"/>
                <w:color w:val="333333"/>
                <w:sz w:val="18"/>
              </w:rPr>
              <w:t>Shipped</w:t>
            </w:r>
          </w:p>
        </w:tc>
      </w:tr>
      <w:tr>
        <w:tc>
          <w:tcPr>
            <w:tcW w:type="dxa" w:w="3135"/>
          </w:tcPr>
          <w:p>
            <w:pPr>
              <w:spacing w:before="40" w:after="40"/>
            </w:pPr>
            <w:r/>
            <w:r>
              <w:rPr>
                <w:rFonts w:ascii="Calibri" w:hAnsi="Calibri"/>
                <w:b w:val="0"/>
                <w:color w:val="333333"/>
                <w:sz w:val="18"/>
              </w:rPr>
              <w:t>Q1 2026</w:t>
            </w:r>
          </w:p>
        </w:tc>
        <w:tc>
          <w:tcPr>
            <w:tcW w:type="dxa" w:w="3135"/>
          </w:tcPr>
          <w:p>
            <w:pPr>
              <w:spacing w:before="40" w:after="40"/>
            </w:pPr>
            <w:r/>
            <w:r>
              <w:rPr>
                <w:rFonts w:ascii="Calibri" w:hAnsi="Calibri"/>
                <w:b w:val="0"/>
                <w:color w:val="333333"/>
                <w:sz w:val="18"/>
              </w:rPr>
              <w:t>NGO reporting with AI evaluation and compliance scores</w:t>
            </w:r>
          </w:p>
        </w:tc>
        <w:tc>
          <w:tcPr>
            <w:tcW w:type="dxa" w:w="3135"/>
          </w:tcPr>
          <w:p>
            <w:pPr>
              <w:spacing w:before="40" w:after="40"/>
            </w:pPr>
            <w:r/>
            <w:r>
              <w:rPr>
                <w:rFonts w:ascii="Calibri" w:hAnsi="Calibri"/>
                <w:b w:val="0"/>
                <w:color w:val="333333"/>
                <w:sz w:val="18"/>
              </w:rPr>
              <w:t>Shipped</w:t>
            </w:r>
          </w:p>
        </w:tc>
      </w:tr>
      <w:tr>
        <w:tc>
          <w:tcPr>
            <w:tcW w:type="dxa" w:w="3135"/>
            <w:shd w:fill="F0F7FF" w:val="clear"/>
          </w:tcPr>
          <w:p>
            <w:pPr>
              <w:spacing w:before="40" w:after="40"/>
            </w:pPr>
            <w:r/>
            <w:r>
              <w:rPr>
                <w:rFonts w:ascii="Calibri" w:hAnsi="Calibri"/>
                <w:b w:val="0"/>
                <w:color w:val="333333"/>
                <w:sz w:val="18"/>
              </w:rPr>
              <w:t>Q2 2026</w:t>
            </w:r>
          </w:p>
        </w:tc>
        <w:tc>
          <w:tcPr>
            <w:tcW w:type="dxa" w:w="3135"/>
            <w:shd w:fill="F0F7FF" w:val="clear"/>
          </w:tcPr>
          <w:p>
            <w:pPr>
              <w:spacing w:before="40" w:after="40"/>
            </w:pPr>
            <w:r/>
            <w:r>
              <w:rPr>
                <w:rFonts w:ascii="Calibri" w:hAnsi="Calibri"/>
                <w:b w:val="0"/>
                <w:color w:val="333333"/>
                <w:sz w:val="18"/>
              </w:rPr>
              <w:t>Match engine, grant Q&amp;A, diligence room, two-phase intake</w:t>
            </w:r>
          </w:p>
        </w:tc>
        <w:tc>
          <w:tcPr>
            <w:tcW w:type="dxa" w:w="3135"/>
            <w:shd w:fill="F0F7FF" w:val="clear"/>
          </w:tcPr>
          <w:p>
            <w:pPr>
              <w:spacing w:before="40" w:after="40"/>
            </w:pPr>
            <w:r/>
            <w:r>
              <w:rPr>
                <w:rFonts w:ascii="Calibri" w:hAnsi="Calibri"/>
                <w:b w:val="0"/>
                <w:color w:val="333333"/>
                <w:sz w:val="18"/>
              </w:rPr>
              <w:t>Shipped</w:t>
            </w:r>
          </w:p>
        </w:tc>
      </w:tr>
      <w:tr>
        <w:tc>
          <w:tcPr>
            <w:tcW w:type="dxa" w:w="3135"/>
          </w:tcPr>
          <w:p>
            <w:pPr>
              <w:spacing w:before="40" w:after="40"/>
            </w:pPr>
            <w:r/>
            <w:r>
              <w:rPr>
                <w:rFonts w:ascii="Calibri" w:hAnsi="Calibri"/>
                <w:b w:val="0"/>
                <w:color w:val="333333"/>
                <w:sz w:val="18"/>
              </w:rPr>
              <w:t>Q2 2026</w:t>
            </w:r>
          </w:p>
        </w:tc>
        <w:tc>
          <w:tcPr>
            <w:tcW w:type="dxa" w:w="3135"/>
          </w:tcPr>
          <w:p>
            <w:pPr>
              <w:spacing w:before="40" w:after="40"/>
            </w:pPr>
            <w:r/>
            <w:r>
              <w:rPr>
                <w:rFonts w:ascii="Calibri" w:hAnsi="Calibri"/>
                <w:b w:val="0"/>
                <w:color w:val="333333"/>
                <w:sz w:val="18"/>
              </w:rPr>
              <w:t>NGO This-Week home, decision audit, donor portfolio diagnostics</w:t>
            </w:r>
          </w:p>
        </w:tc>
        <w:tc>
          <w:tcPr>
            <w:tcW w:type="dxa" w:w="3135"/>
          </w:tcPr>
          <w:p>
            <w:pPr>
              <w:spacing w:before="40" w:after="40"/>
            </w:pPr>
            <w:r/>
            <w:r>
              <w:rPr>
                <w:rFonts w:ascii="Calibri" w:hAnsi="Calibri"/>
                <w:b w:val="0"/>
                <w:color w:val="333333"/>
                <w:sz w:val="18"/>
              </w:rPr>
              <w:t>Shipped</w:t>
            </w:r>
          </w:p>
        </w:tc>
      </w:tr>
      <w:tr>
        <w:tc>
          <w:tcPr>
            <w:tcW w:type="dxa" w:w="3135"/>
            <w:shd w:fill="F0F7FF" w:val="clear"/>
          </w:tcPr>
          <w:p>
            <w:pPr>
              <w:spacing w:before="40" w:after="40"/>
            </w:pPr>
            <w:r/>
            <w:r>
              <w:rPr>
                <w:rFonts w:ascii="Calibri" w:hAnsi="Calibri"/>
                <w:b w:val="0"/>
                <w:color w:val="333333"/>
                <w:sz w:val="18"/>
              </w:rPr>
              <w:t>Q2 2026</w:t>
            </w:r>
          </w:p>
        </w:tc>
        <w:tc>
          <w:tcPr>
            <w:tcW w:type="dxa" w:w="3135"/>
            <w:shd w:fill="F0F7FF" w:val="clear"/>
          </w:tcPr>
          <w:p>
            <w:pPr>
              <w:spacing w:before="40" w:after="40"/>
            </w:pPr>
            <w:r/>
            <w:r>
              <w:rPr>
                <w:rFonts w:ascii="Calibri" w:hAnsi="Calibri"/>
                <w:b w:val="0"/>
                <w:color w:val="333333"/>
                <w:sz w:val="18"/>
              </w:rPr>
              <w:t>Capacity assessment passporting + custom donor framework builder</w:t>
            </w:r>
          </w:p>
        </w:tc>
        <w:tc>
          <w:tcPr>
            <w:tcW w:type="dxa" w:w="3135"/>
            <w:shd w:fill="F0F7FF" w:val="clear"/>
          </w:tcPr>
          <w:p>
            <w:pPr>
              <w:spacing w:before="40" w:after="40"/>
            </w:pPr>
            <w:r/>
            <w:r>
              <w:rPr>
                <w:rFonts w:ascii="Calibri" w:hAnsi="Calibri"/>
                <w:b w:val="0"/>
                <w:color w:val="333333"/>
                <w:sz w:val="18"/>
              </w:rPr>
              <w:t>Shipped</w:t>
            </w:r>
          </w:p>
        </w:tc>
      </w:tr>
      <w:tr>
        <w:tc>
          <w:tcPr>
            <w:tcW w:type="dxa" w:w="3135"/>
          </w:tcPr>
          <w:p>
            <w:pPr>
              <w:spacing w:before="40" w:after="40"/>
            </w:pPr>
            <w:r/>
            <w:r>
              <w:rPr>
                <w:rFonts w:ascii="Calibri" w:hAnsi="Calibri"/>
                <w:b w:val="0"/>
                <w:color w:val="333333"/>
                <w:sz w:val="18"/>
              </w:rPr>
              <w:t>Q2 2026</w:t>
            </w:r>
          </w:p>
        </w:tc>
        <w:tc>
          <w:tcPr>
            <w:tcW w:type="dxa" w:w="3135"/>
          </w:tcPr>
          <w:p>
            <w:pPr>
              <w:spacing w:before="40" w:after="40"/>
            </w:pPr>
            <w:r/>
            <w:r>
              <w:rPr>
                <w:rFonts w:ascii="Calibri" w:hAnsi="Calibri"/>
                <w:b w:val="0"/>
                <w:color w:val="333333"/>
                <w:sz w:val="18"/>
              </w:rPr>
              <w:t>Two-pillar Organisation Trust Profile (Capacity + Due Diligence)</w:t>
            </w:r>
          </w:p>
        </w:tc>
        <w:tc>
          <w:tcPr>
            <w:tcW w:type="dxa" w:w="3135"/>
          </w:tcPr>
          <w:p>
            <w:pPr>
              <w:spacing w:before="40" w:after="40"/>
            </w:pPr>
            <w:r/>
            <w:r>
              <w:rPr>
                <w:rFonts w:ascii="Calibri" w:hAnsi="Calibri"/>
                <w:b w:val="0"/>
                <w:color w:val="333333"/>
                <w:sz w:val="18"/>
              </w:rPr>
              <w:t>Shipped</w:t>
            </w:r>
          </w:p>
        </w:tc>
      </w:tr>
      <w:tr>
        <w:tc>
          <w:tcPr>
            <w:tcW w:type="dxa" w:w="3135"/>
            <w:shd w:fill="F0F7FF" w:val="clear"/>
          </w:tcPr>
          <w:p>
            <w:pPr>
              <w:spacing w:before="40" w:after="40"/>
            </w:pPr>
            <w:r/>
            <w:r>
              <w:rPr>
                <w:rFonts w:ascii="Calibri" w:hAnsi="Calibri"/>
                <w:b w:val="0"/>
                <w:color w:val="333333"/>
                <w:sz w:val="18"/>
              </w:rPr>
              <w:t>Q2 2026</w:t>
            </w:r>
          </w:p>
        </w:tc>
        <w:tc>
          <w:tcPr>
            <w:tcW w:type="dxa" w:w="3135"/>
            <w:shd w:fill="F0F7FF" w:val="clear"/>
          </w:tcPr>
          <w:p>
            <w:pPr>
              <w:spacing w:before="40" w:after="40"/>
            </w:pPr>
            <w:r/>
            <w:r>
              <w:rPr>
                <w:rFonts w:ascii="Calibri" w:hAnsi="Calibri"/>
                <w:b w:val="0"/>
                <w:color w:val="333333"/>
                <w:sz w:val="18"/>
              </w:rPr>
              <w:t>Beneficial ownership transparency + adverse media monitoring</w:t>
            </w:r>
          </w:p>
        </w:tc>
        <w:tc>
          <w:tcPr>
            <w:tcW w:type="dxa" w:w="3135"/>
            <w:shd w:fill="F0F7FF" w:val="clear"/>
          </w:tcPr>
          <w:p>
            <w:pPr>
              <w:spacing w:before="40" w:after="40"/>
            </w:pPr>
            <w:r/>
            <w:r>
              <w:rPr>
                <w:rFonts w:ascii="Calibri" w:hAnsi="Calibri"/>
                <w:b w:val="0"/>
                <w:color w:val="333333"/>
                <w:sz w:val="18"/>
              </w:rPr>
              <w:t>Shipped</w:t>
            </w:r>
          </w:p>
        </w:tc>
      </w:tr>
      <w:tr>
        <w:tc>
          <w:tcPr>
            <w:tcW w:type="dxa" w:w="3135"/>
          </w:tcPr>
          <w:p>
            <w:pPr>
              <w:spacing w:before="40" w:after="40"/>
            </w:pPr>
            <w:r/>
            <w:r>
              <w:rPr>
                <w:rFonts w:ascii="Calibri" w:hAnsi="Calibri"/>
                <w:b w:val="0"/>
                <w:color w:val="333333"/>
                <w:sz w:val="18"/>
              </w:rPr>
              <w:t>Q2 2026</w:t>
            </w:r>
          </w:p>
        </w:tc>
        <w:tc>
          <w:tcPr>
            <w:tcW w:type="dxa" w:w="3135"/>
          </w:tcPr>
          <w:p>
            <w:pPr>
              <w:spacing w:before="40" w:after="40"/>
            </w:pPr>
            <w:r/>
            <w:r>
              <w:rPr>
                <w:rFonts w:ascii="Calibri" w:hAnsi="Calibri"/>
                <w:b w:val="0"/>
                <w:color w:val="333333"/>
                <w:sz w:val="18"/>
              </w:rPr>
              <w:t>Two-path grant creation (prompt OR PDF extraction)</w:t>
            </w:r>
          </w:p>
        </w:tc>
        <w:tc>
          <w:tcPr>
            <w:tcW w:type="dxa" w:w="3135"/>
          </w:tcPr>
          <w:p>
            <w:pPr>
              <w:spacing w:before="40" w:after="40"/>
            </w:pPr>
            <w:r/>
            <w:r>
              <w:rPr>
                <w:rFonts w:ascii="Calibri" w:hAnsi="Calibri"/>
                <w:b w:val="0"/>
                <w:color w:val="333333"/>
                <w:sz w:val="18"/>
              </w:rPr>
              <w:t>Shipped</w:t>
            </w:r>
          </w:p>
        </w:tc>
      </w:tr>
      <w:tr>
        <w:tc>
          <w:tcPr>
            <w:tcW w:type="dxa" w:w="3135"/>
            <w:shd w:fill="F0F7FF" w:val="clear"/>
          </w:tcPr>
          <w:p>
            <w:pPr>
              <w:spacing w:before="40" w:after="40"/>
            </w:pPr>
            <w:r/>
            <w:r>
              <w:rPr>
                <w:rFonts w:ascii="Calibri" w:hAnsi="Calibri"/>
                <w:b w:val="0"/>
                <w:color w:val="333333"/>
                <w:sz w:val="18"/>
              </w:rPr>
              <w:t>Q2 2026</w:t>
            </w:r>
          </w:p>
        </w:tc>
        <w:tc>
          <w:tcPr>
            <w:tcW w:type="dxa" w:w="3135"/>
            <w:shd w:fill="F0F7FF" w:val="clear"/>
          </w:tcPr>
          <w:p>
            <w:pPr>
              <w:spacing w:before="40" w:after="40"/>
            </w:pPr>
            <w:r/>
            <w:r>
              <w:rPr>
                <w:rFonts w:ascii="Calibri" w:hAnsi="Calibri"/>
                <w:b w:val="0"/>
                <w:color w:val="333333"/>
                <w:sz w:val="18"/>
              </w:rPr>
              <w:t>AI application co-author with claim-level provenance</w:t>
            </w:r>
          </w:p>
        </w:tc>
        <w:tc>
          <w:tcPr>
            <w:tcW w:type="dxa" w:w="3135"/>
            <w:shd w:fill="F0F7FF" w:val="clear"/>
          </w:tcPr>
          <w:p>
            <w:pPr>
              <w:spacing w:before="40" w:after="40"/>
            </w:pPr>
            <w:r/>
            <w:r>
              <w:rPr>
                <w:rFonts w:ascii="Calibri" w:hAnsi="Calibri"/>
                <w:b w:val="0"/>
                <w:color w:val="333333"/>
                <w:sz w:val="18"/>
              </w:rPr>
              <w:t>Shipped</w:t>
            </w:r>
          </w:p>
        </w:tc>
      </w:tr>
      <w:tr>
        <w:tc>
          <w:tcPr>
            <w:tcW w:type="dxa" w:w="3135"/>
          </w:tcPr>
          <w:p>
            <w:pPr>
              <w:spacing w:before="40" w:after="40"/>
            </w:pPr>
            <w:r/>
            <w:r>
              <w:rPr>
                <w:rFonts w:ascii="Calibri" w:hAnsi="Calibri"/>
                <w:b w:val="0"/>
                <w:color w:val="333333"/>
                <w:sz w:val="18"/>
              </w:rPr>
              <w:t>Q2 2026</w:t>
            </w:r>
          </w:p>
        </w:tc>
        <w:tc>
          <w:tcPr>
            <w:tcW w:type="dxa" w:w="3135"/>
          </w:tcPr>
          <w:p>
            <w:pPr>
              <w:spacing w:before="40" w:after="40"/>
            </w:pPr>
            <w:r/>
            <w:r>
              <w:rPr>
                <w:rFonts w:ascii="Calibri" w:hAnsi="Calibri"/>
                <w:b w:val="0"/>
                <w:color w:val="333333"/>
                <w:sz w:val="18"/>
              </w:rPr>
              <w:t>Real-time document scoring with one-click clarifications</w:t>
            </w:r>
          </w:p>
        </w:tc>
        <w:tc>
          <w:tcPr>
            <w:tcW w:type="dxa" w:w="3135"/>
          </w:tcPr>
          <w:p>
            <w:pPr>
              <w:spacing w:before="40" w:after="40"/>
            </w:pPr>
            <w:r/>
            <w:r>
              <w:rPr>
                <w:rFonts w:ascii="Calibri" w:hAnsi="Calibri"/>
                <w:b w:val="0"/>
                <w:color w:val="333333"/>
                <w:sz w:val="18"/>
              </w:rPr>
              <w:t>Shipped</w:t>
            </w:r>
          </w:p>
        </w:tc>
      </w:tr>
      <w:tr>
        <w:tc>
          <w:tcPr>
            <w:tcW w:type="dxa" w:w="3135"/>
            <w:shd w:fill="F0F7FF" w:val="clear"/>
          </w:tcPr>
          <w:p>
            <w:pPr>
              <w:spacing w:before="40" w:after="40"/>
            </w:pPr>
            <w:r/>
            <w:r>
              <w:rPr>
                <w:rFonts w:ascii="Calibri" w:hAnsi="Calibri"/>
                <w:b w:val="0"/>
                <w:color w:val="333333"/>
                <w:sz w:val="18"/>
              </w:rPr>
              <w:t>Q2 2026</w:t>
            </w:r>
          </w:p>
        </w:tc>
        <w:tc>
          <w:tcPr>
            <w:tcW w:type="dxa" w:w="3135"/>
            <w:shd w:fill="F0F7FF" w:val="clear"/>
          </w:tcPr>
          <w:p>
            <w:pPr>
              <w:spacing w:before="40" w:after="40"/>
            </w:pPr>
            <w:r/>
            <w:r>
              <w:rPr>
                <w:rFonts w:ascii="Calibri" w:hAnsi="Calibri"/>
                <w:b w:val="0"/>
                <w:color w:val="333333"/>
                <w:sz w:val="18"/>
              </w:rPr>
              <w:t>Pre-submission readiness + compliance pre-empt</w:t>
            </w:r>
          </w:p>
        </w:tc>
        <w:tc>
          <w:tcPr>
            <w:tcW w:type="dxa" w:w="3135"/>
            <w:shd w:fill="F0F7FF" w:val="clear"/>
          </w:tcPr>
          <w:p>
            <w:pPr>
              <w:spacing w:before="40" w:after="40"/>
            </w:pPr>
            <w:r/>
            <w:r>
              <w:rPr>
                <w:rFonts w:ascii="Calibri" w:hAnsi="Calibri"/>
                <w:b w:val="0"/>
                <w:color w:val="333333"/>
                <w:sz w:val="18"/>
              </w:rPr>
              <w:t>Shipped</w:t>
            </w:r>
          </w:p>
        </w:tc>
      </w:tr>
      <w:tr>
        <w:tc>
          <w:tcPr>
            <w:tcW w:type="dxa" w:w="3135"/>
          </w:tcPr>
          <w:p>
            <w:pPr>
              <w:spacing w:before="40" w:after="40"/>
            </w:pPr>
            <w:r/>
            <w:r>
              <w:rPr>
                <w:rFonts w:ascii="Calibri" w:hAnsi="Calibri"/>
                <w:b w:val="0"/>
                <w:color w:val="333333"/>
                <w:sz w:val="18"/>
              </w:rPr>
              <w:t>Q2 2026</w:t>
            </w:r>
          </w:p>
        </w:tc>
        <w:tc>
          <w:tcPr>
            <w:tcW w:type="dxa" w:w="3135"/>
          </w:tcPr>
          <w:p>
            <w:pPr>
              <w:spacing w:before="40" w:after="40"/>
            </w:pPr>
            <w:r/>
            <w:r>
              <w:rPr>
                <w:rFonts w:ascii="Calibri" w:hAnsi="Calibri"/>
                <w:b w:val="0"/>
                <w:color w:val="333333"/>
                <w:sz w:val="18"/>
              </w:rPr>
              <w:t>Reviewer one-screen summary + evidence extraction + suggest-criteria</w:t>
            </w:r>
          </w:p>
        </w:tc>
        <w:tc>
          <w:tcPr>
            <w:tcW w:type="dxa" w:w="3135"/>
          </w:tcPr>
          <w:p>
            <w:pPr>
              <w:spacing w:before="40" w:after="40"/>
            </w:pPr>
            <w:r/>
            <w:r>
              <w:rPr>
                <w:rFonts w:ascii="Calibri" w:hAnsi="Calibri"/>
                <w:b w:val="0"/>
                <w:color w:val="333333"/>
                <w:sz w:val="18"/>
              </w:rPr>
              <w:t>Shipped</w:t>
            </w:r>
          </w:p>
        </w:tc>
      </w:tr>
      <w:tr>
        <w:tc>
          <w:tcPr>
            <w:tcW w:type="dxa" w:w="3135"/>
            <w:shd w:fill="F0F7FF" w:val="clear"/>
          </w:tcPr>
          <w:p>
            <w:pPr>
              <w:spacing w:before="40" w:after="40"/>
            </w:pPr>
            <w:r/>
            <w:r>
              <w:rPr>
                <w:rFonts w:ascii="Calibri" w:hAnsi="Calibri"/>
                <w:b w:val="0"/>
                <w:color w:val="333333"/>
                <w:sz w:val="18"/>
              </w:rPr>
              <w:t>Q2 2026</w:t>
            </w:r>
          </w:p>
        </w:tc>
        <w:tc>
          <w:tcPr>
            <w:tcW w:type="dxa" w:w="3135"/>
            <w:shd w:fill="F0F7FF" w:val="clear"/>
          </w:tcPr>
          <w:p>
            <w:pPr>
              <w:spacing w:before="40" w:after="40"/>
            </w:pPr>
            <w:r/>
            <w:r>
              <w:rPr>
                <w:rFonts w:ascii="Calibri" w:hAnsi="Calibri"/>
                <w:b w:val="0"/>
                <w:color w:val="333333"/>
                <w:sz w:val="18"/>
              </w:rPr>
              <w:t>AI compliance calendar + proactive reminders + report co-author</w:t>
            </w:r>
          </w:p>
        </w:tc>
        <w:tc>
          <w:tcPr>
            <w:tcW w:type="dxa" w:w="3135"/>
            <w:shd w:fill="F0F7FF" w:val="clear"/>
          </w:tcPr>
          <w:p>
            <w:pPr>
              <w:spacing w:before="40" w:after="40"/>
            </w:pPr>
            <w:r/>
            <w:r>
              <w:rPr>
                <w:rFonts w:ascii="Calibri" w:hAnsi="Calibri"/>
                <w:b w:val="0"/>
                <w:color w:val="333333"/>
                <w:sz w:val="18"/>
              </w:rPr>
              <w:t>Shipped</w:t>
            </w:r>
          </w:p>
        </w:tc>
      </w:tr>
      <w:tr>
        <w:tc>
          <w:tcPr>
            <w:tcW w:type="dxa" w:w="3135"/>
          </w:tcPr>
          <w:p>
            <w:pPr>
              <w:spacing w:before="40" w:after="40"/>
            </w:pPr>
            <w:r/>
            <w:r>
              <w:rPr>
                <w:rFonts w:ascii="Calibri" w:hAnsi="Calibri"/>
                <w:b w:val="0"/>
                <w:color w:val="333333"/>
                <w:sz w:val="18"/>
              </w:rPr>
              <w:t>Q2 2026</w:t>
            </w:r>
          </w:p>
        </w:tc>
        <w:tc>
          <w:tcPr>
            <w:tcW w:type="dxa" w:w="3135"/>
          </w:tcPr>
          <w:p>
            <w:pPr>
              <w:spacing w:before="40" w:after="40"/>
            </w:pPr>
            <w:r/>
            <w:r>
              <w:rPr>
                <w:rFonts w:ascii="Calibri" w:hAnsi="Calibri"/>
                <w:b w:val="0"/>
                <w:color w:val="333333"/>
                <w:sz w:val="18"/>
              </w:rPr>
              <w:t>4-pillar compliance health + trajectory + slips-in-N-days forecast</w:t>
            </w:r>
          </w:p>
        </w:tc>
        <w:tc>
          <w:tcPr>
            <w:tcW w:type="dxa" w:w="3135"/>
          </w:tcPr>
          <w:p>
            <w:pPr>
              <w:spacing w:before="40" w:after="40"/>
            </w:pPr>
            <w:r/>
            <w:r>
              <w:rPr>
                <w:rFonts w:ascii="Calibri" w:hAnsi="Calibri"/>
                <w:b w:val="0"/>
                <w:color w:val="333333"/>
                <w:sz w:val="18"/>
              </w:rPr>
              <w:t>Shipped</w:t>
            </w:r>
          </w:p>
        </w:tc>
      </w:tr>
      <w:tr>
        <w:tc>
          <w:tcPr>
            <w:tcW w:type="dxa" w:w="3135"/>
            <w:shd w:fill="F0F7FF" w:val="clear"/>
          </w:tcPr>
          <w:p>
            <w:pPr>
              <w:spacing w:before="40" w:after="40"/>
            </w:pPr>
            <w:r/>
            <w:r>
              <w:rPr>
                <w:rFonts w:ascii="Calibri" w:hAnsi="Calibri"/>
                <w:b w:val="0"/>
                <w:color w:val="333333"/>
                <w:sz w:val="18"/>
              </w:rPr>
              <w:t>Q2 2026</w:t>
            </w:r>
          </w:p>
        </w:tc>
        <w:tc>
          <w:tcPr>
            <w:tcW w:type="dxa" w:w="3135"/>
            <w:shd w:fill="F0F7FF" w:val="clear"/>
          </w:tcPr>
          <w:p>
            <w:pPr>
              <w:spacing w:before="40" w:after="40"/>
            </w:pPr>
            <w:r/>
            <w:r>
              <w:rPr>
                <w:rFonts w:ascii="Calibri" w:hAnsi="Calibri"/>
                <w:b w:val="0"/>
                <w:color w:val="333333"/>
                <w:sz w:val="18"/>
              </w:rPr>
              <w:t>Risk register with owner/due date + structured collaboration + web push</w:t>
            </w:r>
          </w:p>
        </w:tc>
        <w:tc>
          <w:tcPr>
            <w:tcW w:type="dxa" w:w="3135"/>
            <w:shd w:fill="F0F7FF" w:val="clear"/>
          </w:tcPr>
          <w:p>
            <w:pPr>
              <w:spacing w:before="40" w:after="40"/>
            </w:pPr>
            <w:r/>
            <w:r>
              <w:rPr>
                <w:rFonts w:ascii="Calibri" w:hAnsi="Calibri"/>
                <w:b w:val="0"/>
                <w:color w:val="333333"/>
                <w:sz w:val="18"/>
              </w:rPr>
              <w:t>Shipped</w:t>
            </w:r>
          </w:p>
        </w:tc>
      </w:tr>
      <w:tr>
        <w:tc>
          <w:tcPr>
            <w:tcW w:type="dxa" w:w="3135"/>
          </w:tcPr>
          <w:p>
            <w:pPr>
              <w:spacing w:before="40" w:after="40"/>
            </w:pPr>
            <w:r/>
            <w:r>
              <w:rPr>
                <w:rFonts w:ascii="Calibri" w:hAnsi="Calibri"/>
                <w:b w:val="0"/>
                <w:color w:val="333333"/>
                <w:sz w:val="18"/>
              </w:rPr>
              <w:t>Q2 2026</w:t>
            </w:r>
          </w:p>
        </w:tc>
        <w:tc>
          <w:tcPr>
            <w:tcW w:type="dxa" w:w="3135"/>
          </w:tcPr>
          <w:p>
            <w:pPr>
              <w:spacing w:before="40" w:after="40"/>
            </w:pPr>
            <w:r/>
            <w:r>
              <w:rPr>
                <w:rFonts w:ascii="Calibri" w:hAnsi="Calibri"/>
                <w:b w:val="0"/>
                <w:color w:val="333333"/>
                <w:sz w:val="18"/>
              </w:rPr>
              <w:t>Organisational memory + claim provenance ledger</w:t>
            </w:r>
          </w:p>
        </w:tc>
        <w:tc>
          <w:tcPr>
            <w:tcW w:type="dxa" w:w="3135"/>
          </w:tcPr>
          <w:p>
            <w:pPr>
              <w:spacing w:before="40" w:after="40"/>
            </w:pPr>
            <w:r/>
            <w:r>
              <w:rPr>
                <w:rFonts w:ascii="Calibri" w:hAnsi="Calibri"/>
                <w:b w:val="0"/>
                <w:color w:val="333333"/>
                <w:sz w:val="18"/>
              </w:rPr>
              <w:t>Shipped</w:t>
            </w:r>
          </w:p>
        </w:tc>
      </w:tr>
      <w:tr>
        <w:tc>
          <w:tcPr>
            <w:tcW w:type="dxa" w:w="3135"/>
            <w:shd w:fill="F0F7FF" w:val="clear"/>
          </w:tcPr>
          <w:p>
            <w:pPr>
              <w:spacing w:before="40" w:after="40"/>
            </w:pPr>
            <w:r/>
            <w:r>
              <w:rPr>
                <w:rFonts w:ascii="Calibri" w:hAnsi="Calibri"/>
                <w:b w:val="0"/>
                <w:color w:val="333333"/>
                <w:sz w:val="18"/>
              </w:rPr>
              <w:t>Q2 2026</w:t>
            </w:r>
          </w:p>
        </w:tc>
        <w:tc>
          <w:tcPr>
            <w:tcW w:type="dxa" w:w="3135"/>
            <w:shd w:fill="F0F7FF" w:val="clear"/>
          </w:tcPr>
          <w:p>
            <w:pPr>
              <w:spacing w:before="40" w:after="40"/>
            </w:pPr>
            <w:r/>
            <w:r>
              <w:rPr>
                <w:rFonts w:ascii="Calibri" w:hAnsi="Calibri"/>
                <w:b w:val="0"/>
                <w:color w:val="333333"/>
                <w:sz w:val="18"/>
              </w:rPr>
              <w:t>Mobile-first PWA + offline-first with background sync</w:t>
            </w:r>
          </w:p>
        </w:tc>
        <w:tc>
          <w:tcPr>
            <w:tcW w:type="dxa" w:w="3135"/>
            <w:shd w:fill="F0F7FF" w:val="clear"/>
          </w:tcPr>
          <w:p>
            <w:pPr>
              <w:spacing w:before="40" w:after="40"/>
            </w:pPr>
            <w:r/>
            <w:r>
              <w:rPr>
                <w:rFonts w:ascii="Calibri" w:hAnsi="Calibri"/>
                <w:b w:val="0"/>
                <w:color w:val="333333"/>
                <w:sz w:val="18"/>
              </w:rPr>
              <w:t>Shipped</w:t>
            </w:r>
          </w:p>
        </w:tc>
      </w:tr>
      <w:tr>
        <w:tc>
          <w:tcPr>
            <w:tcW w:type="dxa" w:w="3135"/>
          </w:tcPr>
          <w:p>
            <w:pPr>
              <w:spacing w:before="40" w:after="40"/>
            </w:pPr>
            <w:r/>
            <w:r>
              <w:rPr>
                <w:rFonts w:ascii="Calibri" w:hAnsi="Calibri"/>
                <w:b w:val="0"/>
                <w:color w:val="333333"/>
                <w:sz w:val="18"/>
              </w:rPr>
              <w:t>Q2 2026</w:t>
            </w:r>
          </w:p>
        </w:tc>
        <w:tc>
          <w:tcPr>
            <w:tcW w:type="dxa" w:w="3135"/>
          </w:tcPr>
          <w:p>
            <w:pPr>
              <w:spacing w:before="40" w:after="40"/>
            </w:pPr>
            <w:r/>
            <w:r>
              <w:rPr>
                <w:rFonts w:ascii="Calibri" w:hAnsi="Calibri"/>
                <w:b w:val="0"/>
                <w:color w:val="333333"/>
                <w:sz w:val="18"/>
              </w:rPr>
              <w:t>Six-language UI (EN/AR/FR/SW/SO/ES) with role-aware tone</w:t>
            </w:r>
          </w:p>
        </w:tc>
        <w:tc>
          <w:tcPr>
            <w:tcW w:type="dxa" w:w="3135"/>
          </w:tcPr>
          <w:p>
            <w:pPr>
              <w:spacing w:before="40" w:after="40"/>
            </w:pPr>
            <w:r/>
            <w:r>
              <w:rPr>
                <w:rFonts w:ascii="Calibri" w:hAnsi="Calibri"/>
                <w:b w:val="0"/>
                <w:color w:val="333333"/>
                <w:sz w:val="18"/>
              </w:rPr>
              <w:t>Shipped</w:t>
            </w:r>
          </w:p>
        </w:tc>
      </w:tr>
      <w:tr>
        <w:tc>
          <w:tcPr>
            <w:tcW w:type="dxa" w:w="3135"/>
            <w:shd w:fill="F0F7FF" w:val="clear"/>
          </w:tcPr>
          <w:p>
            <w:pPr>
              <w:spacing w:before="40" w:after="40"/>
            </w:pPr>
            <w:r/>
            <w:r>
              <w:rPr>
                <w:rFonts w:ascii="Calibri" w:hAnsi="Calibri"/>
                <w:b w:val="0"/>
                <w:color w:val="333333"/>
                <w:sz w:val="18"/>
              </w:rPr>
              <w:t>Q2 2026</w:t>
            </w:r>
          </w:p>
        </w:tc>
        <w:tc>
          <w:tcPr>
            <w:tcW w:type="dxa" w:w="3135"/>
            <w:shd w:fill="F0F7FF" w:val="clear"/>
          </w:tcPr>
          <w:p>
            <w:pPr>
              <w:spacing w:before="40" w:after="40"/>
            </w:pPr>
            <w:r/>
            <w:r>
              <w:rPr>
                <w:rFonts w:ascii="Calibri" w:hAnsi="Calibri"/>
                <w:b w:val="0"/>
                <w:color w:val="333333"/>
                <w:sz w:val="18"/>
              </w:rPr>
              <w:t>Async AI dispatcher + per-user concurrent cap + AI surface health probe</w:t>
            </w:r>
          </w:p>
        </w:tc>
        <w:tc>
          <w:tcPr>
            <w:tcW w:type="dxa" w:w="3135"/>
            <w:shd w:fill="F0F7FF" w:val="clear"/>
          </w:tcPr>
          <w:p>
            <w:pPr>
              <w:spacing w:before="40" w:after="40"/>
            </w:pPr>
            <w:r/>
            <w:r>
              <w:rPr>
                <w:rFonts w:ascii="Calibri" w:hAnsi="Calibri"/>
                <w:b w:val="0"/>
                <w:color w:val="333333"/>
                <w:sz w:val="18"/>
              </w:rPr>
              <w:t>Shipped</w:t>
            </w:r>
          </w:p>
        </w:tc>
      </w:tr>
      <w:tr>
        <w:tc>
          <w:tcPr>
            <w:tcW w:type="dxa" w:w="3135"/>
          </w:tcPr>
          <w:p>
            <w:pPr>
              <w:spacing w:before="40" w:after="40"/>
            </w:pPr>
            <w:r/>
            <w:r>
              <w:rPr>
                <w:rFonts w:ascii="Calibri" w:hAnsi="Calibri"/>
                <w:b w:val="0"/>
                <w:color w:val="333333"/>
                <w:sz w:val="18"/>
              </w:rPr>
              <w:t>Q2 2026</w:t>
            </w:r>
          </w:p>
        </w:tc>
        <w:tc>
          <w:tcPr>
            <w:tcW w:type="dxa" w:w="3135"/>
          </w:tcPr>
          <w:p>
            <w:pPr>
              <w:spacing w:before="40" w:after="40"/>
            </w:pPr>
            <w:r/>
            <w:r>
              <w:rPr>
                <w:rFonts w:ascii="Calibri" w:hAnsi="Calibri"/>
                <w:b w:val="0"/>
                <w:color w:val="333333"/>
                <w:sz w:val="18"/>
              </w:rPr>
              <w:t>Admin self-service: system health, AI spend forecast, demo readiness</w:t>
            </w:r>
          </w:p>
        </w:tc>
        <w:tc>
          <w:tcPr>
            <w:tcW w:type="dxa" w:w="3135"/>
          </w:tcPr>
          <w:p>
            <w:pPr>
              <w:spacing w:before="40" w:after="40"/>
            </w:pPr>
            <w:r/>
            <w:r>
              <w:rPr>
                <w:rFonts w:ascii="Calibri" w:hAnsi="Calibri"/>
                <w:b w:val="0"/>
                <w:color w:val="333333"/>
                <w:sz w:val="18"/>
              </w:rPr>
              <w:t>Shipped</w:t>
            </w:r>
          </w:p>
        </w:tc>
      </w:tr>
      <w:tr>
        <w:tc>
          <w:tcPr>
            <w:tcW w:type="dxa" w:w="3135"/>
            <w:shd w:fill="F0F7FF" w:val="clear"/>
          </w:tcPr>
          <w:p>
            <w:pPr>
              <w:spacing w:before="40" w:after="40"/>
            </w:pPr>
            <w:r/>
            <w:r>
              <w:rPr>
                <w:rFonts w:ascii="Calibri" w:hAnsi="Calibri"/>
                <w:b w:val="0"/>
                <w:color w:val="333333"/>
                <w:sz w:val="18"/>
              </w:rPr>
              <w:t>Q2 2026</w:t>
            </w:r>
          </w:p>
        </w:tc>
        <w:tc>
          <w:tcPr>
            <w:tcW w:type="dxa" w:w="3135"/>
            <w:shd w:fill="F0F7FF" w:val="clear"/>
          </w:tcPr>
          <w:p>
            <w:pPr>
              <w:spacing w:before="40" w:after="40"/>
            </w:pPr>
            <w:r/>
            <w:r>
              <w:rPr>
                <w:rFonts w:ascii="Calibri" w:hAnsi="Calibri"/>
                <w:b w:val="0"/>
                <w:color w:val="333333"/>
                <w:sz w:val="18"/>
              </w:rPr>
              <w:t>Hash-chained audit log + TOTP 2FA + hard-gate + GDPR right-to-erasure</w:t>
            </w:r>
          </w:p>
        </w:tc>
        <w:tc>
          <w:tcPr>
            <w:tcW w:type="dxa" w:w="3135"/>
            <w:shd w:fill="F0F7FF" w:val="clear"/>
          </w:tcPr>
          <w:p>
            <w:pPr>
              <w:spacing w:before="40" w:after="40"/>
            </w:pPr>
            <w:r/>
            <w:r>
              <w:rPr>
                <w:rFonts w:ascii="Calibri" w:hAnsi="Calibri"/>
                <w:b w:val="0"/>
                <w:color w:val="333333"/>
                <w:sz w:val="18"/>
              </w:rPr>
              <w:t>Shipped</w:t>
            </w:r>
          </w:p>
        </w:tc>
      </w:tr>
      <w:tr>
        <w:tc>
          <w:tcPr>
            <w:tcW w:type="dxa" w:w="3135"/>
          </w:tcPr>
          <w:p>
            <w:pPr>
              <w:spacing w:before="40" w:after="40"/>
            </w:pPr>
            <w:r/>
            <w:r>
              <w:rPr>
                <w:rFonts w:ascii="Calibri" w:hAnsi="Calibri"/>
                <w:b w:val="0"/>
                <w:color w:val="333333"/>
                <w:sz w:val="18"/>
              </w:rPr>
              <w:t>Q2 2026</w:t>
            </w:r>
          </w:p>
        </w:tc>
        <w:tc>
          <w:tcPr>
            <w:tcW w:type="dxa" w:w="3135"/>
          </w:tcPr>
          <w:p>
            <w:pPr>
              <w:spacing w:before="40" w:after="40"/>
            </w:pPr>
            <w:r/>
            <w:r>
              <w:rPr>
                <w:rFonts w:ascii="Calibri" w:hAnsi="Calibri"/>
                <w:b w:val="0"/>
                <w:color w:val="333333"/>
                <w:sz w:val="18"/>
              </w:rPr>
              <w:t>Sustained AI chat threads (global + per grant/application/report scope)</w:t>
            </w:r>
          </w:p>
        </w:tc>
        <w:tc>
          <w:tcPr>
            <w:tcW w:type="dxa" w:w="3135"/>
          </w:tcPr>
          <w:p>
            <w:pPr>
              <w:spacing w:before="40" w:after="40"/>
            </w:pPr>
            <w:r/>
            <w:r>
              <w:rPr>
                <w:rFonts w:ascii="Calibri" w:hAnsi="Calibri"/>
                <w:b w:val="0"/>
                <w:color w:val="333333"/>
                <w:sz w:val="18"/>
              </w:rPr>
              <w:t>Shipped</w:t>
            </w:r>
          </w:p>
        </w:tc>
      </w:tr>
      <w:tr>
        <w:tc>
          <w:tcPr>
            <w:tcW w:type="dxa" w:w="3135"/>
            <w:shd w:fill="F0F7FF" w:val="clear"/>
          </w:tcPr>
          <w:p>
            <w:pPr>
              <w:spacing w:before="40" w:after="40"/>
            </w:pPr>
            <w:r/>
            <w:r>
              <w:rPr>
                <w:rFonts w:ascii="Calibri" w:hAnsi="Calibri"/>
                <w:b w:val="0"/>
                <w:color w:val="333333"/>
                <w:sz w:val="18"/>
              </w:rPr>
              <w:t>Q2 2026</w:t>
            </w:r>
          </w:p>
        </w:tc>
        <w:tc>
          <w:tcPr>
            <w:tcW w:type="dxa" w:w="3135"/>
            <w:shd w:fill="F0F7FF" w:val="clear"/>
          </w:tcPr>
          <w:p>
            <w:pPr>
              <w:spacing w:before="40" w:after="40"/>
            </w:pPr>
            <w:r/>
            <w:r>
              <w:rPr>
                <w:rFonts w:ascii="Calibri" w:hAnsi="Calibri"/>
                <w:b w:val="0"/>
                <w:color w:val="333333"/>
                <w:sz w:val="18"/>
              </w:rPr>
              <w:t>Reviewer auto-assignment on submit + nightly backfill cron</w:t>
            </w:r>
          </w:p>
        </w:tc>
        <w:tc>
          <w:tcPr>
            <w:tcW w:type="dxa" w:w="3135"/>
            <w:shd w:fill="F0F7FF" w:val="clear"/>
          </w:tcPr>
          <w:p>
            <w:pPr>
              <w:spacing w:before="40" w:after="40"/>
            </w:pPr>
            <w:r/>
            <w:r>
              <w:rPr>
                <w:rFonts w:ascii="Calibri" w:hAnsi="Calibri"/>
                <w:b w:val="0"/>
                <w:color w:val="333333"/>
                <w:sz w:val="18"/>
              </w:rPr>
              <w:t>Shipped</w:t>
            </w:r>
          </w:p>
        </w:tc>
      </w:tr>
      <w:tr>
        <w:tc>
          <w:tcPr>
            <w:tcW w:type="dxa" w:w="3135"/>
          </w:tcPr>
          <w:p>
            <w:pPr>
              <w:spacing w:before="40" w:after="40"/>
            </w:pPr>
            <w:r/>
            <w:r>
              <w:rPr>
                <w:rFonts w:ascii="Calibri" w:hAnsi="Calibri"/>
                <w:b w:val="0"/>
                <w:color w:val="333333"/>
                <w:sz w:val="18"/>
              </w:rPr>
              <w:t>Q2 2026</w:t>
            </w:r>
          </w:p>
        </w:tc>
        <w:tc>
          <w:tcPr>
            <w:tcW w:type="dxa" w:w="3135"/>
          </w:tcPr>
          <w:p>
            <w:pPr>
              <w:spacing w:before="40" w:after="40"/>
            </w:pPr>
            <w:r/>
            <w:r>
              <w:rPr>
                <w:rFonts w:ascii="Calibri" w:hAnsi="Calibri"/>
                <w:b w:val="0"/>
                <w:color w:val="333333"/>
                <w:sz w:val="18"/>
              </w:rPr>
              <w:t>Donor cohort analytics (your funded NGOs vs the cohort)</w:t>
            </w:r>
          </w:p>
        </w:tc>
        <w:tc>
          <w:tcPr>
            <w:tcW w:type="dxa" w:w="3135"/>
          </w:tcPr>
          <w:p>
            <w:pPr>
              <w:spacing w:before="40" w:after="40"/>
            </w:pPr>
            <w:r/>
            <w:r>
              <w:rPr>
                <w:rFonts w:ascii="Calibri" w:hAnsi="Calibri"/>
                <w:b w:val="0"/>
                <w:color w:val="333333"/>
                <w:sz w:val="18"/>
              </w:rPr>
              <w:t>Shipped</w:t>
            </w:r>
          </w:p>
        </w:tc>
      </w:tr>
      <w:tr>
        <w:tc>
          <w:tcPr>
            <w:tcW w:type="dxa" w:w="3135"/>
            <w:shd w:fill="F0F7FF" w:val="clear"/>
          </w:tcPr>
          <w:p>
            <w:pPr>
              <w:spacing w:before="40" w:after="40"/>
            </w:pPr>
            <w:r/>
            <w:r>
              <w:rPr>
                <w:rFonts w:ascii="Calibri" w:hAnsi="Calibri"/>
                <w:b w:val="0"/>
                <w:color w:val="333333"/>
                <w:sz w:val="18"/>
              </w:rPr>
              <w:t>Q2 2026</w:t>
            </w:r>
          </w:p>
        </w:tc>
        <w:tc>
          <w:tcPr>
            <w:tcW w:type="dxa" w:w="3135"/>
            <w:shd w:fill="F0F7FF" w:val="clear"/>
          </w:tcPr>
          <w:p>
            <w:pPr>
              <w:spacing w:before="40" w:after="40"/>
            </w:pPr>
            <w:r/>
            <w:r>
              <w:rPr>
                <w:rFonts w:ascii="Calibri" w:hAnsi="Calibri"/>
                <w:b w:val="0"/>
                <w:color w:val="333333"/>
                <w:sz w:val="18"/>
              </w:rPr>
              <w:t>PWA install banner + native share API + biometric (WebAuthn) re-auth</w:t>
            </w:r>
          </w:p>
        </w:tc>
        <w:tc>
          <w:tcPr>
            <w:tcW w:type="dxa" w:w="3135"/>
            <w:shd w:fill="F0F7FF" w:val="clear"/>
          </w:tcPr>
          <w:p>
            <w:pPr>
              <w:spacing w:before="40" w:after="40"/>
            </w:pPr>
            <w:r/>
            <w:r>
              <w:rPr>
                <w:rFonts w:ascii="Calibri" w:hAnsi="Calibri"/>
                <w:b w:val="0"/>
                <w:color w:val="333333"/>
                <w:sz w:val="18"/>
              </w:rPr>
              <w:t>Shipped</w:t>
            </w:r>
          </w:p>
        </w:tc>
      </w:tr>
      <w:tr>
        <w:tc>
          <w:tcPr>
            <w:tcW w:type="dxa" w:w="3135"/>
          </w:tcPr>
          <w:p>
            <w:pPr>
              <w:spacing w:before="40" w:after="40"/>
            </w:pPr>
            <w:r/>
            <w:r>
              <w:rPr>
                <w:rFonts w:ascii="Calibri" w:hAnsi="Calibri"/>
                <w:b w:val="0"/>
                <w:color w:val="333333"/>
                <w:sz w:val="18"/>
              </w:rPr>
              <w:t>Q2 2026</w:t>
            </w:r>
          </w:p>
        </w:tc>
        <w:tc>
          <w:tcPr>
            <w:tcW w:type="dxa" w:w="3135"/>
          </w:tcPr>
          <w:p>
            <w:pPr>
              <w:spacing w:before="40" w:after="40"/>
            </w:pPr>
            <w:r/>
            <w:r>
              <w:rPr>
                <w:rFonts w:ascii="Calibri" w:hAnsi="Calibri"/>
                <w:b w:val="0"/>
                <w:color w:val="333333"/>
                <w:sz w:val="18"/>
              </w:rPr>
              <w:t>Report detail page with scoped chat</w:t>
            </w:r>
          </w:p>
        </w:tc>
        <w:tc>
          <w:tcPr>
            <w:tcW w:type="dxa" w:w="3135"/>
          </w:tcPr>
          <w:p>
            <w:pPr>
              <w:spacing w:before="40" w:after="40"/>
            </w:pPr>
            <w:r/>
            <w:r>
              <w:rPr>
                <w:rFonts w:ascii="Calibri" w:hAnsi="Calibri"/>
                <w:b w:val="0"/>
                <w:color w:val="333333"/>
                <w:sz w:val="18"/>
              </w:rPr>
              <w:t>Shipped</w:t>
            </w:r>
          </w:p>
        </w:tc>
      </w:tr>
      <w:tr>
        <w:tc>
          <w:tcPr>
            <w:tcW w:type="dxa" w:w="3135"/>
            <w:shd w:fill="F0F7FF" w:val="clear"/>
          </w:tcPr>
          <w:p>
            <w:pPr>
              <w:spacing w:before="40" w:after="40"/>
            </w:pPr>
            <w:r/>
            <w:r>
              <w:rPr>
                <w:rFonts w:ascii="Calibri" w:hAnsi="Calibri"/>
                <w:b w:val="0"/>
                <w:color w:val="333333"/>
                <w:sz w:val="18"/>
              </w:rPr>
              <w:t>Q2 2026</w:t>
            </w:r>
          </w:p>
        </w:tc>
        <w:tc>
          <w:tcPr>
            <w:tcW w:type="dxa" w:w="3135"/>
            <w:shd w:fill="F0F7FF" w:val="clear"/>
          </w:tcPr>
          <w:p>
            <w:pPr>
              <w:spacing w:before="40" w:after="40"/>
            </w:pPr>
            <w:r/>
            <w:r>
              <w:rPr>
                <w:rFonts w:ascii="Calibri" w:hAnsi="Calibri"/>
                <w:b w:val="0"/>
                <w:color w:val="333333"/>
                <w:sz w:val="18"/>
              </w:rPr>
              <w:t>Real-user metrics infrastructure (UserEvent + 6 funnels + A/B bucketing + admin dashboard)</w:t>
            </w:r>
          </w:p>
        </w:tc>
        <w:tc>
          <w:tcPr>
            <w:tcW w:type="dxa" w:w="3135"/>
            <w:shd w:fill="F0F7FF" w:val="clear"/>
          </w:tcPr>
          <w:p>
            <w:pPr>
              <w:spacing w:before="40" w:after="40"/>
            </w:pPr>
            <w:r/>
            <w:r>
              <w:rPr>
                <w:rFonts w:ascii="Calibri" w:hAnsi="Calibri"/>
                <w:b w:val="0"/>
                <w:color w:val="333333"/>
                <w:sz w:val="18"/>
              </w:rPr>
              <w:t>Shipped</w:t>
            </w:r>
          </w:p>
        </w:tc>
      </w:tr>
      <w:tr>
        <w:tc>
          <w:tcPr>
            <w:tcW w:type="dxa" w:w="3135"/>
          </w:tcPr>
          <w:p>
            <w:pPr>
              <w:spacing w:before="40" w:after="40"/>
            </w:pPr>
            <w:r/>
            <w:r>
              <w:rPr>
                <w:rFonts w:ascii="Calibri" w:hAnsi="Calibri"/>
                <w:b w:val="0"/>
                <w:color w:val="333333"/>
                <w:sz w:val="18"/>
              </w:rPr>
              <w:t>Q2 2026</w:t>
            </w:r>
          </w:p>
        </w:tc>
        <w:tc>
          <w:tcPr>
            <w:tcW w:type="dxa" w:w="3135"/>
          </w:tcPr>
          <w:p>
            <w:pPr>
              <w:spacing w:before="40" w:after="40"/>
            </w:pPr>
            <w:r/>
            <w:r>
              <w:rPr>
                <w:rFonts w:ascii="Calibri" w:hAnsi="Calibri"/>
                <w:b w:val="0"/>
                <w:color w:val="333333"/>
                <w:sz w:val="18"/>
              </w:rPr>
              <w:t>NPS micro-survey at moments-of-completion with per-language rollup</w:t>
            </w:r>
          </w:p>
        </w:tc>
        <w:tc>
          <w:tcPr>
            <w:tcW w:type="dxa" w:w="3135"/>
          </w:tcPr>
          <w:p>
            <w:pPr>
              <w:spacing w:before="40" w:after="40"/>
            </w:pPr>
            <w:r/>
            <w:r>
              <w:rPr>
                <w:rFonts w:ascii="Calibri" w:hAnsi="Calibri"/>
                <w:b w:val="0"/>
                <w:color w:val="333333"/>
                <w:sz w:val="18"/>
              </w:rPr>
              <w:t>Shipped</w:t>
            </w:r>
          </w:p>
        </w:tc>
      </w:tr>
      <w:tr>
        <w:tc>
          <w:tcPr>
            <w:tcW w:type="dxa" w:w="3135"/>
            <w:shd w:fill="F0F7FF" w:val="clear"/>
          </w:tcPr>
          <w:p>
            <w:pPr>
              <w:spacing w:before="40" w:after="40"/>
            </w:pPr>
            <w:r/>
            <w:r>
              <w:rPr>
                <w:rFonts w:ascii="Calibri" w:hAnsi="Calibri"/>
                <w:b w:val="0"/>
                <w:color w:val="333333"/>
                <w:sz w:val="18"/>
              </w:rPr>
              <w:t>Q3 2026</w:t>
            </w:r>
          </w:p>
        </w:tc>
        <w:tc>
          <w:tcPr>
            <w:tcW w:type="dxa" w:w="3135"/>
            <w:shd w:fill="F0F7FF" w:val="clear"/>
          </w:tcPr>
          <w:p>
            <w:pPr>
              <w:spacing w:before="40" w:after="40"/>
            </w:pPr>
            <w:r/>
            <w:r>
              <w:rPr>
                <w:rFonts w:ascii="Calibri" w:hAnsi="Calibri"/>
                <w:b w:val="0"/>
                <w:color w:val="333333"/>
                <w:sz w:val="18"/>
              </w:rPr>
              <w:t>KujaLink marketplace enhancements (matching v2, richer profiles)</w:t>
            </w:r>
          </w:p>
        </w:tc>
        <w:tc>
          <w:tcPr>
            <w:tcW w:type="dxa" w:w="3135"/>
            <w:shd w:fill="F0F7FF" w:val="clear"/>
          </w:tcPr>
          <w:p>
            <w:pPr>
              <w:spacing w:before="40" w:after="40"/>
            </w:pPr>
            <w:r/>
            <w:r>
              <w:rPr>
                <w:rFonts w:ascii="Calibri" w:hAnsi="Calibri"/>
                <w:b w:val="0"/>
                <w:color w:val="333333"/>
                <w:sz w:val="18"/>
              </w:rPr>
              <w:t>Planned</w:t>
            </w:r>
          </w:p>
        </w:tc>
      </w:tr>
      <w:tr>
        <w:tc>
          <w:tcPr>
            <w:tcW w:type="dxa" w:w="3135"/>
          </w:tcPr>
          <w:p>
            <w:pPr>
              <w:spacing w:before="40" w:after="40"/>
            </w:pPr>
            <w:r/>
            <w:r>
              <w:rPr>
                <w:rFonts w:ascii="Calibri" w:hAnsi="Calibri"/>
                <w:b w:val="0"/>
                <w:color w:val="333333"/>
                <w:sz w:val="18"/>
              </w:rPr>
              <w:t>Q3 2026</w:t>
            </w:r>
          </w:p>
        </w:tc>
        <w:tc>
          <w:tcPr>
            <w:tcW w:type="dxa" w:w="3135"/>
          </w:tcPr>
          <w:p>
            <w:pPr>
              <w:spacing w:before="40" w:after="40"/>
            </w:pPr>
            <w:r/>
            <w:r>
              <w:rPr>
                <w:rFonts w:ascii="Calibri" w:hAnsi="Calibri"/>
                <w:b w:val="0"/>
                <w:color w:val="333333"/>
                <w:sz w:val="18"/>
              </w:rPr>
              <w:t>Odoo 17 ERP integration (KujaBuild) — Basic Suite</w:t>
            </w:r>
          </w:p>
        </w:tc>
        <w:tc>
          <w:tcPr>
            <w:tcW w:type="dxa" w:w="3135"/>
          </w:tcPr>
          <w:p>
            <w:pPr>
              <w:spacing w:before="40" w:after="40"/>
            </w:pPr>
            <w:r/>
            <w:r>
              <w:rPr>
                <w:rFonts w:ascii="Calibri" w:hAnsi="Calibri"/>
                <w:b w:val="0"/>
                <w:color w:val="333333"/>
                <w:sz w:val="18"/>
              </w:rPr>
              <w:t>Planned</w:t>
            </w:r>
          </w:p>
        </w:tc>
      </w:tr>
      <w:tr>
        <w:tc>
          <w:tcPr>
            <w:tcW w:type="dxa" w:w="3135"/>
            <w:shd w:fill="F0F7FF" w:val="clear"/>
          </w:tcPr>
          <w:p>
            <w:pPr>
              <w:spacing w:before="40" w:after="40"/>
            </w:pPr>
            <w:r/>
            <w:r>
              <w:rPr>
                <w:rFonts w:ascii="Calibri" w:hAnsi="Calibri"/>
                <w:b w:val="0"/>
                <w:color w:val="333333"/>
                <w:sz w:val="18"/>
              </w:rPr>
              <w:t>Q3 2026</w:t>
            </w:r>
          </w:p>
        </w:tc>
        <w:tc>
          <w:tcPr>
            <w:tcW w:type="dxa" w:w="3135"/>
            <w:shd w:fill="F0F7FF" w:val="clear"/>
          </w:tcPr>
          <w:p>
            <w:pPr>
              <w:spacing w:before="40" w:after="40"/>
            </w:pPr>
            <w:r/>
            <w:r>
              <w:rPr>
                <w:rFonts w:ascii="Calibri" w:hAnsi="Calibri"/>
                <w:b w:val="0"/>
                <w:color w:val="333333"/>
                <w:sz w:val="18"/>
              </w:rPr>
              <w:t>Application portal launch for donors</w:t>
            </w:r>
          </w:p>
        </w:tc>
        <w:tc>
          <w:tcPr>
            <w:tcW w:type="dxa" w:w="3135"/>
            <w:shd w:fill="F0F7FF" w:val="clear"/>
          </w:tcPr>
          <w:p>
            <w:pPr>
              <w:spacing w:before="40" w:after="40"/>
            </w:pPr>
            <w:r/>
            <w:r>
              <w:rPr>
                <w:rFonts w:ascii="Calibri" w:hAnsi="Calibri"/>
                <w:b w:val="0"/>
                <w:color w:val="333333"/>
                <w:sz w:val="18"/>
              </w:rPr>
              <w:t>Planned</w:t>
            </w:r>
          </w:p>
        </w:tc>
      </w:tr>
      <w:tr>
        <w:tc>
          <w:tcPr>
            <w:tcW w:type="dxa" w:w="3135"/>
          </w:tcPr>
          <w:p>
            <w:pPr>
              <w:spacing w:before="40" w:after="40"/>
            </w:pPr>
            <w:r/>
            <w:r>
              <w:rPr>
                <w:rFonts w:ascii="Calibri" w:hAnsi="Calibri"/>
                <w:b w:val="0"/>
                <w:color w:val="333333"/>
                <w:sz w:val="18"/>
              </w:rPr>
              <w:t>Q3 2026</w:t>
            </w:r>
          </w:p>
        </w:tc>
        <w:tc>
          <w:tcPr>
            <w:tcW w:type="dxa" w:w="3135"/>
          </w:tcPr>
          <w:p>
            <w:pPr>
              <w:spacing w:before="40" w:after="40"/>
            </w:pPr>
            <w:r/>
            <w:r>
              <w:rPr>
                <w:rFonts w:ascii="Calibri" w:hAnsi="Calibri"/>
                <w:b w:val="0"/>
                <w:color w:val="333333"/>
                <w:sz w:val="18"/>
              </w:rPr>
              <w:t>Registry expansion: East &amp; West Africa (15+ countries)</w:t>
            </w:r>
          </w:p>
        </w:tc>
        <w:tc>
          <w:tcPr>
            <w:tcW w:type="dxa" w:w="3135"/>
          </w:tcPr>
          <w:p>
            <w:pPr>
              <w:spacing w:before="40" w:after="40"/>
            </w:pPr>
            <w:r/>
            <w:r>
              <w:rPr>
                <w:rFonts w:ascii="Calibri" w:hAnsi="Calibri"/>
                <w:b w:val="0"/>
                <w:color w:val="333333"/>
                <w:sz w:val="18"/>
              </w:rPr>
              <w:t>Planned</w:t>
            </w:r>
          </w:p>
        </w:tc>
      </w:tr>
      <w:tr>
        <w:tc>
          <w:tcPr>
            <w:tcW w:type="dxa" w:w="3135"/>
            <w:shd w:fill="F0F7FF" w:val="clear"/>
          </w:tcPr>
          <w:p>
            <w:pPr>
              <w:spacing w:before="40" w:after="40"/>
            </w:pPr>
            <w:r/>
            <w:r>
              <w:rPr>
                <w:rFonts w:ascii="Calibri" w:hAnsi="Calibri"/>
                <w:b w:val="0"/>
                <w:color w:val="333333"/>
                <w:sz w:val="18"/>
              </w:rPr>
              <w:t>Q3 2026</w:t>
            </w:r>
          </w:p>
        </w:tc>
        <w:tc>
          <w:tcPr>
            <w:tcW w:type="dxa" w:w="3135"/>
            <w:shd w:fill="F0F7FF" w:val="clear"/>
          </w:tcPr>
          <w:p>
            <w:pPr>
              <w:spacing w:before="40" w:after="40"/>
            </w:pPr>
            <w:r/>
            <w:r>
              <w:rPr>
                <w:rFonts w:ascii="Calibri" w:hAnsi="Calibri"/>
                <w:b w:val="0"/>
                <w:color w:val="333333"/>
                <w:sz w:val="18"/>
              </w:rPr>
              <w:t>Additional donor-specific framework templates</w:t>
            </w:r>
          </w:p>
        </w:tc>
        <w:tc>
          <w:tcPr>
            <w:tcW w:type="dxa" w:w="3135"/>
            <w:shd w:fill="F0F7FF" w:val="clear"/>
          </w:tcPr>
          <w:p>
            <w:pPr>
              <w:spacing w:before="40" w:after="40"/>
            </w:pPr>
            <w:r/>
            <w:r>
              <w:rPr>
                <w:rFonts w:ascii="Calibri" w:hAnsi="Calibri"/>
                <w:b w:val="0"/>
                <w:color w:val="333333"/>
                <w:sz w:val="18"/>
              </w:rPr>
              <w:t>Planned</w:t>
            </w:r>
          </w:p>
        </w:tc>
      </w:tr>
      <w:tr>
        <w:tc>
          <w:tcPr>
            <w:tcW w:type="dxa" w:w="3135"/>
          </w:tcPr>
          <w:p>
            <w:pPr>
              <w:spacing w:before="40" w:after="40"/>
            </w:pPr>
            <w:r/>
            <w:r>
              <w:rPr>
                <w:rFonts w:ascii="Calibri" w:hAnsi="Calibri"/>
                <w:b w:val="0"/>
                <w:color w:val="333333"/>
                <w:sz w:val="18"/>
              </w:rPr>
              <w:t>Q4 2026</w:t>
            </w:r>
          </w:p>
        </w:tc>
        <w:tc>
          <w:tcPr>
            <w:tcW w:type="dxa" w:w="3135"/>
          </w:tcPr>
          <w:p>
            <w:pPr>
              <w:spacing w:before="40" w:after="40"/>
            </w:pPr>
            <w:r/>
            <w:r>
              <w:rPr>
                <w:rFonts w:ascii="Calibri" w:hAnsi="Calibri"/>
                <w:b w:val="0"/>
                <w:color w:val="333333"/>
                <w:sz w:val="18"/>
              </w:rPr>
              <w:t>ERP Premium and Premium+ suite tiers</w:t>
            </w:r>
          </w:p>
        </w:tc>
        <w:tc>
          <w:tcPr>
            <w:tcW w:type="dxa" w:w="3135"/>
          </w:tcPr>
          <w:p>
            <w:pPr>
              <w:spacing w:before="40" w:after="40"/>
            </w:pPr>
            <w:r/>
            <w:r>
              <w:rPr>
                <w:rFonts w:ascii="Calibri" w:hAnsi="Calibri"/>
                <w:b w:val="0"/>
                <w:color w:val="333333"/>
                <w:sz w:val="18"/>
              </w:rPr>
              <w:t>Planned</w:t>
            </w:r>
          </w:p>
        </w:tc>
      </w:tr>
      <w:tr>
        <w:tc>
          <w:tcPr>
            <w:tcW w:type="dxa" w:w="3135"/>
            <w:shd w:fill="F0F7FF" w:val="clear"/>
          </w:tcPr>
          <w:p>
            <w:pPr>
              <w:spacing w:before="40" w:after="40"/>
            </w:pPr>
            <w:r/>
            <w:r>
              <w:rPr>
                <w:rFonts w:ascii="Calibri" w:hAnsi="Calibri"/>
                <w:b w:val="0"/>
                <w:color w:val="333333"/>
                <w:sz w:val="18"/>
              </w:rPr>
              <w:t>Q4 2026</w:t>
            </w:r>
          </w:p>
        </w:tc>
        <w:tc>
          <w:tcPr>
            <w:tcW w:type="dxa" w:w="3135"/>
            <w:shd w:fill="F0F7FF" w:val="clear"/>
          </w:tcPr>
          <w:p>
            <w:pPr>
              <w:spacing w:before="40" w:after="40"/>
            </w:pPr>
            <w:r/>
            <w:r>
              <w:rPr>
                <w:rFonts w:ascii="Calibri" w:hAnsi="Calibri"/>
                <w:b w:val="0"/>
                <w:color w:val="333333"/>
                <w:sz w:val="18"/>
              </w:rPr>
              <w:t>LMS (Learning Management System) module start</w:t>
            </w:r>
          </w:p>
        </w:tc>
        <w:tc>
          <w:tcPr>
            <w:tcW w:type="dxa" w:w="3135"/>
            <w:shd w:fill="F0F7FF" w:val="clear"/>
          </w:tcPr>
          <w:p>
            <w:pPr>
              <w:spacing w:before="40" w:after="40"/>
            </w:pPr>
            <w:r/>
            <w:r>
              <w:rPr>
                <w:rFonts w:ascii="Calibri" w:hAnsi="Calibri"/>
                <w:b w:val="0"/>
                <w:color w:val="333333"/>
                <w:sz w:val="18"/>
              </w:rPr>
              <w:t>Planned</w:t>
            </w:r>
          </w:p>
        </w:tc>
      </w:tr>
      <w:tr>
        <w:tc>
          <w:tcPr>
            <w:tcW w:type="dxa" w:w="3135"/>
          </w:tcPr>
          <w:p>
            <w:pPr>
              <w:spacing w:before="40" w:after="40"/>
            </w:pPr>
            <w:r/>
            <w:r>
              <w:rPr>
                <w:rFonts w:ascii="Calibri" w:hAnsi="Calibri"/>
                <w:b w:val="0"/>
                <w:color w:val="333333"/>
                <w:sz w:val="18"/>
              </w:rPr>
              <w:t>Q4 2026</w:t>
            </w:r>
          </w:p>
        </w:tc>
        <w:tc>
          <w:tcPr>
            <w:tcW w:type="dxa" w:w="3135"/>
          </w:tcPr>
          <w:p>
            <w:pPr>
              <w:spacing w:before="40" w:after="40"/>
            </w:pPr>
            <w:r/>
            <w:r>
              <w:rPr>
                <w:rFonts w:ascii="Calibri" w:hAnsi="Calibri"/>
                <w:b w:val="0"/>
                <w:color w:val="333333"/>
                <w:sz w:val="18"/>
              </w:rPr>
              <w:t>Advanced portfolio analytics dashboard</w:t>
            </w:r>
          </w:p>
        </w:tc>
        <w:tc>
          <w:tcPr>
            <w:tcW w:type="dxa" w:w="3135"/>
          </w:tcPr>
          <w:p>
            <w:pPr>
              <w:spacing w:before="40" w:after="40"/>
            </w:pPr>
            <w:r/>
            <w:r>
              <w:rPr>
                <w:rFonts w:ascii="Calibri" w:hAnsi="Calibri"/>
                <w:b w:val="0"/>
                <w:color w:val="333333"/>
                <w:sz w:val="18"/>
              </w:rPr>
              <w:t>Planned</w:t>
            </w:r>
          </w:p>
        </w:tc>
      </w:tr>
      <w:tr>
        <w:tc>
          <w:tcPr>
            <w:tcW w:type="dxa" w:w="3135"/>
            <w:shd w:fill="F0F7FF" w:val="clear"/>
          </w:tcPr>
          <w:p>
            <w:pPr>
              <w:spacing w:before="40" w:after="40"/>
            </w:pPr>
            <w:r/>
            <w:r>
              <w:rPr>
                <w:rFonts w:ascii="Calibri" w:hAnsi="Calibri"/>
                <w:b w:val="0"/>
                <w:color w:val="333333"/>
                <w:sz w:val="18"/>
              </w:rPr>
              <w:t>Q4 2026</w:t>
            </w:r>
          </w:p>
        </w:tc>
        <w:tc>
          <w:tcPr>
            <w:tcW w:type="dxa" w:w="3135"/>
            <w:shd w:fill="F0F7FF" w:val="clear"/>
          </w:tcPr>
          <w:p>
            <w:pPr>
              <w:spacing w:before="40" w:after="40"/>
            </w:pPr>
            <w:r/>
            <w:r>
              <w:rPr>
                <w:rFonts w:ascii="Calibri" w:hAnsi="Calibri"/>
                <w:b w:val="0"/>
                <w:color w:val="333333"/>
                <w:sz w:val="18"/>
              </w:rPr>
              <w:t>Verification fee system for organisations</w:t>
            </w:r>
          </w:p>
        </w:tc>
        <w:tc>
          <w:tcPr>
            <w:tcW w:type="dxa" w:w="3135"/>
            <w:shd w:fill="F0F7FF" w:val="clear"/>
          </w:tcPr>
          <w:p>
            <w:pPr>
              <w:spacing w:before="40" w:after="40"/>
            </w:pPr>
            <w:r/>
            <w:r>
              <w:rPr>
                <w:rFonts w:ascii="Calibri" w:hAnsi="Calibri"/>
                <w:b w:val="0"/>
                <w:color w:val="333333"/>
                <w:sz w:val="18"/>
              </w:rPr>
              <w:t>Planned</w:t>
            </w:r>
          </w:p>
        </w:tc>
      </w:tr>
      <w:tr>
        <w:tc>
          <w:tcPr>
            <w:tcW w:type="dxa" w:w="3135"/>
          </w:tcPr>
          <w:p>
            <w:pPr>
              <w:spacing w:before="40" w:after="40"/>
            </w:pPr>
            <w:r/>
            <w:r>
              <w:rPr>
                <w:rFonts w:ascii="Calibri" w:hAnsi="Calibri"/>
                <w:b w:val="0"/>
                <w:color w:val="333333"/>
                <w:sz w:val="18"/>
              </w:rPr>
              <w:t>Q4 2026</w:t>
            </w:r>
          </w:p>
        </w:tc>
        <w:tc>
          <w:tcPr>
            <w:tcW w:type="dxa" w:w="3135"/>
          </w:tcPr>
          <w:p>
            <w:pPr>
              <w:spacing w:before="40" w:after="40"/>
            </w:pPr>
            <w:r/>
            <w:r>
              <w:rPr>
                <w:rFonts w:ascii="Calibri" w:hAnsi="Calibri"/>
                <w:b w:val="0"/>
                <w:color w:val="333333"/>
                <w:sz w:val="18"/>
              </w:rPr>
              <w:t>Fiscal sponsorship package pilot</w:t>
            </w:r>
          </w:p>
        </w:tc>
        <w:tc>
          <w:tcPr>
            <w:tcW w:type="dxa" w:w="3135"/>
          </w:tcPr>
          <w:p>
            <w:pPr>
              <w:spacing w:before="40" w:after="40"/>
            </w:pPr>
            <w:r/>
            <w:r>
              <w:rPr>
                <w:rFonts w:ascii="Calibri" w:hAnsi="Calibri"/>
                <w:b w:val="0"/>
                <w:color w:val="333333"/>
                <w:sz w:val="18"/>
              </w:rPr>
              <w:t>Planned</w:t>
            </w:r>
          </w:p>
        </w:tc>
      </w:tr>
      <w:tr>
        <w:tc>
          <w:tcPr>
            <w:tcW w:type="dxa" w:w="3135"/>
            <w:shd w:fill="F0F7FF" w:val="clear"/>
          </w:tcPr>
          <w:p>
            <w:pPr>
              <w:spacing w:before="40" w:after="40"/>
            </w:pPr>
            <w:r/>
            <w:r>
              <w:rPr>
                <w:rFonts w:ascii="Calibri" w:hAnsi="Calibri"/>
                <w:b w:val="0"/>
                <w:color w:val="333333"/>
                <w:sz w:val="18"/>
              </w:rPr>
              <w:t>2027 H1</w:t>
            </w:r>
          </w:p>
        </w:tc>
        <w:tc>
          <w:tcPr>
            <w:tcW w:type="dxa" w:w="3135"/>
            <w:shd w:fill="F0F7FF" w:val="clear"/>
          </w:tcPr>
          <w:p>
            <w:pPr>
              <w:spacing w:before="40" w:after="40"/>
            </w:pPr>
            <w:r/>
            <w:r>
              <w:rPr>
                <w:rFonts w:ascii="Calibri" w:hAnsi="Calibri"/>
                <w:b w:val="0"/>
                <w:color w:val="333333"/>
                <w:sz w:val="18"/>
              </w:rPr>
              <w:t>Registry expansion: all Sub-Saharan Africa (30+ countries)</w:t>
            </w:r>
          </w:p>
        </w:tc>
        <w:tc>
          <w:tcPr>
            <w:tcW w:type="dxa" w:w="3135"/>
            <w:shd w:fill="F0F7FF" w:val="clear"/>
          </w:tcPr>
          <w:p>
            <w:pPr>
              <w:spacing w:before="40" w:after="40"/>
            </w:pPr>
            <w:r/>
            <w:r>
              <w:rPr>
                <w:rFonts w:ascii="Calibri" w:hAnsi="Calibri"/>
                <w:b w:val="0"/>
                <w:color w:val="333333"/>
                <w:sz w:val="18"/>
              </w:rPr>
              <w:t>Planned</w:t>
            </w:r>
          </w:p>
        </w:tc>
      </w:tr>
      <w:tr>
        <w:tc>
          <w:tcPr>
            <w:tcW w:type="dxa" w:w="3135"/>
          </w:tcPr>
          <w:p>
            <w:pPr>
              <w:spacing w:before="40" w:after="40"/>
            </w:pPr>
            <w:r/>
            <w:r>
              <w:rPr>
                <w:rFonts w:ascii="Calibri" w:hAnsi="Calibri"/>
                <w:b w:val="0"/>
                <w:color w:val="333333"/>
                <w:sz w:val="18"/>
              </w:rPr>
              <w:t>2027 H1</w:t>
            </w:r>
          </w:p>
        </w:tc>
        <w:tc>
          <w:tcPr>
            <w:tcW w:type="dxa" w:w="3135"/>
          </w:tcPr>
          <w:p>
            <w:pPr>
              <w:spacing w:before="40" w:after="40"/>
            </w:pPr>
            <w:r/>
            <w:r>
              <w:rPr>
                <w:rFonts w:ascii="Calibri" w:hAnsi="Calibri"/>
                <w:b w:val="0"/>
                <w:color w:val="333333"/>
                <w:sz w:val="18"/>
              </w:rPr>
              <w:t>Additional language support for LatAm and MENA dialects</w:t>
            </w:r>
          </w:p>
        </w:tc>
        <w:tc>
          <w:tcPr>
            <w:tcW w:type="dxa" w:w="3135"/>
          </w:tcPr>
          <w:p>
            <w:pPr>
              <w:spacing w:before="40" w:after="40"/>
            </w:pPr>
            <w:r/>
            <w:r>
              <w:rPr>
                <w:rFonts w:ascii="Calibri" w:hAnsi="Calibri"/>
                <w:b w:val="0"/>
                <w:color w:val="333333"/>
                <w:sz w:val="18"/>
              </w:rPr>
              <w:t>Planned</w:t>
            </w:r>
          </w:p>
        </w:tc>
      </w:tr>
      <w:tr>
        <w:tc>
          <w:tcPr>
            <w:tcW w:type="dxa" w:w="3135"/>
            <w:shd w:fill="F0F7FF" w:val="clear"/>
          </w:tcPr>
          <w:p>
            <w:pPr>
              <w:spacing w:before="40" w:after="40"/>
            </w:pPr>
            <w:r/>
            <w:r>
              <w:rPr>
                <w:rFonts w:ascii="Calibri" w:hAnsi="Calibri"/>
                <w:b w:val="0"/>
                <w:color w:val="333333"/>
                <w:sz w:val="18"/>
              </w:rPr>
              <w:t>2027 H2</w:t>
            </w:r>
          </w:p>
        </w:tc>
        <w:tc>
          <w:tcPr>
            <w:tcW w:type="dxa" w:w="3135"/>
            <w:shd w:fill="F0F7FF" w:val="clear"/>
          </w:tcPr>
          <w:p>
            <w:pPr>
              <w:spacing w:before="40" w:after="40"/>
            </w:pPr>
            <w:r/>
            <w:r>
              <w:rPr>
                <w:rFonts w:ascii="Calibri" w:hAnsi="Calibri"/>
                <w:b w:val="0"/>
                <w:color w:val="333333"/>
                <w:sz w:val="18"/>
              </w:rPr>
              <w:t>Advanced AI analytics: predictive matching, donor portfolio simulation</w:t>
            </w:r>
          </w:p>
        </w:tc>
        <w:tc>
          <w:tcPr>
            <w:tcW w:type="dxa" w:w="3135"/>
            <w:shd w:fill="F0F7FF" w:val="clear"/>
          </w:tcPr>
          <w:p>
            <w:pPr>
              <w:spacing w:before="40" w:after="40"/>
            </w:pPr>
            <w:r/>
            <w:r>
              <w:rPr>
                <w:rFonts w:ascii="Calibri" w:hAnsi="Calibri"/>
                <w:b w:val="0"/>
                <w:color w:val="333333"/>
                <w:sz w:val="18"/>
              </w:rPr>
              <w:t>Planned</w:t>
            </w:r>
          </w:p>
        </w:tc>
      </w:tr>
      <w:tr>
        <w:tc>
          <w:tcPr>
            <w:tcW w:type="dxa" w:w="3135"/>
          </w:tcPr>
          <w:p>
            <w:pPr>
              <w:spacing w:before="40" w:after="40"/>
            </w:pPr>
            <w:r/>
            <w:r>
              <w:rPr>
                <w:rFonts w:ascii="Calibri" w:hAnsi="Calibri"/>
                <w:b w:val="0"/>
                <w:color w:val="333333"/>
                <w:sz w:val="18"/>
              </w:rPr>
              <w:t>2027 H2</w:t>
            </w:r>
          </w:p>
        </w:tc>
        <w:tc>
          <w:tcPr>
            <w:tcW w:type="dxa" w:w="3135"/>
          </w:tcPr>
          <w:p>
            <w:pPr>
              <w:spacing w:before="40" w:after="40"/>
            </w:pPr>
            <w:r/>
            <w:r>
              <w:rPr>
                <w:rFonts w:ascii="Calibri" w:hAnsi="Calibri"/>
                <w:b w:val="0"/>
                <w:color w:val="333333"/>
                <w:sz w:val="18"/>
              </w:rPr>
              <w:t>Workflow configurator (parallel reviewers + COI gates) for procurement-grade clients</w:t>
            </w:r>
          </w:p>
        </w:tc>
        <w:tc>
          <w:tcPr>
            <w:tcW w:type="dxa" w:w="3135"/>
          </w:tcPr>
          <w:p>
            <w:pPr>
              <w:spacing w:before="40" w:after="40"/>
            </w:pPr>
            <w:r/>
            <w:r>
              <w:rPr>
                <w:rFonts w:ascii="Calibri" w:hAnsi="Calibri"/>
                <w:b w:val="0"/>
                <w:color w:val="333333"/>
                <w:sz w:val="18"/>
              </w:rPr>
              <w:t>Planned</w:t>
            </w:r>
          </w:p>
        </w:tc>
      </w:tr>
      <w:tr>
        <w:tc>
          <w:tcPr>
            <w:tcW w:type="dxa" w:w="3135"/>
            <w:shd w:fill="F0F7FF" w:val="clear"/>
          </w:tcPr>
          <w:p>
            <w:pPr>
              <w:spacing w:before="40" w:after="40"/>
            </w:pPr>
            <w:r/>
            <w:r>
              <w:rPr>
                <w:rFonts w:ascii="Calibri" w:hAnsi="Calibri"/>
                <w:b w:val="0"/>
                <w:color w:val="333333"/>
                <w:sz w:val="18"/>
              </w:rPr>
              <w:t>2028</w:t>
            </w:r>
          </w:p>
        </w:tc>
        <w:tc>
          <w:tcPr>
            <w:tcW w:type="dxa" w:w="3135"/>
            <w:shd w:fill="F0F7FF" w:val="clear"/>
          </w:tcPr>
          <w:p>
            <w:pPr>
              <w:spacing w:before="40" w:after="40"/>
            </w:pPr>
            <w:r/>
            <w:r>
              <w:rPr>
                <w:rFonts w:ascii="Calibri" w:hAnsi="Calibri"/>
                <w:b w:val="0"/>
                <w:color w:val="333333"/>
                <w:sz w:val="18"/>
              </w:rPr>
              <w:t>Latin America &amp; Caribbean launch (15 countries)</w:t>
            </w:r>
          </w:p>
        </w:tc>
        <w:tc>
          <w:tcPr>
            <w:tcW w:type="dxa" w:w="3135"/>
            <w:shd w:fill="F0F7FF" w:val="clear"/>
          </w:tcPr>
          <w:p>
            <w:pPr>
              <w:spacing w:before="40" w:after="40"/>
            </w:pPr>
            <w:r/>
            <w:r>
              <w:rPr>
                <w:rFonts w:ascii="Calibri" w:hAnsi="Calibri"/>
                <w:b w:val="0"/>
                <w:color w:val="333333"/>
                <w:sz w:val="18"/>
              </w:rPr>
              <w:t>Planned</w:t>
            </w:r>
          </w:p>
        </w:tc>
      </w:tr>
      <w:tr>
        <w:tc>
          <w:tcPr>
            <w:tcW w:type="dxa" w:w="3135"/>
          </w:tcPr>
          <w:p>
            <w:pPr>
              <w:spacing w:before="40" w:after="40"/>
            </w:pPr>
            <w:r/>
            <w:r>
              <w:rPr>
                <w:rFonts w:ascii="Calibri" w:hAnsi="Calibri"/>
                <w:b w:val="0"/>
                <w:color w:val="333333"/>
                <w:sz w:val="18"/>
              </w:rPr>
              <w:t>2028</w:t>
            </w:r>
          </w:p>
        </w:tc>
        <w:tc>
          <w:tcPr>
            <w:tcW w:type="dxa" w:w="3135"/>
          </w:tcPr>
          <w:p>
            <w:pPr>
              <w:spacing w:before="40" w:after="40"/>
            </w:pPr>
            <w:r/>
            <w:r>
              <w:rPr>
                <w:rFonts w:ascii="Calibri" w:hAnsi="Calibri"/>
                <w:b w:val="0"/>
                <w:color w:val="333333"/>
                <w:sz w:val="18"/>
              </w:rPr>
              <w:t>Course marketplace (CSO-created and INGO-created learning content)</w:t>
            </w:r>
          </w:p>
        </w:tc>
        <w:tc>
          <w:tcPr>
            <w:tcW w:type="dxa" w:w="3135"/>
          </w:tcPr>
          <w:p>
            <w:pPr>
              <w:spacing w:before="40" w:after="40"/>
            </w:pPr>
            <w:r/>
            <w:r>
              <w:rPr>
                <w:rFonts w:ascii="Calibri" w:hAnsi="Calibri"/>
                <w:b w:val="0"/>
                <w:color w:val="333333"/>
                <w:sz w:val="18"/>
              </w:rPr>
              <w:t>Planned</w:t>
            </w:r>
          </w:p>
        </w:tc>
      </w:tr>
    </w:tbl>
    <w:p>
      <w:r>
        <w:br w:type="page"/>
      </w:r>
    </w:p>
    <w:p>
      <w:pPr>
        <w:pStyle w:val="Heading1"/>
        <w:spacing w:before="360" w:after="160"/>
      </w:pPr>
      <w:r>
        <w:rPr>
          <w:rFonts w:ascii="Calibri" w:hAnsi="Calibri"/>
          <w:color w:val="1E40AF"/>
        </w:rPr>
        <w:t>10. Appendix — Source References</w:t>
      </w:r>
    </w:p>
    <w:p>
      <w:pPr>
        <w:pStyle w:val="Heading2"/>
        <w:spacing w:before="280" w:after="120"/>
      </w:pPr>
      <w:r>
        <w:rPr>
          <w:rFonts w:ascii="Calibri" w:hAnsi="Calibri"/>
          <w:color w:val="0D9488"/>
        </w:rPr>
        <w:t>Market Data</w:t>
      </w:r>
    </w:p>
    <w:p>
      <w:pPr>
        <w:pStyle w:val="ListBullet"/>
        <w:spacing w:after="60" w:line="300" w:lineRule="exact"/>
      </w:pPr>
      <w:r>
        <w:rPr>
          <w:rFonts w:ascii="Calibri" w:hAnsi="Calibri"/>
          <w:color w:val="333333"/>
          <w:sz w:val="21"/>
        </w:rPr>
        <w:t>Grand View Research. "Grant Management Software Market Report." 2024. https://www.grandviewresearch.com/industry-analysis/grant-management-software-market-report</w:t>
      </w:r>
    </w:p>
    <w:p>
      <w:pPr>
        <w:pStyle w:val="ListBullet"/>
        <w:spacing w:after="60" w:line="300" w:lineRule="exact"/>
      </w:pPr>
      <w:r>
        <w:rPr>
          <w:rFonts w:ascii="Calibri" w:hAnsi="Calibri"/>
          <w:color w:val="333333"/>
          <w:sz w:val="21"/>
        </w:rPr>
        <w:t>Future Market Insights. "Grant Management Software Market." 2024. https://www.futuremarketinsights.com/reports/grant-management-software-market</w:t>
      </w:r>
    </w:p>
    <w:p>
      <w:pPr>
        <w:pStyle w:val="Heading2"/>
        <w:spacing w:before="280" w:after="120"/>
      </w:pPr>
      <w:r>
        <w:rPr>
          <w:rFonts w:ascii="Calibri" w:hAnsi="Calibri"/>
          <w:color w:val="0D9488"/>
        </w:rPr>
        <w:t>AI Adoption</w:t>
      </w:r>
    </w:p>
    <w:p>
      <w:pPr>
        <w:pStyle w:val="ListBullet"/>
        <w:spacing w:after="60" w:line="300" w:lineRule="exact"/>
      </w:pPr>
      <w:r>
        <w:rPr>
          <w:rFonts w:ascii="Calibri" w:hAnsi="Calibri"/>
          <w:color w:val="333333"/>
          <w:sz w:val="21"/>
        </w:rPr>
        <w:t>Center for Effective Philanthropy (CEP). "AI With Purpose: How Foundations and Nonprofits Are Thinking About and Using AI." 2025.</w:t>
      </w:r>
    </w:p>
    <w:p>
      <w:pPr>
        <w:pStyle w:val="ListBullet"/>
        <w:spacing w:after="60" w:line="300" w:lineRule="exact"/>
      </w:pPr>
      <w:r>
        <w:rPr>
          <w:rFonts w:ascii="Calibri" w:hAnsi="Calibri"/>
          <w:color w:val="333333"/>
          <w:sz w:val="21"/>
        </w:rPr>
        <w:t>TechSoup &amp; Tapp Network. "State of AI in Nonprofits: 2025 Benchmark Report." 2025.</w:t>
      </w:r>
    </w:p>
    <w:p>
      <w:pPr>
        <w:pStyle w:val="ListBullet"/>
        <w:spacing w:after="60" w:line="300" w:lineRule="exact"/>
      </w:pPr>
      <w:r>
        <w:rPr>
          <w:rFonts w:ascii="Calibri" w:hAnsi="Calibri"/>
          <w:color w:val="333333"/>
          <w:sz w:val="21"/>
        </w:rPr>
        <w:t>Virtuous &amp; Fundraising.AI. "2026 Nonprofit AI Adoption Report." February 2026.</w:t>
      </w:r>
    </w:p>
    <w:p>
      <w:pPr>
        <w:pStyle w:val="Heading2"/>
        <w:spacing w:before="280" w:after="120"/>
      </w:pPr>
      <w:r>
        <w:rPr>
          <w:rFonts w:ascii="Calibri" w:hAnsi="Calibri"/>
          <w:color w:val="0D9488"/>
        </w:rPr>
        <w:t>USAID &amp; Aid Sector</w:t>
      </w:r>
    </w:p>
    <w:p>
      <w:pPr>
        <w:pStyle w:val="ListBullet"/>
        <w:spacing w:after="60" w:line="300" w:lineRule="exact"/>
      </w:pPr>
      <w:r>
        <w:rPr>
          <w:rFonts w:ascii="Calibri" w:hAnsi="Calibri"/>
          <w:color w:val="333333"/>
          <w:sz w:val="21"/>
        </w:rPr>
        <w:t>NPR. "Rubio announces that 83% of USAID contracts will be canceled." March 10, 2025.</w:t>
      </w:r>
    </w:p>
    <w:p>
      <w:pPr>
        <w:pStyle w:val="ListBullet"/>
        <w:spacing w:after="60" w:line="300" w:lineRule="exact"/>
      </w:pPr>
      <w:r>
        <w:rPr>
          <w:rFonts w:ascii="Calibri" w:hAnsi="Calibri"/>
          <w:color w:val="333333"/>
          <w:sz w:val="21"/>
        </w:rPr>
        <w:t>ForeignAssistance.gov. USAID spending data, 2024-2025.</w:t>
      </w:r>
    </w:p>
    <w:p>
      <w:pPr>
        <w:pStyle w:val="Heading2"/>
        <w:spacing w:before="280" w:after="120"/>
      </w:pPr>
      <w:r>
        <w:rPr>
          <w:rFonts w:ascii="Calibri" w:hAnsi="Calibri"/>
          <w:color w:val="0D9488"/>
        </w:rPr>
        <w:t>Competitor Sources</w:t>
      </w:r>
    </w:p>
    <w:p>
      <w:pPr>
        <w:pStyle w:val="ListBullet"/>
        <w:spacing w:after="60" w:line="300" w:lineRule="exact"/>
      </w:pPr>
      <w:r>
        <w:rPr>
          <w:rFonts w:ascii="Calibri" w:hAnsi="Calibri"/>
          <w:color w:val="333333"/>
          <w:sz w:val="21"/>
        </w:rPr>
        <w:t>Fluxx. https://www.fluxx.io</w:t>
      </w:r>
    </w:p>
    <w:p>
      <w:pPr>
        <w:pStyle w:val="ListBullet"/>
        <w:spacing w:after="60" w:line="300" w:lineRule="exact"/>
      </w:pPr>
      <w:r>
        <w:rPr>
          <w:rFonts w:ascii="Calibri" w:hAnsi="Calibri"/>
          <w:color w:val="333333"/>
          <w:sz w:val="21"/>
        </w:rPr>
        <w:t>Submittable. https://www.submittable.com</w:t>
      </w:r>
    </w:p>
    <w:p>
      <w:pPr>
        <w:pStyle w:val="ListBullet"/>
        <w:spacing w:after="60" w:line="300" w:lineRule="exact"/>
      </w:pPr>
      <w:r>
        <w:rPr>
          <w:rFonts w:ascii="Calibri" w:hAnsi="Calibri"/>
          <w:color w:val="333333"/>
          <w:sz w:val="21"/>
        </w:rPr>
        <w:t>SmartSimple. https://www.smartsimple.com</w:t>
      </w:r>
    </w:p>
    <w:p>
      <w:pPr>
        <w:pStyle w:val="ListBullet"/>
        <w:spacing w:after="60" w:line="300" w:lineRule="exact"/>
      </w:pPr>
      <w:r>
        <w:rPr>
          <w:rFonts w:ascii="Calibri" w:hAnsi="Calibri"/>
          <w:color w:val="333333"/>
          <w:sz w:val="21"/>
        </w:rPr>
        <w:t>GlobalGiving. https://www.globalgiving.org</w:t>
      </w:r>
    </w:p>
    <w:p>
      <w:pPr>
        <w:pStyle w:val="ListBullet"/>
        <w:spacing w:after="60" w:line="300" w:lineRule="exact"/>
      </w:pPr>
      <w:r>
        <w:rPr>
          <w:rFonts w:ascii="Calibri" w:hAnsi="Calibri"/>
          <w:color w:val="333333"/>
          <w:sz w:val="21"/>
        </w:rPr>
        <w:t>UN Partner Portal. https://www.unpartnerportal.org</w:t>
      </w:r>
    </w:p>
    <w:p>
      <w:pPr>
        <w:pStyle w:val="ListBullet"/>
        <w:spacing w:after="60" w:line="300" w:lineRule="exact"/>
      </w:pPr>
      <w:r>
        <w:rPr>
          <w:rFonts w:ascii="Calibri" w:hAnsi="Calibri"/>
          <w:color w:val="333333"/>
          <w:sz w:val="21"/>
        </w:rPr>
        <w:t>TechSoup. https://www.techsoup.org</w:t>
      </w:r>
    </w:p>
    <w:p>
      <w:pPr>
        <w:pStyle w:val="ListBullet"/>
        <w:spacing w:after="60" w:line="300" w:lineRule="exact"/>
      </w:pPr>
      <w:r>
        <w:rPr>
          <w:rFonts w:ascii="Calibri" w:hAnsi="Calibri"/>
          <w:color w:val="333333"/>
          <w:sz w:val="21"/>
        </w:rPr>
        <w:t>Instrumentl. https://www.instrumentl.com</w:t>
      </w:r>
    </w:p>
    <w:p>
      <w:pPr>
        <w:pStyle w:val="ListBullet"/>
        <w:spacing w:after="60" w:line="300" w:lineRule="exact"/>
      </w:pPr>
      <w:r>
        <w:rPr>
          <w:rFonts w:ascii="Calibri" w:hAnsi="Calibri"/>
          <w:color w:val="333333"/>
          <w:sz w:val="21"/>
        </w:rPr>
        <w:t>Xapien. https://www.xapien.com</w:t>
      </w:r>
    </w:p>
    <w:p>
      <w:pPr>
        <w:pStyle w:val="ListBullet"/>
        <w:spacing w:after="60" w:line="300" w:lineRule="exact"/>
      </w:pPr>
      <w:r>
        <w:rPr>
          <w:rFonts w:ascii="Calibri" w:hAnsi="Calibri"/>
          <w:color w:val="333333"/>
          <w:sz w:val="21"/>
        </w:rPr>
        <w:t>OpenGrants. https://opengrants.io</w:t>
      </w:r>
    </w:p>
    <w:p>
      <w:pPr>
        <w:pStyle w:val="ListBullet"/>
        <w:spacing w:after="60" w:line="300" w:lineRule="exact"/>
      </w:pPr>
      <w:r>
        <w:rPr>
          <w:rFonts w:ascii="Calibri" w:hAnsi="Calibri"/>
          <w:color w:val="333333"/>
          <w:sz w:val="21"/>
        </w:rPr>
        <w:t>Bonterra. https://www.bonterratech.com</w:t>
      </w:r>
    </w:p>
    <w:p>
      <w:pPr>
        <w:pStyle w:val="ListBullet"/>
        <w:spacing w:after="60" w:line="300" w:lineRule="exact"/>
      </w:pPr>
      <w:r>
        <w:rPr>
          <w:rFonts w:ascii="Calibri" w:hAnsi="Calibri"/>
          <w:color w:val="333333"/>
          <w:sz w:val="21"/>
        </w:rPr>
        <w:t>Benevity. https://www.benevity.com</w:t>
      </w:r>
    </w:p>
    <w:p>
      <w:pPr>
        <w:pStyle w:val="Heading2"/>
        <w:spacing w:before="280" w:after="120"/>
      </w:pPr>
      <w:r>
        <w:rPr>
          <w:rFonts w:ascii="Calibri" w:hAnsi="Calibri"/>
          <w:color w:val="0D9488"/>
        </w:rPr>
        <w:t>Humanitarian Sector</w:t>
      </w:r>
    </w:p>
    <w:p>
      <w:pPr>
        <w:pStyle w:val="ListBullet"/>
        <w:spacing w:after="60" w:line="300" w:lineRule="exact"/>
      </w:pPr>
      <w:r>
        <w:rPr>
          <w:rFonts w:ascii="Calibri" w:hAnsi="Calibri"/>
          <w:color w:val="333333"/>
          <w:sz w:val="21"/>
        </w:rPr>
        <w:t>Grand Bargain 2.0 Framework. https://interagencystandingcommittee.org/grand-bargain</w:t>
      </w:r>
    </w:p>
    <w:p>
      <w:pPr>
        <w:pStyle w:val="ListBullet"/>
        <w:spacing w:after="60" w:line="300" w:lineRule="exact"/>
      </w:pPr>
      <w:r>
        <w:rPr>
          <w:rFonts w:ascii="Calibri" w:hAnsi="Calibri"/>
          <w:color w:val="333333"/>
          <w:sz w:val="21"/>
        </w:rPr>
        <w:t>NEAR Network. https://www.near.ngo</w:t>
      </w:r>
    </w:p>
    <w:p>
      <w:pPr>
        <w:pStyle w:val="ListBullet"/>
        <w:spacing w:after="60" w:line="300" w:lineRule="exact"/>
      </w:pPr>
      <w:r>
        <w:rPr>
          <w:rFonts w:ascii="Calibri" w:hAnsi="Calibri"/>
          <w:color w:val="333333"/>
          <w:sz w:val="21"/>
        </w:rPr>
        <w:t>ReliefWeb. "Partner Capacity Assessments of Humanitarian NGOs." 2024.</w:t>
      </w:r>
    </w:p>
    <w:p/>
    <w:p/>
    <w:p>
      <w:pPr>
        <w:jc w:val="center"/>
      </w:pPr>
      <w:r>
        <w:rPr>
          <w:rFonts w:ascii="Calibri" w:hAnsi="Calibri"/>
          <w:color w:val="666666"/>
          <w:sz w:val="18"/>
        </w:rPr>
        <w:t>Kuja Grant Platform | Adeso — African Development Solutions | INTERNAL |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