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A1410"/>
          <w:sz w:val="44"/>
          <w:szCs w:val="44"/>
        </w:rPr>
        <w:t xml:space="preserve">Proximate Fund — Platform Update</w:t>
      </w:r>
    </w:p>
    <w:p>
      <w:pPr>
        <w:spacing w:after="60" w:before="90"/>
      </w:pPr>
      <w:r>
        <w:rPr>
          <w:rFonts w:ascii="Arial" w:cs="Arial" w:eastAsia="Arial" w:hAnsi="Arial"/>
          <w:color w:val="6B655F"/>
          <w:sz w:val="21"/>
          <w:szCs w:val="21"/>
        </w:rPr>
        <w:t xml:space="preserve">24 July 2026 · proximate.kuja.org · prepared for the Adeso / Proximate team</w:t>
      </w:r>
    </w:p>
    <w:p>
      <w:pPr>
        <w:spacing w:after="200" w:before="90"/>
      </w:pPr>
      <w:r>
        <w:rPr>
          <w:rFonts w:ascii="Arial" w:cs="Arial" w:eastAsia="Arial" w:hAnsi="Arial"/>
          <w:i/>
          <w:iCs/>
          <w:color w:val="6B655F"/>
          <w:sz w:val="20"/>
          <w:szCs w:val="20"/>
        </w:rPr>
        <w:t xml:space="preserve">This replaces the 21 July update. Everything still open is written out again below, so you do not need both documents.</w:t>
      </w:r>
    </w:p>
    <w:p>
      <w:pPr>
        <w:pStyle w:val="Heading1"/>
      </w:pPr>
      <w:r>
        <w:t xml:space="preserve">At a glance</w:t>
      </w:r>
    </w:p>
    <w:p>
      <w:pPr>
        <w:spacing w:after="90" w:before="90"/>
      </w:pPr>
      <w:r>
        <w:rPr>
          <w:rFonts w:ascii="Arial" w:cs="Arial" w:eastAsia="Arial" w:hAnsi="Arial"/>
          <w:color w:val="1A1410"/>
          <w:sz w:val="21"/>
          <w:szCs w:val="21"/>
        </w:rPr>
        <w:t xml:space="preserve">The team sent a long piece of feedback arguing that the platform modelled about six stages of Proximate’s work while the real process has closer to fourteen. That was correct. This wave builds the missing eight, so the console now follows the whole cycle — from choosing where to work, through seating a panel, to closing the round and producing the pack a donor actually receives.</w:t>
      </w:r>
    </w:p>
    <w:p>
      <w:pPr>
        <w:spacing w:after="90" w:before="90"/>
      </w:pPr>
      <w:r>
        <w:rPr>
          <w:rFonts w:ascii="Arial" w:cs="Arial" w:eastAsia="Arial" w:hAnsi="Arial"/>
          <w:color w:val="1A1410"/>
          <w:sz w:val="21"/>
          <w:szCs w:val="21"/>
        </w:rPr>
        <w:t xml:space="preserve">Four releases went out over the wave. Alongside them, one clarification from Idiris changed the data model before it was built rather than after: there is no such thing as an endorser at Proximate. Endorsement is a step, and panel members are the people who perform it. Had we shipped the version we had sketched, we would have created a role that does not exist in the fund and then had to unpick it from live data.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CEC" w:sz="1"/>
              <w:left w:val="single" w:color="B91C1C" w:sz="18"/>
              <w:bottom w:val="single" w:color="FDECEC" w:sz="1"/>
              <w:right w:val="single" w:color="FDECEC" w:sz="1"/>
            </w:tcBorders>
            <w:shd w:fill="FDECEC" w:val="clear"/>
            <w:tcMar>
              <w:top w:type="dxa" w:w="100"/>
              <w:left w:type="dxa" w:w="160"/>
              <w:bottom w:type="dxa" w:w="100"/>
              <w:right w:type="dxa" w:w="140"/>
            </w:tcMar>
          </w:tcPr>
          <w:p>
            <w:pPr>
              <w:spacing w:after="0" w:before="0"/>
            </w:pPr>
            <w:r>
              <w:rPr>
                <w:rFonts w:ascii="Arial" w:cs="Arial" w:eastAsia="Arial" w:hAnsi="Arial"/>
                <w:b/>
                <w:bCs/>
                <w:color w:val="B91C1C"/>
                <w:sz w:val="19"/>
                <w:szCs w:val="19"/>
              </w:rPr>
              <w:t xml:space="preserve">Needs someone — </w:t>
            </w:r>
            <w:r>
              <w:rPr>
                <w:rFonts w:ascii="Arial" w:cs="Arial" w:eastAsia="Arial" w:hAnsi="Arial"/>
                <w:color w:val="1A1410"/>
                <w:sz w:val="19"/>
                <w:szCs w:val="19"/>
              </w:rPr>
              <w:t xml:space="preserve">The single most important item in this document is not a feature. </w:t>
            </w:r>
            <w:r>
              <w:rPr>
                <w:rFonts w:ascii="Arial" w:cs="Arial" w:eastAsia="Arial" w:hAnsi="Arial"/>
                <w:b/>
                <w:bCs/>
                <w:color w:val="1A1410"/>
                <w:sz w:val="19"/>
                <w:szCs w:val="19"/>
              </w:rPr>
              <w:t xml:space="preserve">The weekly backup job for the Proximate data has never run.</w:t>
            </w:r>
            <w:r>
              <w:rPr>
                <w:rFonts w:ascii="Arial" w:cs="Arial" w:eastAsia="Arial" w:hAnsi="Arial"/>
                <w:color w:val="1A1410"/>
                <w:sz w:val="19"/>
                <w:szCs w:val="19"/>
              </w:rPr>
              <w:t xml:space="preserve"> The live fund holds 62 real partners and roughly 100 documents. The job exists and is correct; nobody has enabled it. It needs someone with GitHub access, and it is a ten-minute task.</w:t>
            </w:r>
          </w:p>
        </w:tc>
      </w:tr>
    </w:tbl>
    <w:p>
      <w:pPr>
        <w:pStyle w:val="Heading1"/>
      </w:pPr>
      <w:r>
        <w:t xml:space="preserve">What shipped</w:t>
      </w:r>
    </w:p>
    <w:p>
      <w:pPr>
        <w:pStyle w:val="Heading2"/>
      </w:pPr>
      <w:r>
        <w:t xml:space="preserve">1. The cycle, from crisis signal to closeout</w:t>
      </w:r>
    </w:p>
    <w:p>
      <w:pPr>
        <w:spacing w:after="90" w:before="90"/>
      </w:pPr>
      <w:r>
        <w:rPr>
          <w:rFonts w:ascii="Arial" w:cs="Arial" w:eastAsia="Arial" w:hAnsi="Arial"/>
          <w:color w:val="1A1410"/>
          <w:sz w:val="21"/>
          <w:szCs w:val="21"/>
        </w:rPr>
        <w:t xml:space="preserve">The console now carries the full round. Where there was previously a gap between “a round exists” and “money went out”, there are now named steps with their own screens: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New in this wave</w:t>
            </w:r>
          </w:p>
        </w:tc>
        <w:tc>
          <w:tcPr>
            <w:tcW w:type="dxa" w:w="64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What it does</w:t>
            </w:r>
          </w:p>
        </w:tc>
      </w:tr>
      <w:tr>
        <w:tc>
          <w:tcPr>
            <w:tcW w:type="dxa" w:w="2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Cycle setup</w:t>
            </w:r>
          </w:p>
        </w:tc>
        <w:tc>
          <w:tcPr>
            <w:tcW w:type="dxa" w:w="6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Locality, grant size, why this area was chosen and on what evidence, the donor envelope, administration, target dates. All of it feeds the donor pack automatically.</w:t>
            </w:r>
          </w:p>
        </w:tc>
      </w:tr>
      <w:tr>
        <w:tc>
          <w:tcPr>
            <w:tcW w:type="dxa" w:w="2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Panel</w:t>
            </w:r>
          </w:p>
        </w:tc>
        <w:tc>
          <w:tcPr>
            <w:tcW w:type="dxa" w:w="6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Panel members as records — expertise, network represented, who recommended them, language, CV. Full due diligence per member: sanctions, media, social, plus any other check the secretariat wants to add. Governance timestamps for terms of reference, conflict of interest, confidentiality, reference check and independent validation.</w:t>
            </w:r>
          </w:p>
        </w:tc>
      </w:tr>
      <w:tr>
        <w:tc>
          <w:tcPr>
            <w:tcW w:type="dxa" w:w="2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Awards &amp; contracts</w:t>
            </w:r>
          </w:p>
        </w:tc>
        <w:tc>
          <w:tcPr>
            <w:tcW w:type="dxa" w:w="6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An award register per cycle, the contract opened from the award, and the signature state — so the amount cannot drift between what the panel decided and what gets paid.</w:t>
            </w:r>
          </w:p>
        </w:tc>
      </w:tr>
      <w:tr>
        <w:tc>
          <w:tcPr>
            <w:tcW w:type="dxa" w:w="2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Receipt confirmation</w:t>
            </w:r>
          </w:p>
        </w:tc>
        <w:tc>
          <w:tcPr>
            <w:tcW w:type="dxa" w:w="6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partner confirms what actually arrived, from a link on their phone. The secretariat can record it on their behalf if the partner cannot use the link.</w:t>
            </w:r>
          </w:p>
        </w:tc>
      </w:tr>
      <w:tr>
        <w:tc>
          <w:tcPr>
            <w:tcW w:type="dxa" w:w="2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Evidence inbox</w:t>
            </w:r>
          </w:p>
        </w:tc>
        <w:tc>
          <w:tcPr>
            <w:tcW w:type="dxa" w:w="6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Everything a partner sends during implementation, with the source named — WhatsApp, a phone call, email, a field visit, a form.</w:t>
            </w:r>
          </w:p>
        </w:tc>
      </w:tr>
      <w:tr>
        <w:tc>
          <w:tcPr>
            <w:tcW w:type="dxa" w:w="2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Partner history</w:t>
            </w:r>
          </w:p>
        </w:tc>
        <w:tc>
          <w:tcPr>
            <w:tcW w:type="dxa" w:w="6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One timeline per partner across the whole cycle, rather than the same partner appearing separately on six screens.</w:t>
            </w:r>
          </w:p>
        </w:tc>
      </w:tr>
      <w:tr>
        <w:tc>
          <w:tcPr>
            <w:tcW w:type="dxa" w:w="29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Closeout</w:t>
            </w:r>
          </w:p>
        </w:tc>
        <w:tc>
          <w:tcPr>
            <w:tcW w:type="dxa" w:w="64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What is still outstanding, the money reconciled, the panel’s composition, and a PDF pack.</w:t>
            </w:r>
          </w:p>
        </w:tc>
      </w:tr>
    </w:tbl>
    <w:p>
      <w:pPr>
        <w:pStyle w:val="Heading2"/>
      </w:pPr>
      <w:r>
        <w:t xml:space="preserve">2. A money rule that was quietly wrong</w:t>
      </w:r>
    </w:p>
    <w:p>
      <w:pPr>
        <w:spacing w:after="90" w:before="90"/>
      </w:pPr>
      <w:r>
        <w:rPr>
          <w:rFonts w:ascii="Arial" w:cs="Arial" w:eastAsia="Arial" w:hAnsi="Arial"/>
          <w:color w:val="1A1410"/>
          <w:sz w:val="21"/>
          <w:szCs w:val="21"/>
        </w:rPr>
        <w:t xml:space="preserve">The system held one figure for a cycle: the donor’s envelope. Awards were checked against it. But the envelope is not what partners can receive — administration comes out of it first. Checking awards against the envelope meant a cycle could commit the donor’s entire grant to partners and only discover the shortfall at closeout.</w:t>
      </w:r>
    </w:p>
    <w:p>
      <w:pPr>
        <w:spacing w:after="90" w:before="90"/>
      </w:pPr>
      <w:r>
        <w:rPr>
          <w:rFonts w:ascii="Arial" w:cs="Arial" w:eastAsia="Arial" w:hAnsi="Arial"/>
          <w:color w:val="1A1410"/>
          <w:sz w:val="21"/>
          <w:szCs w:val="21"/>
        </w:rPr>
        <w:t xml:space="preserve">Administration is now a separate figure, and every award check runs against envelope minus administration. Nothing else in the system is allowed to use the envelope for that purpose.</w:t>
      </w:r>
    </w:p>
    <w:p>
      <w:pPr>
        <w:pStyle w:val="Heading2"/>
      </w:pPr>
      <w:r>
        <w:t xml:space="preserve">3. Money cannot leave until six things are true</w:t>
      </w:r>
    </w:p>
    <w:p>
      <w:pPr>
        <w:spacing w:after="90" w:before="90"/>
      </w:pPr>
      <w:r>
        <w:rPr>
          <w:rFonts w:ascii="Arial" w:cs="Arial" w:eastAsia="Arial" w:hAnsi="Arial"/>
          <w:color w:val="1A1410"/>
          <w:sz w:val="21"/>
          <w:szCs w:val="21"/>
        </w:rPr>
        <w:t xml:space="preserve">Raising a disbursement now runs a hard check: the partner is cleared, an award exists, an amount is approved, a contract exists, that contract is complete, and there is a verified payment route. If any is missing the release is blocked, and the message says in plain language what is missing and who can fix it.</w:t>
      </w:r>
    </w:p>
    <w:p>
      <w:pPr>
        <w:spacing w:after="90" w:before="90"/>
      </w:pPr>
      <w:r>
        <w:rPr>
          <w:rFonts w:ascii="Arial" w:cs="Arial" w:eastAsia="Arial" w:hAnsi="Arial"/>
          <w:color w:val="1A1410"/>
          <w:sz w:val="21"/>
          <w:szCs w:val="21"/>
        </w:rPr>
        <w:t xml:space="preserve">One deliberate exception. Where the paper trail behind a decision is thin, the system warns rather than blocks. Refusing to pay a partner because the record of a decision made about them is weak punishes the wrong person. It is flagged so it can be fixed, not used to withhold money.</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F6EC" w:sz="1"/>
              <w:left w:val="single" w:color="92400E" w:sz="18"/>
              <w:bottom w:val="single" w:color="FDF6EC" w:sz="1"/>
              <w:right w:val="single" w:color="FDF6EC" w:sz="1"/>
            </w:tcBorders>
            <w:shd w:fill="FDF6EC" w:val="clear"/>
            <w:tcMar>
              <w:top w:type="dxa" w:w="100"/>
              <w:left w:type="dxa" w:w="160"/>
              <w:bottom w:type="dxa" w:w="100"/>
              <w:right w:type="dxa" w:w="140"/>
            </w:tcMar>
          </w:tcPr>
          <w:p>
            <w:pPr>
              <w:spacing w:after="0" w:before="0"/>
            </w:pPr>
            <w:r>
              <w:rPr>
                <w:rFonts w:ascii="Arial" w:cs="Arial" w:eastAsia="Arial" w:hAnsi="Arial"/>
                <w:b/>
                <w:bCs/>
                <w:color w:val="92400E"/>
                <w:sz w:val="19"/>
                <w:szCs w:val="19"/>
              </w:rPr>
              <w:t xml:space="preserve">Worth knowing — </w:t>
            </w:r>
            <w:r>
              <w:rPr>
                <w:rFonts w:ascii="Arial" w:cs="Arial" w:eastAsia="Arial" w:hAnsi="Arial"/>
                <w:color w:val="1A1410"/>
                <w:sz w:val="19"/>
                <w:szCs w:val="19"/>
              </w:rPr>
              <w:t xml:space="preserve">The gate arms per cycle. </w:t>
            </w:r>
            <w:r>
              <w:rPr>
                <w:rFonts w:ascii="Arial" w:cs="Arial" w:eastAsia="Arial" w:hAnsi="Arial"/>
                <w:color w:val="1A1410"/>
                <w:sz w:val="19"/>
                <w:szCs w:val="19"/>
              </w:rPr>
              <w:t xml:space="preserve">It only applies once a round has recorded its first award, so cycles that were already mid-flight when this deployed were not stranded by it. Blue Nile is unaffected.</w:t>
            </w:r>
          </w:p>
        </w:tc>
      </w:tr>
    </w:tbl>
    <w:p>
      <w:pPr>
        <w:pStyle w:val="Heading2"/>
      </w:pPr>
      <w:r>
        <w:t xml:space="preserve">4. Arabic</w:t>
      </w:r>
    </w:p>
    <w:p>
      <w:pPr>
        <w:spacing w:after="90" w:before="90"/>
      </w:pPr>
      <w:r>
        <w:rPr>
          <w:rFonts w:ascii="Arial" w:cs="Arial" w:eastAsia="Arial" w:hAnsi="Arial"/>
          <w:color w:val="1A1410"/>
          <w:sz w:val="21"/>
          <w:szCs w:val="21"/>
        </w:rPr>
        <w:t xml:space="preserve">187 new strings across the cycle screens, translated into Arabic rather than left in English. The other four languages carry the English text as a visible placeholder — which is honest about what has and has not been translated, rather than shipping machine output and calling it a translation. All six locales stay in step at 3,425 keys, and a test fails the build if they drift.</w:t>
      </w:r>
    </w:p>
    <w:p>
      <w:pPr>
        <w:spacing w:after="90" w:before="90"/>
      </w:pPr>
      <w:r>
        <w:rPr>
          <w:rFonts w:ascii="Arial" w:cs="Arial" w:eastAsia="Arial" w:hAnsi="Arial"/>
          <w:color w:val="1A1410"/>
          <w:sz w:val="21"/>
          <w:szCs w:val="21"/>
        </w:rPr>
        <w:t xml:space="preserve">The closeout PDF renders Arabic properly — shaped and right-to-left, not the disconnected letters most systems produce. It uses the same font and shaping path as the partner report pack.</w:t>
      </w:r>
    </w:p>
    <w:p>
      <w:pPr>
        <w:pStyle w:val="Heading2"/>
      </w:pPr>
      <w:r>
        <w:t xml:space="preserve">5. Partners who go quiet</w:t>
      </w:r>
    </w:p>
    <w:p>
      <w:pPr>
        <w:spacing w:after="90" w:before="90"/>
      </w:pPr>
      <w:r>
        <w:rPr>
          <w:rFonts w:ascii="Arial" w:cs="Arial" w:eastAsia="Arial" w:hAnsi="Arial"/>
          <w:color w:val="1A1410"/>
          <w:sz w:val="21"/>
          <w:szCs w:val="21"/>
        </w:rPr>
        <w:t xml:space="preserve">A weekly job now looks for partners mid-implementation who have logged nothing for a fortnight, and raises an observation for the secretariat.</w:t>
      </w:r>
    </w:p>
    <w:p>
      <w:pPr>
        <w:spacing w:after="90" w:before="90"/>
      </w:pPr>
      <w:r>
        <w:rPr>
          <w:rFonts w:ascii="Arial" w:cs="Arial" w:eastAsia="Arial" w:hAnsi="Arial"/>
          <w:color w:val="1A1410"/>
          <w:sz w:val="21"/>
          <w:szCs w:val="21"/>
        </w:rPr>
        <w:t xml:space="preserve">The wording matters here and was written carefully. It does not message the partner, does not change their status, and does not stack repeat flags while one is open. Being hard to reach in Sudan is not misconduct. The flag reads as a prompt to make a call, never as a finding against anyone.</w:t>
      </w:r>
    </w:p>
    <w:p>
      <w:pPr>
        <w:pStyle w:val="Heading2"/>
      </w:pPr>
      <w:r>
        <w:t xml:space="preserve">6. Vocabulary, and why it was not a cosmetic change</w:t>
      </w:r>
    </w:p>
    <w:p>
      <w:pPr>
        <w:spacing w:after="90" w:before="90"/>
      </w:pPr>
      <w:r>
        <w:rPr>
          <w:rFonts w:ascii="Arial" w:cs="Arial" w:eastAsia="Arial" w:hAnsi="Arial"/>
          <w:color w:val="1A1410"/>
          <w:sz w:val="21"/>
          <w:szCs w:val="21"/>
        </w:rPr>
        <w:t xml:space="preserve">Proximate’s console used marketplace language in places — words that suit a public grant marketplace and not a closed fund. The obvious fix was to add a Proximate role to the user record and switch the wording on it. We did not do that, and the reason is worth recording.</w:t>
      </w:r>
    </w:p>
    <w:p>
      <w:pPr>
        <w:spacing w:after="90" w:before="90"/>
      </w:pPr>
      <w:r>
        <w:rPr>
          <w:rFonts w:ascii="Arial" w:cs="Arial" w:eastAsia="Arial" w:hAnsi="Arial"/>
          <w:color w:val="1A1410"/>
          <w:sz w:val="21"/>
          <w:szCs w:val="21"/>
        </w:rPr>
        <w:t xml:space="preserve">Around twenty-five endpoints in this platform are written as “if the user is an NGO, restrict them to their own organisation” with no else branch. A role the code does not recognise falls through to the unrestricted branch. Adding a role value would therefore have been a privilege escalation, not a labelling change. The wording is now derived at display time from what the account actually is, and no new role exists.</w:t>
      </w:r>
    </w:p>
    <w:p>
      <w:pPr>
        <w:pStyle w:val="Heading2"/>
      </w:pPr>
      <w:r>
        <w:t xml:space="preserve">7. Three accounts created</w:t>
      </w:r>
    </w:p>
    <w:p>
      <w:pPr>
        <w:spacing w:after="90" w:before="90"/>
      </w:pPr>
      <w:r>
        <w:rPr>
          <w:rFonts w:ascii="Arial" w:cs="Arial" w:eastAsia="Arial" w:hAnsi="Arial"/>
          <w:color w:val="1A1410"/>
          <w:sz w:val="21"/>
          <w:szCs w:val="21"/>
        </w:rPr>
        <w:t xml:space="preserve">Khalid and Marwa now have Oversight Body accounts on the Proximate tenant, and there is an overall administrator account. Temporary passwords were sent to Idiris separately and are not recorded in any document. All three should be changed on first sign-in.</w:t>
      </w:r>
    </w:p>
    <w:p>
      <w:pPr>
        <w:pStyle w:val="Heading1"/>
      </w:pPr>
      <w:r>
        <w:t xml:space="preserve">Decisions taken during the build</w:t>
      </w:r>
    </w:p>
    <w:p>
      <w:pPr>
        <w:spacing w:after="90" w:before="90"/>
      </w:pPr>
      <w:r>
        <w:rPr>
          <w:rFonts w:ascii="Arial" w:cs="Arial" w:eastAsia="Arial" w:hAnsi="Arial"/>
          <w:color w:val="1A1410"/>
          <w:sz w:val="21"/>
          <w:szCs w:val="21"/>
        </w:rPr>
        <w:t xml:space="preserve">These are the points where the answer was not obvious. They are recorded here so the team can overturn any of them.</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Decision</w:t>
            </w:r>
          </w:p>
        </w:tc>
        <w:tc>
          <w:tcPr>
            <w:tcW w:type="dxa" w:w="63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Why</w:t>
            </w:r>
          </w:p>
        </w:tc>
      </w:tr>
      <w:tr>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Panel members endorse. There is no endorser role.</w:t>
            </w:r>
          </w:p>
        </w:tc>
        <w:tc>
          <w:tcPr>
            <w:tcW w:type="dxa" w:w="6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Idiris’s clarification, which settled an open question the opposite way from our assumption. Panel members deliberately have no accounts, so they could not have been endorsers in the technical sense anyway. The model was changed before any of it was built.</w:t>
            </w:r>
          </w:p>
        </w:tc>
      </w:tr>
      <w:tr>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 cycle’s phase is separate from its status.</w:t>
            </w:r>
          </w:p>
        </w:tc>
        <w:tc>
          <w:tcPr>
            <w:tcW w:type="dxa" w:w="6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Collapsing them into one field would have silently changed the meaning of every existing check for an active round.</w:t>
            </w:r>
          </w:p>
        </w:tc>
      </w:tr>
      <w:tr>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implementation clock starts when money arrives, not when it is sent.</w:t>
            </w:r>
          </w:p>
        </w:tc>
        <w:tc>
          <w:tcPr>
            <w:tcW w:type="dxa" w:w="6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 hawala transfer can take days. Charging that delay to the partner’s reporting period would be unfair and would make every deadline slightly wrong.</w:t>
            </w:r>
          </w:p>
        </w:tc>
      </w:tr>
      <w:tr>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Evidence is not the same thing as an attachment.</w:t>
            </w:r>
          </w:p>
        </w:tc>
        <w:tc>
          <w:tcPr>
            <w:tcW w:type="dxa" w:w="6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 phone call has no file. If evidence could only be a document, every conversation with a partner would go unrecorded — and in this fund most contact is a conversation.</w:t>
            </w:r>
          </w:p>
        </w:tc>
      </w:tr>
      <w:tr>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An upload failure does not lose the note.</w:t>
            </w:r>
          </w:p>
        </w:tc>
        <w:tc>
          <w:tcPr>
            <w:tcW w:type="dxa" w:w="6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If the photo will not send on a bad line, the written account is still saved. Losing what somebody wrote because an image would not upload is the worst outcome on a weak connection.</w:t>
            </w:r>
          </w:p>
        </w:tc>
      </w:tr>
      <w:tr>
        <w:tc>
          <w:tcPr>
            <w:tcW w:type="dxa" w:w="30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 weakly-evidenced decision warns rather than blocks.</w:t>
            </w:r>
          </w:p>
        </w:tc>
        <w:tc>
          <w:tcPr>
            <w:tcW w:type="dxa" w:w="6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It should be visible and fixable. It should not stop a partner being paid.</w:t>
            </w:r>
          </w:p>
        </w:tc>
      </w:tr>
    </w:tbl>
    <w:p>
      <w:pPr>
        <w:pStyle w:val="Heading1"/>
      </w:pPr>
      <w:r>
        <w:t xml:space="preserve">A second document, for Proximate</w:t>
      </w:r>
    </w:p>
    <w:p>
      <w:pPr>
        <w:spacing w:after="90" w:before="90"/>
      </w:pPr>
      <w:r>
        <w:rPr>
          <w:rFonts w:ascii="Arial" w:cs="Arial" w:eastAsia="Arial" w:hAnsi="Arial"/>
          <w:color w:val="1A1410"/>
          <w:sz w:val="21"/>
          <w:szCs w:val="21"/>
        </w:rPr>
        <w:t xml:space="preserve">Alongside this update there is a workbook: Proximate_Process_Automation_Map_July2026.xlsx. It sets out all 88 steps of the cycle — from a crisis signal being logged to the audit trail being exported — and for each one says who is responsible, what the platform does on its own, and what still needs a person.</w:t>
      </w:r>
    </w:p>
    <w:p>
      <w:pPr>
        <w:spacing w:after="90" w:before="90"/>
      </w:pPr>
      <w:r>
        <w:rPr>
          <w:rFonts w:ascii="Arial" w:cs="Arial" w:eastAsia="Arial" w:hAnsi="Arial"/>
          <w:color w:val="1A1410"/>
          <w:sz w:val="21"/>
          <w:szCs w:val="21"/>
        </w:rPr>
        <w:t xml:space="preserve">It is written to be marked up. The last two columns of the main sheet are for Proximate to say whether each step is right, and what we got wrong where it is not. It also carries nine specific questions where we made an assumption from the SoPs and would rather have it confirmed than left — the evidence sources for choosing an area, the nomination questions, the signature thresholds, and the fortnight before a quiet partner is flagged.</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2560"/>
      </w:tblGrid>
      <w:tr>
        <w:trPr>
          <w:tblHeader/>
        </w:trPr>
        <w:tc>
          <w:tcPr>
            <w:tcW w:type="dxa" w:w="68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Of the 88 steps</w:t>
            </w:r>
          </w:p>
        </w:tc>
        <w:tc>
          <w:tcPr>
            <w:tcW w:type="dxa" w:w="25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Count</w:t>
            </w:r>
          </w:p>
        </w:tc>
      </w:tr>
      <w:tr>
        <w:tc>
          <w:tcPr>
            <w:tcW w:type="dxa" w:w="6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Kuja does it on its own, with nobody having to remember</w:t>
            </w:r>
          </w:p>
        </w:tc>
        <w:tc>
          <w:tcPr>
            <w:tcW w:type="dxa" w:w="25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29</w:t>
            </w:r>
          </w:p>
        </w:tc>
      </w:tr>
      <w:tr>
        <w:tc>
          <w:tcPr>
            <w:tcW w:type="dxa" w:w="6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 rule the system enforces and will not let anyone past</w:t>
            </w:r>
          </w:p>
        </w:tc>
        <w:tc>
          <w:tcPr>
            <w:tcW w:type="dxa" w:w="25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10</w:t>
            </w:r>
          </w:p>
        </w:tc>
      </w:tr>
      <w:tr>
        <w:tc>
          <w:tcPr>
            <w:tcW w:type="dxa" w:w="6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Kuja drafts it, a person approves before it counts</w:t>
            </w:r>
          </w:p>
        </w:tc>
        <w:tc>
          <w:tcPr>
            <w:tcW w:type="dxa" w:w="25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3</w:t>
            </w:r>
          </w:p>
        </w:tc>
      </w:tr>
      <w:tr>
        <w:tc>
          <w:tcPr>
            <w:tcW w:type="dxa" w:w="6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 person does it, Kuja captures it with a full audit trail</w:t>
            </w:r>
          </w:p>
        </w:tc>
        <w:tc>
          <w:tcPr>
            <w:tcW w:type="dxa" w:w="25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42</w:t>
            </w:r>
          </w:p>
        </w:tc>
      </w:tr>
      <w:tr>
        <w:tc>
          <w:tcPr>
            <w:tcW w:type="dxa" w:w="6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Happens in the real world; Kuja records that it happened</w:t>
            </w:r>
          </w:p>
        </w:tc>
        <w:tc>
          <w:tcPr>
            <w:tcW w:type="dxa" w:w="25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4</w:t>
            </w:r>
          </w:p>
        </w:tc>
      </w:tr>
      <w:tr>
        <w:tc>
          <w:tcPr>
            <w:tcW w:type="dxa" w:w="68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Steps a panel member or partner does from a phone with no login</w:t>
            </w:r>
          </w:p>
        </w:tc>
        <w:tc>
          <w:tcPr>
            <w:tcW w:type="dxa" w:w="25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10</w:t>
            </w:r>
          </w:p>
        </w:tc>
      </w:tr>
    </w:tbl>
    <w:p>
      <w:pPr>
        <w:pStyle w:val="Heading1"/>
      </w:pPr>
      <w:r>
        <w:t xml:space="preserve">What still needs someone</w:t>
      </w:r>
    </w:p>
    <w:p>
      <w:pPr>
        <w:spacing w:after="90" w:before="90"/>
      </w:pPr>
      <w:r>
        <w:rPr>
          <w:rFonts w:ascii="Arial" w:cs="Arial" w:eastAsia="Arial" w:hAnsi="Arial"/>
          <w:color w:val="1A1410"/>
          <w:sz w:val="21"/>
          <w:szCs w:val="21"/>
        </w:rPr>
        <w:t xml:space="preserve">None of these are code. Each needs an access or an approval that sits outside the development work.</w:t>
      </w:r>
    </w:p>
    <w:p>
      <w:pPr>
        <w:spacing w:after="5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Item</w:t>
            </w:r>
          </w:p>
        </w:tc>
        <w:tc>
          <w:tcPr>
            <w:tcW w:type="dxa" w:w="150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Who</w:t>
            </w:r>
          </w:p>
        </w:tc>
        <w:tc>
          <w:tcPr>
            <w:tcW w:type="dxa" w:w="5360"/>
            <w:tcBorders>
              <w:top w:val="single" w:color="D8CCBC" w:sz="1"/>
              <w:left w:val="single" w:color="D8CCBC" w:sz="1"/>
              <w:bottom w:val="single" w:color="D8CCBC" w:sz="1"/>
              <w:right w:val="single" w:color="D8CCBC" w:sz="1"/>
            </w:tcBorders>
            <w:shd w:fill="F4E8DC" w:val="clear"/>
            <w:tcMar>
              <w:top w:type="dxa" w:w="70"/>
              <w:left w:type="dxa" w:w="110"/>
              <w:bottom w:type="dxa" w:w="70"/>
              <w:right w:type="dxa" w:w="110"/>
            </w:tcMar>
          </w:tcPr>
          <w:p>
            <w:pPr>
              <w:spacing w:after="20" w:before="20"/>
            </w:pPr>
            <w:r>
              <w:rPr>
                <w:rFonts w:ascii="Arial" w:cs="Arial" w:eastAsia="Arial" w:hAnsi="Arial"/>
                <w:b/>
                <w:bCs/>
                <w:color w:val="1A1410"/>
                <w:sz w:val="18"/>
                <w:szCs w:val="18"/>
              </w:rPr>
              <w:t xml:space="preserve">Detail</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Weekly backup has never run</w:t>
            </w:r>
          </w:p>
        </w:tc>
        <w:tc>
          <w:tcPr>
            <w:tcW w:type="dxa" w:w="1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IT / GitHub</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job is written and correct but has never executed — it is absent from the run history entirely, which means unstarted rather than failing. 62 real partners and about 100 documents are currently unbacked-up. This is the highest-value open item on the list.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Sanctions sweep has never run</w:t>
            </w:r>
          </w:p>
        </w:tc>
        <w:tc>
          <w:tcPr>
            <w:tcW w:type="dxa" w:w="1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IT / GitHub</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Same situation. The Monday re-screen does run; the full sweep does not.</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Outbound email not configured</w:t>
            </w:r>
          </w:p>
        </w:tc>
        <w:tc>
          <w:tcPr>
            <w:tcW w:type="dxa" w:w="1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IT</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There is no mail configuration on the production service at all — no SMTP, no SendGrid. Anything the system would send by email is silently going nowhere. WhatsApp and SMS are unaffected and do work.</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WhatsApp templates pending</w:t>
            </w:r>
          </w:p>
        </w:tc>
        <w:tc>
          <w:tcPr>
            <w:tcW w:type="dxa" w:w="1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Meta</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sender number is live and messaging works. Six utility templates are still awaiting Meta approval; until they clear, some automated sends fall back to SMS.</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Object storage not configured</w:t>
            </w:r>
          </w:p>
        </w:tc>
        <w:tc>
          <w:tcPr>
            <w:tcW w:type="dxa" w:w="1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IT</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Uploaded documents and evidence photos are on the service’s own disk rather than in object storage. It works, but it is not where this should sit long term.</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Arabic dialect review</w:t>
            </w:r>
          </w:p>
        </w:tc>
        <w:tc>
          <w:tcPr>
            <w:tcW w:type="dxa" w:w="1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Proximate</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187 new strings are properly translated but have not been read by a native Sudanese Arabic speaker. Same for the Arabic partner guide.</w:t>
            </w:r>
          </w:p>
        </w:tc>
      </w:tr>
      <w:tr>
        <w:tc>
          <w:tcPr>
            <w:tcW w:type="dxa" w:w="2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A look at the new screens</w:t>
            </w:r>
          </w:p>
        </w:tc>
        <w:tc>
          <w:tcPr>
            <w:tcW w:type="dxa" w:w="150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Proximate</w:t>
            </w:r>
          </w:p>
        </w:tc>
        <w:tc>
          <w:tcPr>
            <w:tcW w:type="dxa" w:w="5360"/>
            <w:tcBorders>
              <w:top w:val="single" w:color="D8CCBC" w:sz="1"/>
              <w:left w:val="single" w:color="D8CCBC" w:sz="1"/>
              <w:bottom w:val="single" w:color="D8CCBC" w:sz="1"/>
              <w:right w:val="single" w:color="D8CCBC" w:sz="1"/>
            </w:tcBorders>
            <w:tcMar>
              <w:top w:type="dxa" w:w="70"/>
              <w:left w:type="dxa" w:w="110"/>
              <w:bottom w:type="dxa" w:w="70"/>
              <w:right w:type="dxa" w:w="110"/>
            </w:tcMar>
          </w:tcPr>
          <w:p>
            <w:pPr>
              <w:spacing w:after="20" w:before="20"/>
            </w:pPr>
            <w:r>
              <w:rPr>
                <w:rFonts w:ascii="Arial" w:cs="Arial" w:eastAsia="Arial" w:hAnsi="Arial"/>
                <w:color w:val="1A1410"/>
                <w:sz w:val="18"/>
                <w:szCs w:val="18"/>
              </w:rPr>
              <w:t xml:space="preserve">The new tabs have been tested end to end and against the live site, but no logged-in person has yet looked at them with the fund’s eyes.</w:t>
            </w:r>
          </w:p>
        </w:tc>
      </w:tr>
    </w:tbl>
    <w:p>
      <w:pPr>
        <w:pStyle w:val="Heading1"/>
      </w:pPr>
      <w:r>
        <w:t xml:space="preserve">How this was checked</w:t>
      </w:r>
    </w:p>
    <w:p>
      <w:pPr>
        <w:pStyle w:val="ListParagraph"/>
        <w:numPr>
          <w:ilvl w:val="0"/>
          <w:numId w:val="2"/>
        </w:numPr>
        <w:spacing w:after="40" w:before="40"/>
      </w:pPr>
      <w:r>
        <w:rPr>
          <w:rFonts w:ascii="Arial" w:cs="Arial" w:eastAsia="Arial" w:hAnsi="Arial"/>
          <w:b/>
          <w:bCs/>
          <w:color w:val="1A1410"/>
          <w:sz w:val="21"/>
          <w:szCs w:val="21"/>
        </w:rPr>
        <w:t xml:space="preserve">117 of 117 </w:t>
      </w:r>
      <w:r>
        <w:rPr>
          <w:rFonts w:ascii="Arial" w:cs="Arial" w:eastAsia="Arial" w:hAnsi="Arial"/>
          <w:color w:val="1A1410"/>
          <w:sz w:val="21"/>
          <w:szCs w:val="21"/>
        </w:rPr>
        <w:t xml:space="preserve">regression checks passing, including the new cycle gate and the receipt flow.</w:t>
      </w:r>
    </w:p>
    <w:p>
      <w:pPr>
        <w:pStyle w:val="ListParagraph"/>
        <w:numPr>
          <w:ilvl w:val="0"/>
          <w:numId w:val="2"/>
        </w:numPr>
        <w:spacing w:after="40" w:before="40"/>
      </w:pPr>
      <w:r>
        <w:rPr>
          <w:rFonts w:ascii="Arial" w:cs="Arial" w:eastAsia="Arial" w:hAnsi="Arial"/>
          <w:b/>
          <w:bCs/>
          <w:color w:val="1A1410"/>
          <w:sz w:val="21"/>
          <w:szCs w:val="21"/>
        </w:rPr>
        <w:t xml:space="preserve">12 of 12 </w:t>
      </w:r>
      <w:r>
        <w:rPr>
          <w:rFonts w:ascii="Arial" w:cs="Arial" w:eastAsia="Arial" w:hAnsi="Arial"/>
          <w:color w:val="1A1410"/>
          <w:sz w:val="21"/>
          <w:szCs w:val="21"/>
        </w:rPr>
        <w:t xml:space="preserve">new end-to-end checks covering the closeout PDF, the cron’s authentication, and the Arabic strings being genuinely translated rather than echoing English.</w:t>
      </w:r>
    </w:p>
    <w:p>
      <w:pPr>
        <w:pStyle w:val="ListParagraph"/>
        <w:numPr>
          <w:ilvl w:val="0"/>
          <w:numId w:val="2"/>
        </w:numPr>
        <w:spacing w:after="40" w:before="40"/>
      </w:pPr>
      <w:r>
        <w:rPr>
          <w:rFonts w:ascii="Arial" w:cs="Arial" w:eastAsia="Arial" w:hAnsi="Arial"/>
          <w:color w:val="1A1410"/>
          <w:sz w:val="21"/>
          <w:szCs w:val="21"/>
        </w:rPr>
        <w:t xml:space="preserve">Frontend types clean; both new page bundles confirmed on the live site to be carrying the new text.</w:t>
      </w:r>
    </w:p>
    <w:p>
      <w:pPr>
        <w:pStyle w:val="ListParagraph"/>
        <w:numPr>
          <w:ilvl w:val="0"/>
          <w:numId w:val="2"/>
        </w:numPr>
        <w:spacing w:after="40" w:before="40"/>
      </w:pPr>
      <w:r>
        <w:rPr>
          <w:rFonts w:ascii="Arial" w:cs="Arial" w:eastAsia="Arial" w:hAnsi="Arial"/>
          <w:color w:val="1A1410"/>
          <w:sz w:val="21"/>
          <w:szCs w:val="21"/>
        </w:rPr>
        <w:t xml:space="preserve">Live checks confirmed the closeout PDF and the cron correctly refuse unauthenticated callers.</w:t>
      </w:r>
    </w:p>
    <w:p>
      <w:pPr>
        <w:spacing w:after="60" w:before="0"/>
      </w:pPr>
    </w:p>
    <w:p>
      <w:pPr>
        <w:spacing w:after="90" w:before="90"/>
      </w:pPr>
      <w:r>
        <w:rPr>
          <w:rFonts w:ascii="Arial" w:cs="Arial" w:eastAsia="Arial" w:hAnsi="Arial"/>
          <w:i/>
          <w:iCs/>
          <w:color w:val="6B655F"/>
          <w:sz w:val="19"/>
          <w:szCs w:val="19"/>
        </w:rPr>
        <w:t xml:space="preserve">Deployed and running as build e14b20573.</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655F"/>
        <w:sz w:val="16"/>
        <w:szCs w:val="16"/>
      </w:rPr>
      <w:t xml:space="preserve">Proximate Fund · 24 July 2026 · page </w:t>
    </w:r>
    <w:r>
      <w:rPr>
        <w:rFonts w:ascii="Arial" w:cs="Arial" w:eastAsia="Arial" w:hAnsi="Arial"/>
        <w:color w:val="6B65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40"/>
      <w:outlineLvl w:val="0"/>
    </w:pPr>
    <w:rPr>
      <w:rFonts w:ascii="Arial" w:cs="Arial" w:eastAsia="Arial" w:hAnsi="Arial"/>
      <w:b/>
      <w:bCs/>
      <w:color w:val="C2410C"/>
      <w:sz w:val="30"/>
      <w:szCs w:val="30"/>
    </w:rPr>
  </w:style>
  <w:style w:type="paragraph" w:styleId="Heading2">
    <w:name w:val="Heading 2"/>
    <w:basedOn w:val="Normal"/>
    <w:next w:val="Normal"/>
    <w:qFormat/>
    <w:pPr>
      <w:spacing w:after="90" w:before="220"/>
      <w:outlineLvl w:val="1"/>
    </w:pPr>
    <w:rPr>
      <w:rFonts w:ascii="Arial" w:cs="Arial" w:eastAsia="Arial" w:hAnsi="Arial"/>
      <w:b/>
      <w:bCs/>
      <w:color w:val="7C2D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2026-07-24T16:02:21.895Z</dcterms:created>
  <dcterms:modified xsi:type="dcterms:W3CDTF">2026-07-24T16:02:21.897Z</dcterms:modified>
</cp:coreProperties>
</file>

<file path=docProps/custom.xml><?xml version="1.0" encoding="utf-8"?>
<Properties xmlns="http://schemas.openxmlformats.org/officeDocument/2006/custom-properties" xmlns:vt="http://schemas.openxmlformats.org/officeDocument/2006/docPropsVTypes"/>
</file>