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C2410C"/>
          <w:sz w:val="40"/>
        </w:rPr>
        <w:t>Proximate Fund — Platform Update</w:t>
      </w:r>
    </w:p>
    <w:p>
      <w:pPr>
        <w:spacing w:after="120"/>
      </w:pPr>
      <w:r>
        <w:rPr>
          <w:rFonts w:ascii="Arial" w:hAnsi="Arial"/>
          <w:b w:val="0"/>
          <w:i w:val="0"/>
          <w:color w:val="57534E"/>
          <w:sz w:val="21"/>
        </w:rPr>
        <w:t>29 July 2026  ·  proximate.kuja.org  ·  prepared for the Adeso / Proximate team</w:t>
      </w:r>
    </w:p>
    <w:p>
      <w:pPr>
        <w:spacing w:after="80"/>
      </w:pPr>
      <w:r>
        <w:rPr>
          <w:rFonts w:ascii="Arial" w:hAnsi="Arial"/>
          <w:b w:val="0"/>
          <w:i/>
          <w:color w:val="57534E"/>
          <w:sz w:val="21"/>
        </w:rPr>
        <w:t>This answers two things from today: the one UI issue your retest flagged, and Khalid’s process feedback — point by point, checked against what the system actually does. Most of his points were already met; two were real gaps, and both are now built and live.</w:t>
      </w:r>
    </w:p>
    <w:p>
      <w:pPr>
        <w:pStyle w:val="Heading1"/>
      </w:pPr>
      <w:r>
        <w:t>The short version</w:t>
      </w:r>
    </w:p>
    <w:p>
      <w:pPr>
        <w:spacing w:after="160"/>
      </w:pPr>
      <w:r>
        <w:rPr>
          <w:rFonts w:ascii="Arial" w:hAnsi="Arial"/>
          <w:b w:val="0"/>
          <w:i w:val="0"/>
          <w:color w:val="1A1410"/>
          <w:sz w:val="21"/>
        </w:rPr>
        <w:t>Your retest was a pass with one minor warning: the “view partner roster” button on the QA Fixture round was showing an internal label instead of readable text. That is fixed. Separately, Khalid sent his process confirmation across the whole cycle. We mapped all thirteen of his points to the code: eleven already match his SoP exactly, and the two that did not — how the reporting clock works, and how deep partner history goes — are now built to his guidance and deployed. Nothing here is waiting on a future release.</w:t>
      </w:r>
    </w:p>
    <w:p>
      <w:pPr>
        <w:pStyle w:val="Heading2"/>
      </w:pPr>
      <w:r>
        <w:t>1. The roster label (your retest warning) — fixed</w:t>
      </w:r>
    </w:p>
    <w:p>
      <w:pPr>
        <w:spacing w:after="160"/>
      </w:pPr>
      <w:r>
        <w:rPr>
          <w:rFonts w:ascii="Arial" w:hAnsi="Arial"/>
          <w:b w:val="0"/>
          <w:i w:val="0"/>
          <w:color w:val="1A1410"/>
          <w:sz w:val="21"/>
        </w:rPr>
        <w:t>On the QA Fixture round, the control to open the partner roster was rendering as “proximate.rounds.journey_view_roster” — an internal translation key, not a phrase. The cause was simple: that one label had never been added to the language files, so the screen fell back to showing its own key. It is now added in all six languages and reads “View partner roster”. The button behaves as before — it opens the Partners tab and scrolls to the named roster. Verified in the deployed build.</w:t>
      </w:r>
    </w:p>
    <w:p>
      <w:pPr>
        <w:pStyle w:val="Heading1"/>
      </w:pPr>
      <w:r>
        <w:t>2. Khalid’s process feedback — what the system already does</w:t>
      </w:r>
    </w:p>
    <w:p>
      <w:pPr>
        <w:spacing w:after="160"/>
      </w:pPr>
      <w:r>
        <w:rPr>
          <w:rFonts w:ascii="Arial" w:hAnsi="Arial"/>
          <w:b w:val="0"/>
          <w:i w:val="0"/>
          <w:color w:val="1A1410"/>
          <w:sz w:val="21"/>
        </w:rPr>
        <w:t>These nine points were already true in the system exactly as Khalid described. No change was needed; we are confirming them.</w:t>
      </w:r>
    </w:p>
    <w:tbl>
      <w:tblPr>
        <w:tblStyle w:val="TableGrid"/>
        <w:tblW w:type="auto" w:w="0"/>
        <w:tblLook w:firstColumn="1" w:firstRow="1" w:lastColumn="0" w:lastRow="0" w:noHBand="0" w:noVBand="1" w:val="04A0"/>
      </w:tblPr>
      <w:tblGrid>
        <w:gridCol w:w="2880"/>
        <w:gridCol w:w="2880"/>
        <w:gridCol w:w="2880"/>
      </w:tblGrid>
      <w:tr>
        <w:tc>
          <w:tcPr>
            <w:tcW w:type="dxa" w:w="3312"/>
            <w:shd w:val="clear" w:fill="7C2D12"/>
          </w:tcPr>
          <w:p>
            <w:pPr>
              <w:spacing w:after="40"/>
            </w:pPr>
            <w:r/>
            <w:r>
              <w:rPr>
                <w:rFonts w:ascii="Arial" w:hAnsi="Arial"/>
                <w:b/>
                <w:color w:val="FFFFFF"/>
                <w:sz w:val="20"/>
              </w:rPr>
              <w:t>Khalid’s point</w:t>
            </w:r>
          </w:p>
        </w:tc>
        <w:tc>
          <w:tcPr>
            <w:tcW w:type="dxa" w:w="1440"/>
            <w:shd w:val="clear" w:fill="7C2D12"/>
          </w:tcPr>
          <w:p>
            <w:pPr>
              <w:spacing w:after="40"/>
            </w:pPr>
            <w:r/>
            <w:r>
              <w:rPr>
                <w:rFonts w:ascii="Arial" w:hAnsi="Arial"/>
                <w:b/>
                <w:color w:val="FFFFFF"/>
                <w:sz w:val="20"/>
              </w:rPr>
              <w:t>Status</w:t>
            </w:r>
          </w:p>
        </w:tc>
        <w:tc>
          <w:tcPr>
            <w:tcW w:type="dxa" w:w="5040"/>
            <w:shd w:val="clear" w:fill="7C2D12"/>
          </w:tcPr>
          <w:p>
            <w:pPr>
              <w:spacing w:after="40"/>
            </w:pPr>
            <w:r/>
            <w:r>
              <w:rPr>
                <w:rFonts w:ascii="Arial" w:hAnsi="Arial"/>
                <w:b/>
                <w:color w:val="FFFFFF"/>
                <w:sz w:val="20"/>
              </w:rPr>
              <w:t>How it works</w:t>
            </w:r>
          </w:p>
        </w:tc>
      </w:tr>
      <w:tr>
        <w:tc>
          <w:tcPr>
            <w:tcW w:type="dxa" w:w="3312"/>
          </w:tcPr>
          <w:p>
            <w:pPr>
              <w:spacing w:after="40"/>
            </w:pPr>
            <w:r/>
            <w:r>
              <w:rPr>
                <w:rFonts w:ascii="Arial" w:hAnsi="Arial"/>
                <w:b w:val="0"/>
                <w:color w:val="1A1410"/>
                <w:sz w:val="20"/>
              </w:rPr>
              <w:t>Secretariat can nominate partners</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The “Nominate a partner” form is open to Proximate staff (Secretariat / Sudan Fund Manager). There is no panel-only gate anywhere — in fact panel members cannot even log in, so nomination never depends on them.</w:t>
            </w:r>
          </w:p>
        </w:tc>
      </w:tr>
      <w:tr>
        <w:tc>
          <w:tcPr>
            <w:tcW w:type="dxa" w:w="3312"/>
          </w:tcPr>
          <w:p>
            <w:pPr>
              <w:spacing w:after="40"/>
            </w:pPr>
            <w:r/>
            <w:r>
              <w:rPr>
                <w:rFonts w:ascii="Arial" w:hAnsi="Arial"/>
                <w:b w:val="0"/>
                <w:color w:val="1A1410"/>
                <w:sz w:val="20"/>
              </w:rPr>
              <w:t>Informal / unregistered groups allowed at nomination</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A partner record has no registration field at all. The design deliberately replaces the registration check with the relational route (endorsements + verified payment). An unregistered group needs only a name to be nominated.</w:t>
            </w:r>
          </w:p>
        </w:tc>
      </w:tr>
      <w:tr>
        <w:tc>
          <w:tcPr>
            <w:tcW w:type="dxa" w:w="3312"/>
          </w:tcPr>
          <w:p>
            <w:pPr>
              <w:spacing w:after="40"/>
            </w:pPr>
            <w:r/>
            <w:r>
              <w:rPr>
                <w:rFonts w:ascii="Arial" w:hAnsi="Arial"/>
                <w:b w:val="0"/>
                <w:color w:val="1A1410"/>
                <w:sz w:val="20"/>
              </w:rPr>
              <w:t>Award decision recorded by the Sudan Fund Manager, not panel login</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The award is recorded by an authenticated Proximate / Oversight-Body user and stamped with their name. It cannot depend on a panel member signing in.</w:t>
            </w:r>
          </w:p>
        </w:tc>
      </w:tr>
      <w:tr>
        <w:tc>
          <w:tcPr>
            <w:tcW w:type="dxa" w:w="3312"/>
          </w:tcPr>
          <w:p>
            <w:pPr>
              <w:spacing w:after="40"/>
            </w:pPr>
            <w:r/>
            <w:r>
              <w:rPr>
                <w:rFonts w:ascii="Arial" w:hAnsi="Arial"/>
                <w:b w:val="0"/>
                <w:color w:val="1A1410"/>
                <w:sz w:val="20"/>
              </w:rPr>
              <w:t>Decision method options</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All five are present: consensus, no objection, recorded vote, chair confirmation, recorded by secretariat.</w:t>
            </w:r>
          </w:p>
        </w:tc>
      </w:tr>
      <w:tr>
        <w:tc>
          <w:tcPr>
            <w:tcW w:type="dxa" w:w="3312"/>
          </w:tcPr>
          <w:p>
            <w:pPr>
              <w:spacing w:after="40"/>
            </w:pPr>
            <w:r/>
            <w:r>
              <w:rPr>
                <w:rFonts w:ascii="Arial" w:hAnsi="Arial"/>
                <w:b w:val="0"/>
                <w:color w:val="1A1410"/>
                <w:sz w:val="20"/>
              </w:rPr>
              <w:t>Requested vs approved amount</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The partner’s requested amount and the panel’s final approved amount are stored separately, and both now appear on the award and in partner history.</w:t>
            </w:r>
          </w:p>
        </w:tc>
      </w:tr>
      <w:tr>
        <w:tc>
          <w:tcPr>
            <w:tcW w:type="dxa" w:w="3312"/>
          </w:tcPr>
          <w:p>
            <w:pPr>
              <w:spacing w:after="40"/>
            </w:pPr>
            <w:r/>
            <w:r>
              <w:rPr>
                <w:rFonts w:ascii="Arial" w:hAnsi="Arial"/>
                <w:b w:val="0"/>
                <w:color w:val="1A1410"/>
                <w:sz w:val="20"/>
              </w:rPr>
              <w:t>Contract opening depends on award approval only</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Opening a contract checks one thing — that the partner is awarded. Due-diligence and payment-route checks are applied later, at the disbursement gate, exactly as Khalid described.</w:t>
            </w:r>
          </w:p>
        </w:tc>
      </w:tr>
      <w:tr>
        <w:tc>
          <w:tcPr>
            <w:tcW w:type="dxa" w:w="3312"/>
          </w:tcPr>
          <w:p>
            <w:pPr>
              <w:spacing w:after="40"/>
            </w:pPr>
            <w:r/>
            <w:r>
              <w:rPr>
                <w:rFonts w:ascii="Arial" w:hAnsi="Arial"/>
                <w:b w:val="0"/>
                <w:color w:val="1A1410"/>
                <w:sz w:val="20"/>
              </w:rPr>
              <w:t>Disbursement readiness conditions</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The gate requires: partner cleared, award recorded, amount approved, contract opened, contract signed, verified payment route — the same six.</w:t>
            </w:r>
          </w:p>
        </w:tc>
      </w:tr>
      <w:tr>
        <w:tc>
          <w:tcPr>
            <w:tcW w:type="dxa" w:w="3312"/>
          </w:tcPr>
          <w:p>
            <w:pPr>
              <w:spacing w:after="40"/>
            </w:pPr>
            <w:r/>
            <w:r>
              <w:rPr>
                <w:rFonts w:ascii="Arial" w:hAnsi="Arial"/>
                <w:b w:val="0"/>
                <w:color w:val="1A1410"/>
                <w:sz w:val="20"/>
              </w:rPr>
              <w:t>Receipt confirmation can be a screenshot / WhatsApp proof</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A screenshot or a typed note is enough; a formal receipt is never required. Staff can enter it straight from a WhatsApp message from Amal.</w:t>
            </w:r>
          </w:p>
        </w:tc>
      </w:tr>
      <w:tr>
        <w:tc>
          <w:tcPr>
            <w:tcW w:type="dxa" w:w="3312"/>
          </w:tcPr>
          <w:p>
            <w:pPr>
              <w:spacing w:after="40"/>
            </w:pPr>
            <w:r/>
            <w:r>
              <w:rPr>
                <w:rFonts w:ascii="Arial" w:hAnsi="Arial"/>
                <w:b w:val="0"/>
                <w:color w:val="1A1410"/>
                <w:sz w:val="20"/>
              </w:rPr>
              <w:t>Closeout is Fund-Manager-driven; no panel or OB approval</w:t>
            </w:r>
          </w:p>
        </w:tc>
        <w:tc>
          <w:tcPr>
            <w:tcW w:type="dxa" w:w="1440"/>
          </w:tcPr>
          <w:p>
            <w:pPr>
              <w:spacing w:after="40"/>
            </w:pPr>
            <w:r/>
            <w:r>
              <w:rPr>
                <w:rFonts w:ascii="Arial" w:hAnsi="Arial"/>
                <w:b/>
                <w:color w:val="1B7A3D"/>
                <w:sz w:val="20"/>
              </w:rPr>
              <w:t>Confirmed</w:t>
            </w:r>
          </w:p>
        </w:tc>
        <w:tc>
          <w:tcPr>
            <w:tcW w:type="dxa" w:w="5040"/>
          </w:tcPr>
          <w:p>
            <w:pPr>
              <w:spacing w:after="40"/>
            </w:pPr>
            <w:r/>
            <w:r>
              <w:rPr>
                <w:rFonts w:ascii="Arial" w:hAnsi="Arial"/>
                <w:b w:val="0"/>
                <w:color w:val="1A1410"/>
                <w:sz w:val="20"/>
              </w:rPr>
              <w:t>The Sudan Fund Manager closes the round as a single action. It asks for reports, receipts and completed agreements, but needs no panel vote and no separate OB approval.</w:t>
            </w:r>
          </w:p>
        </w:tc>
      </w:tr>
    </w:tbl>
    <w:p>
      <w:pPr>
        <w:spacing w:after="40"/>
      </w:pPr>
    </w:p>
    <w:p>
      <w:pPr>
        <w:pStyle w:val="Heading1"/>
      </w:pPr>
      <w:r>
        <w:t>3. The two points we built to match your guidance</w:t>
      </w:r>
    </w:p>
    <w:p>
      <w:pPr>
        <w:pStyle w:val="Heading2"/>
      </w:pPr>
      <w:r>
        <w:t>Reporting is tied to the implementation period, not a flat clock</w:t>
      </w:r>
    </w:p>
    <w:p>
      <w:pPr>
        <w:spacing w:after="160"/>
      </w:pPr>
      <w:r>
        <w:rPr>
          <w:rFonts w:ascii="Arial" w:hAnsi="Arial"/>
          <w:b w:val="0"/>
          <w:i w:val="0"/>
          <w:color w:val="1A1410"/>
          <w:sz w:val="21"/>
        </w:rPr>
        <w:t>Khalid’s clarification: implementation starts when the partner receives the money, and reporting is due when the activities are complete. The implementation clock already started on receipt — that part was correct. But the report deadline was a flat fourteen days from receipt, which does not fit a longer activity.</w:t>
      </w:r>
    </w:p>
    <w:p>
      <w:pPr>
        <w:spacing w:after="160"/>
      </w:pPr>
      <w:r>
        <w:rPr>
          <w:rFonts w:ascii="Arial" w:hAnsi="Arial"/>
          <w:b w:val="0"/>
          <w:i w:val="0"/>
          <w:color w:val="1A1410"/>
          <w:sz w:val="21"/>
        </w:rPr>
        <w:t>We changed it. The report is now due at the end of the implementation period: the reporting window follows the contract’s own duration, counted from the day the partner confirmed receipt. A forty-five-day activity is no longer flagged as late on day fifteen. The disbursement screen now says this in plain language. If no duration is recorded on the contract yet, it falls back to the fourteen-day default.</w:t>
      </w:r>
    </w:p>
    <w:tbl>
      <w:tblPr>
        <w:tblStyle w:val="TableGrid"/>
        <w:tblW w:type="auto" w:w="0"/>
        <w:tblLook w:firstColumn="1" w:firstRow="1" w:lastColumn="0" w:lastRow="0" w:noHBand="0" w:noVBand="1" w:val="04A0"/>
      </w:tblPr>
      <w:tblGrid>
        <w:gridCol w:w="8640"/>
      </w:tblGrid>
      <w:tr>
        <w:tc>
          <w:tcPr>
            <w:tcW w:type="dxa" w:w="8640"/>
            <w:shd w:val="clear" w:fill="FBEDE6"/>
          </w:tcPr>
          <w:p>
            <w:r/>
            <w:r>
              <w:rPr>
                <w:rFonts w:ascii="Arial" w:hAnsi="Arial"/>
                <w:b/>
                <w:color w:val="C2410C"/>
                <w:sz w:val="20"/>
              </w:rPr>
              <w:t xml:space="preserve">One decision for you — </w:t>
            </w:r>
            <w:r>
              <w:rPr>
                <w:rFonts w:ascii="Arial" w:hAnsi="Arial"/>
                <w:color w:val="1A1410"/>
                <w:sz w:val="20"/>
              </w:rPr>
              <w:t>this ties “reporting due” to the contract’s implementation period, which is the concrete, dateable version of “when activities are complete”. If you would rather the partner (or the Secretariat) explicitly mark activities complete to start the clock, we can add that as a button — it is a small addition. Tell us which you prefer.</w:t>
            </w:r>
          </w:p>
        </w:tc>
      </w:tr>
    </w:tbl>
    <w:p>
      <w:pPr>
        <w:spacing w:after="40"/>
      </w:pPr>
    </w:p>
    <w:p>
      <w:pPr>
        <w:pStyle w:val="Heading2"/>
      </w:pPr>
      <w:r>
        <w:t>Partner history is now a full timeline across rounds</w:t>
      </w:r>
    </w:p>
    <w:p>
      <w:pPr>
        <w:spacing w:after="160"/>
      </w:pPr>
      <w:r>
        <w:rPr>
          <w:rFonts w:ascii="Arial" w:hAnsi="Arial"/>
          <w:b w:val="0"/>
          <w:i w:val="0"/>
          <w:color w:val="1A1410"/>
          <w:sz w:val="21"/>
        </w:rPr>
        <w:t>Khalid confirmed partner history is very useful and should capture the partner’s whole journey, not a shallow single-round page. Until today the history was a set of totals — cycles participated, amounts, counts. Useful, but not a story.</w:t>
      </w:r>
    </w:p>
    <w:p>
      <w:pPr>
        <w:spacing w:after="160"/>
      </w:pPr>
      <w:r>
        <w:rPr>
          <w:rFonts w:ascii="Arial" w:hAnsi="Arial"/>
          <w:b w:val="0"/>
          <w:i w:val="0"/>
          <w:color w:val="1A1410"/>
          <w:sz w:val="21"/>
        </w:rPr>
        <w:t>It is now a real timeline. For each round the partner took part in, the history shows the events in order — nominated (and by whom), due-diligence, awarded (with both the requested and approved amounts), contract signed, funds disbursed, receipt confirmed, report submitted, any evidence, and round closeout — plus a lifetime strip for nomination and due-diligence that spans every round. It reaches across rounds, so a partner engaged more than once shows one continuous record.</w:t>
      </w:r>
    </w:p>
    <w:p>
      <w:pPr>
        <w:spacing w:after="160" w:before="40"/>
      </w:pPr>
      <w:r>
        <w:rPr>
          <w:rFonts w:ascii="Arial" w:hAnsi="Arial"/>
          <w:b w:val="0"/>
          <w:i w:val="0"/>
          <w:color w:val="1A1410"/>
          <w:sz w:val="21"/>
        </w:rPr>
        <w:t>Tomorrow’s QA should see this on any partner’s History tab (reachable from the round roster). Two honest limits worth stating: the per-round “who nominated” is captured from the roster entry, and due-diligence is held at the partner level rather than re-stamped per round — everything else is per-round and dated.</w:t>
      </w:r>
    </w:p>
    <w:p>
      <w:pPr>
        <w:pStyle w:val="Heading1"/>
      </w:pPr>
      <w:r>
        <w:t>What remains — process and setup, not development</w:t>
      </w:r>
    </w:p>
    <w:p>
      <w:pPr>
        <w:spacing w:after="160"/>
      </w:pPr>
      <w:r>
        <w:rPr>
          <w:rFonts w:ascii="Arial" w:hAnsi="Arial"/>
          <w:b w:val="0"/>
          <w:i w:val="0"/>
          <w:color w:val="1A1410"/>
          <w:sz w:val="21"/>
        </w:rPr>
        <w:t>With the above shipped, every engineering item from the retest and from Khalid’s checklist is closed. What is left is the same short list of account/approval items, none of which are development work:</w:t>
      </w:r>
    </w:p>
    <w:p>
      <w:pPr>
        <w:pStyle w:val="ListBullet"/>
        <w:spacing w:after="80"/>
      </w:pPr>
      <w:r>
        <w:rPr>
          <w:rFonts w:ascii="Arial" w:hAnsi="Arial"/>
          <w:color w:val="1A1410"/>
          <w:sz w:val="21"/>
        </w:rPr>
        <w:t>The optional “mark activities complete” trigger above — your call on whether you want it in addition to the contract-period logic.</w:t>
      </w:r>
    </w:p>
    <w:p>
      <w:pPr>
        <w:pStyle w:val="ListBullet"/>
        <w:spacing w:after="80"/>
      </w:pPr>
      <w:r>
        <w:rPr>
          <w:rFonts w:ascii="Arial" w:hAnsi="Arial"/>
          <w:color w:val="1A1410"/>
          <w:sz w:val="21"/>
        </w:rPr>
        <w:t>Native Sudanese-Arabic read of the Arabic screens and the partner guide — flagged before, still owed.</w:t>
      </w:r>
    </w:p>
    <w:p>
      <w:pPr>
        <w:pStyle w:val="ListBullet"/>
        <w:spacing w:after="80"/>
      </w:pPr>
      <w:r>
        <w:rPr>
          <w:rFonts w:ascii="Arial" w:hAnsi="Arial"/>
          <w:color w:val="1A1410"/>
          <w:sz w:val="21"/>
        </w:rPr>
        <w:t>Backups + object storage, outbound production email, uptime monitoring, the full periodic sanctions sweep, and WhatsApp on Meta’s own channel (SMS fallback works today) — each an account, key, or approval that sits with IT or Meta.</w:t>
      </w:r>
    </w:p>
    <w:p>
      <w:pPr>
        <w:pStyle w:val="ListBullet"/>
        <w:spacing w:after="80"/>
      </w:pPr>
      <w:r>
        <w:rPr>
          <w:rFonts w:ascii="Arial" w:hAnsi="Arial"/>
          <w:color w:val="1A1410"/>
          <w:sz w:val="21"/>
        </w:rPr>
        <w:t>AI monthly spend cap — an administrator can set this in the console at /admin/cost-ceiling; no developer needed.</w:t>
      </w:r>
    </w:p>
    <w:p>
      <w:pPr>
        <w:pStyle w:val="Heading1"/>
      </w:pPr>
      <w:r>
        <w:t>How this was checked</w:t>
      </w:r>
    </w:p>
    <w:p>
      <w:pPr>
        <w:pStyle w:val="ListBullet"/>
        <w:spacing w:after="80"/>
      </w:pPr>
      <w:r>
        <w:rPr>
          <w:rFonts w:ascii="Arial" w:hAnsi="Arial"/>
          <w:color w:val="1A1410"/>
          <w:sz w:val="21"/>
        </w:rPr>
        <w:t>Every one of Khalid’s thirteen points was traced to the actual code path before being marked confirmed or built — not assumed.</w:t>
      </w:r>
    </w:p>
    <w:p>
      <w:pPr>
        <w:pStyle w:val="ListBullet"/>
        <w:spacing w:after="80"/>
      </w:pPr>
      <w:r>
        <w:rPr>
          <w:rFonts w:ascii="Arial" w:hAnsi="Arial"/>
          <w:color w:val="1A1410"/>
          <w:sz w:val="21"/>
        </w:rPr>
        <w:t>Signed in as the Oversight Body on the live site: a partner’s history returns the full cross-round timeline (the QA Fixture partner shows nomination, due-diligence, award and contract events).</w:t>
      </w:r>
    </w:p>
    <w:p>
      <w:pPr>
        <w:pStyle w:val="ListBullet"/>
        <w:spacing w:after="80"/>
      </w:pPr>
      <w:r>
        <w:rPr>
          <w:rFonts w:ascii="Arial" w:hAnsi="Arial"/>
          <w:color w:val="1A1410"/>
          <w:sz w:val="21"/>
        </w:rPr>
        <w:t>The standing automated test suite now checks the partner-history timeline on every run, so it cannot quietly regress to a totals-only view. Full suite: 125 of 125. Security matrix: 29 checks, 0 failures.</w:t>
      </w:r>
    </w:p>
    <w:p>
      <w:pPr>
        <w:pStyle w:val="ListBullet"/>
        <w:spacing w:after="80"/>
      </w:pPr>
      <w:r>
        <w:rPr>
          <w:rFonts w:ascii="Arial" w:hAnsi="Arial"/>
          <w:color w:val="1A1410"/>
          <w:sz w:val="21"/>
        </w:rPr>
        <w:t>The roster label and the history timeline were both confirmed present in the deployed front-end build.</w:t>
      </w:r>
    </w:p>
    <w:p>
      <w:pPr>
        <w:spacing w:after="160" w:before="80"/>
      </w:pPr>
      <w:r>
        <w:rPr>
          <w:rFonts w:ascii="Arial" w:hAnsi="Arial"/>
          <w:b w:val="0"/>
          <w:i w:val="0"/>
          <w:color w:val="57534E"/>
          <w:sz w:val="20"/>
        </w:rPr>
        <w:t>Deployed and running as build 3c991323e — the roster-label fix, the reporting-period change, and the partner-history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4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