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rFonts w:ascii="Arial" w:cs="Arial" w:eastAsia="Arial" w:hAnsi="Arial"/>
          <w:b/>
          <w:bCs/>
          <w:color w:val="C2410C"/>
          <w:sz w:val="22"/>
          <w:szCs w:val="22"/>
        </w:rPr>
        <w:t xml:space="preserve">ADESO · PROXIMATE FUND</w:t>
      </w:r>
    </w:p>
    <w:p>
      <w:pPr>
        <w:spacing w:after="140"/>
      </w:pPr>
      <w:r>
        <w:rPr>
          <w:rFonts w:ascii="Arial" w:cs="Arial" w:eastAsia="Arial" w:hAnsi="Arial"/>
          <w:b/>
          <w:bCs/>
          <w:color w:val="1A1410"/>
          <w:sz w:val="66"/>
          <w:szCs w:val="66"/>
        </w:rPr>
        <w:t xml:space="preserve">Donor Guide</w:t>
      </w:r>
    </w:p>
    <w:p>
      <w:pPr>
        <w:spacing w:after="400"/>
      </w:pPr>
      <w:r>
        <w:rPr>
          <w:rFonts w:ascii="Arial" w:cs="Arial" w:eastAsia="Arial" w:hAnsi="Arial"/>
          <w:color w:val="6B655F"/>
          <w:sz w:val="26"/>
          <w:szCs w:val="26"/>
        </w:rPr>
        <w:t xml:space="preserve">What your funding does, what you can see, and what assurance stands behind it.</w:t>
      </w:r>
    </w:p>
    <w:p>
      <w:pPr>
        <w:spacing w:after="90" w:before="90"/>
      </w:pPr>
      <w:r>
        <w:rPr>
          <w:rFonts w:ascii="Arial" w:cs="Arial" w:eastAsia="Arial" w:hAnsi="Arial"/>
          <w:color w:val="6B655F"/>
          <w:sz w:val="20"/>
          <w:szCs w:val="20"/>
        </w:rPr>
        <w:t xml:space="preserve">July 2026 · First edition</w:t>
      </w:r>
    </w:p>
    <w:p>
      <w:pPr>
        <w:spacing w:after="90" w:before="90"/>
      </w:pPr>
      <w:r>
        <w:rPr>
          <w:rFonts w:ascii="Arial" w:cs="Arial" w:eastAsia="Arial" w:hAnsi="Arial"/>
          <w:color w:val="6B655F"/>
          <w:sz w:val="20"/>
          <w:szCs w:val="20"/>
        </w:rPr>
        <w:t xml:space="preserve">For institutional donors funding the Proximate Fund.</w:t>
      </w:r>
    </w:p>
    <w:p>
      <w:r>
        <w:br w:type="page"/>
      </w:r>
    </w:p>
    <w:p>
      <w:pPr>
        <w:pStyle w:val="Heading1"/>
      </w:pPr>
      <w:r>
        <w:t xml:space="preserve">Contents</w:t>
      </w:r>
    </w:p>
    <w:p>
      <w:pPr>
        <w:spacing w:after="90" w:before="90"/>
      </w:pPr>
      <w:r>
        <w:rPr>
          <w:rFonts w:ascii="Arial" w:cs="Arial" w:eastAsia="Arial" w:hAnsi="Arial"/>
          <w:i/>
          <w:iCs/>
          <w:color w:val="6B655F"/>
          <w:sz w:val="19"/>
          <w:szCs w:val="19"/>
        </w:rPr>
        <w:t xml:space="preserve">If this list looks empty or out of date, click it once and press F9 to refresh it.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your funding does</w:t>
      </w:r>
    </w:p>
    <w:p>
      <w:pPr>
        <w:spacing w:after="90" w:before="90"/>
      </w:pPr>
      <w:r>
        <w:rPr>
          <w:rFonts w:ascii="Arial" w:cs="Arial" w:eastAsia="Arial" w:hAnsi="Arial"/>
          <w:color w:val="1A1410"/>
          <w:sz w:val="21"/>
          <w:szCs w:val="21"/>
        </w:rPr>
        <w:t xml:space="preserve">The Proximate Fund moves money to community organisations responding to crisis in Sudan. The organisations are small and already working in their own areas; the grants are correspondingly small and fast. What makes the fund unusual is not the size of the grants but how the decisions get made — an organisation is vouched for by people who live near it before it is checked on paper, and every step of that process is recorded rather than remembered.</w:t>
      </w:r>
    </w:p>
    <w:p>
      <w:pPr>
        <w:spacing w:after="90" w:before="90"/>
      </w:pPr>
      <w:r>
        <w:rPr>
          <w:rFonts w:ascii="Arial" w:cs="Arial" w:eastAsia="Arial" w:hAnsi="Arial"/>
          <w:color w:val="1A1410"/>
          <w:sz w:val="21"/>
          <w:szCs w:val="21"/>
        </w:rPr>
        <w:t xml:space="preserve">Your commitment enters the system as a grant with its terms attached — deliverables, reporting cadence, restrictions. Adeso then opens funding rounds against it. Each round takes a set of partners through the same sequence, and you can watch it happen.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happens</w:t>
            </w:r>
          </w:p>
        </w:tc>
        <w:tc>
          <w:tcPr>
            <w:tcW w:type="dxa" w:w="59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it means for you</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Your agreement is recorded</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Its deliverables, restrictions and reporting requirements are held in the system and checked against as the fund spends.</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round opens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crisis has been logged and two Oversight Body members have signed off on responding. You see the round and its envelope.</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Partners are vouched for</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Independent community members answer three questions about each organisation. Two conflict-free endorsements are required.</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Due diligence clears them</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Screening, a media check, and a verified payment route before any money can move.</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Money is released</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Two Oversight Body members must sign. The release creates a reporting obligation on the partner.</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reports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Five questions, answerable by voice, with photo evidence. An Oversight Body member verifies or flags it.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 receive a report</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compiled narrative in English and Arabic, financials against approved activities, and reviewed evidence.</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Outcomes are checked at 90 days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attests to what actually lasted — not just what was delivered.</w:t>
            </w:r>
          </w:p>
        </w:tc>
      </w:tr>
    </w:tbl>
    <w:p>
      <w:pPr>
        <w:pStyle w:val="Heading1"/>
      </w:pPr>
      <w:r>
        <w:t xml:space="preserve">2. Getting into your portal</w:t>
      </w:r>
    </w:p>
    <w:p>
      <w:pPr>
        <w:spacing w:after="90" w:before="90"/>
      </w:pPr>
      <w:r>
        <w:rPr>
          <w:rFonts w:ascii="Arial" w:cs="Arial" w:eastAsia="Arial" w:hAnsi="Arial"/>
          <w:color w:val="1A1410"/>
          <w:sz w:val="21"/>
          <w:szCs w:val="21"/>
        </w:rPr>
        <w:t xml:space="preserve">Go to https://proximate.kuja.org and sign in with the email address Adeso registered for you. If you need access for a colleague, ask Adeso — accounts are created by the fund, not self-registered.</w:t>
      </w:r>
    </w:p>
    <w:p>
      <w:pPr>
        <w:spacing w:after="90" w:before="90"/>
      </w:pPr>
      <w:r>
        <w:rPr>
          <w:rFonts w:ascii="Arial" w:cs="Arial" w:eastAsia="Arial" w:hAnsi="Arial"/>
          <w:color w:val="1A1410"/>
          <w:sz w:val="21"/>
          <w:szCs w:val="21"/>
        </w:rPr>
        <w:t xml:space="preserve">Your portal has three places, and that is deliberately all:</w:t>
      </w:r>
    </w:p>
    <w:p>
      <w:pPr>
        <w:pStyle w:val="ListParagraph"/>
        <w:numPr>
          <w:ilvl w:val="0"/>
          <w:numId w:val="2"/>
        </w:numPr>
        <w:spacing w:after="40" w:before="40"/>
      </w:pPr>
      <w:r>
        <w:rPr>
          <w:rFonts w:ascii="Arial" w:cs="Arial" w:eastAsia="Arial" w:hAnsi="Arial"/>
          <w:b/>
          <w:bCs/>
          <w:color w:val="1A1410"/>
          <w:sz w:val="21"/>
          <w:szCs w:val="21"/>
        </w:rPr>
        <w:t xml:space="preserve">Donor portal — </w:t>
      </w:r>
      <w:r>
        <w:rPr>
          <w:rFonts w:ascii="Arial" w:cs="Arial" w:eastAsia="Arial" w:hAnsi="Arial"/>
          <w:color w:val="1A1410"/>
          <w:sz w:val="21"/>
          <w:szCs w:val="21"/>
        </w:rPr>
        <w:t xml:space="preserve">your overview. Committed, allocated, and what is happening across the rounds you fund.</w:t>
      </w:r>
    </w:p>
    <w:p>
      <w:pPr>
        <w:pStyle w:val="ListParagraph"/>
        <w:numPr>
          <w:ilvl w:val="0"/>
          <w:numId w:val="2"/>
        </w:numPr>
        <w:spacing w:after="40" w:before="40"/>
      </w:pPr>
      <w:r>
        <w:rPr>
          <w:rFonts w:ascii="Arial" w:cs="Arial" w:eastAsia="Arial" w:hAnsi="Arial"/>
          <w:b/>
          <w:bCs/>
          <w:color w:val="1A1410"/>
          <w:sz w:val="21"/>
          <w:szCs w:val="21"/>
        </w:rPr>
        <w:t xml:space="preserve">Rounds — </w:t>
      </w:r>
      <w:r>
        <w:rPr>
          <w:rFonts w:ascii="Arial" w:cs="Arial" w:eastAsia="Arial" w:hAnsi="Arial"/>
          <w:color w:val="1A1410"/>
          <w:sz w:val="21"/>
          <w:szCs w:val="21"/>
        </w:rPr>
        <w:t xml:space="preserve">the funding cycles your money supports, each with its envelope, partners and reports.</w:t>
      </w:r>
    </w:p>
    <w:p>
      <w:pPr>
        <w:pStyle w:val="ListParagraph"/>
        <w:numPr>
          <w:ilvl w:val="0"/>
          <w:numId w:val="2"/>
        </w:numPr>
        <w:spacing w:after="40" w:before="40"/>
      </w:pPr>
      <w:r>
        <w:rPr>
          <w:rFonts w:ascii="Arial" w:cs="Arial" w:eastAsia="Arial" w:hAnsi="Arial"/>
          <w:b/>
          <w:bCs/>
          <w:color w:val="1A1410"/>
          <w:sz w:val="21"/>
          <w:szCs w:val="21"/>
        </w:rPr>
        <w:t xml:space="preserve">Ask AI — </w:t>
      </w:r>
      <w:r>
        <w:rPr>
          <w:rFonts w:ascii="Arial" w:cs="Arial" w:eastAsia="Arial" w:hAnsi="Arial"/>
          <w:color w:val="1A1410"/>
          <w:sz w:val="21"/>
          <w:szCs w:val="21"/>
        </w:rPr>
        <w:t xml:space="preserve">plain-language questions about your own portfolio, answered from your rounds only.</w:t>
      </w:r>
    </w:p>
    <w:p>
      <w:pPr>
        <w:spacing w:after="90" w:before="90"/>
      </w:pPr>
      <w:r>
        <w:rPr>
          <w:rFonts w:ascii="Arial" w:cs="Arial" w:eastAsia="Arial" w:hAnsi="Arial"/>
          <w:color w:val="1A1410"/>
          <w:sz w:val="21"/>
          <w:szCs w:val="21"/>
        </w:rPr>
        <w:t xml:space="preserve">The interface is available in English and Arabic; change it under Settings. Your choice applies only to your own account.</w:t>
      </w:r>
    </w:p>
    <w:p>
      <w:pPr>
        <w:pStyle w:val="Heading1"/>
      </w:pPr>
      <w:r>
        <w:t xml:space="preserve">3. What you can see — and what you cannot</w:t>
      </w:r>
    </w:p>
    <w:p>
      <w:pPr>
        <w:spacing w:after="90" w:before="90"/>
      </w:pPr>
      <w:r>
        <w:rPr>
          <w:rFonts w:ascii="Arial" w:cs="Arial" w:eastAsia="Arial" w:hAnsi="Arial"/>
          <w:color w:val="1A1410"/>
          <w:sz w:val="21"/>
          <w:szCs w:val="21"/>
        </w:rPr>
        <w:t xml:space="preserve">This is the section worth reading carefully, because the limits are not accidental. They are the fund’s design.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You can see</w:t>
            </w:r>
          </w:p>
        </w:tc>
        <w:tc>
          <w:tcPr>
            <w:tcW w:type="dxa" w:w="312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You cannot see</w:t>
            </w:r>
          </w:p>
        </w:tc>
        <w:tc>
          <w:tcPr>
            <w:tcW w:type="dxa" w:w="312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Why</w:t>
            </w:r>
          </w:p>
        </w:tc>
      </w:tr>
      <w:tr>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Rounds you fund, their envelopes and progress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Rounds funded by other donors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Each donor sees their own portfolio only.</w:t>
            </w:r>
          </w:p>
        </w:tc>
      </w:tr>
      <w:tr>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 organisation names and localities in your rounds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Personal details of individuals — contacts, bank details, identity documents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These are people in an active conflict. Exposure is a physical risk, not a privacy formality.</w:t>
            </w:r>
          </w:p>
        </w:tc>
      </w:tr>
      <w:tr>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Published report narratives, financials and approved evidence</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Evidence not cleared for sharing, and internal working notes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Every photo and file passes a safeguarding review before a donor sees it.</w:t>
            </w:r>
          </w:p>
        </w:tc>
      </w:tr>
      <w:tr>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Outcome statistics and the retrospective</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identities of community endorsers</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Endorsers vouch honestly because they are not exposed.</w:t>
            </w:r>
          </w:p>
        </w:tc>
      </w:tr>
      <w:tr>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That controls were applied and when</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full internal audit log</w:t>
            </w:r>
          </w:p>
        </w:tc>
        <w:tc>
          <w:tcPr>
            <w:tcW w:type="dxa" w:w="312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Adeso can produce audit-chain extracts on request for audit purposes.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C" w:sz="1"/>
              <w:left w:val="single" w:color="C2410C" w:sz="18"/>
              <w:bottom w:val="single" w:color="FDF0EC" w:sz="1"/>
              <w:right w:val="single" w:color="FDF0EC" w:sz="1"/>
            </w:tcBorders>
            <w:shd w:fill="FDF0EC" w:val="clear"/>
            <w:tcMar>
              <w:top w:type="dxa" w:w="100"/>
              <w:left w:type="dxa" w:w="160"/>
              <w:bottom w:type="dxa" w:w="100"/>
              <w:right w:type="dxa" w:w="140"/>
            </w:tcMar>
          </w:tcPr>
          <w:p>
            <w:pPr>
              <w:spacing w:after="0" w:before="0"/>
            </w:pPr>
            <w:r>
              <w:rPr>
                <w:rFonts w:ascii="Arial" w:cs="Arial" w:eastAsia="Arial" w:hAnsi="Arial"/>
                <w:b/>
                <w:bCs/>
                <w:color w:val="C2410C"/>
                <w:sz w:val="19"/>
                <w:szCs w:val="19"/>
              </w:rPr>
              <w:t xml:space="preserve">The short answer — </w:t>
            </w:r>
            <w:r>
              <w:rPr>
                <w:rFonts w:ascii="Arial" w:cs="Arial" w:eastAsia="Arial" w:hAnsi="Arial"/>
                <w:color w:val="1A1410"/>
                <w:sz w:val="19"/>
                <w:szCs w:val="19"/>
              </w:rPr>
              <w:t xml:space="preserve">If a report shows fewer photographs than you expected, that is usually the safeguarding gate doing its job — not an absence of activity. You can always ask Adeso what was withheld and why.</w:t>
            </w:r>
          </w:p>
        </w:tc>
      </w:tr>
    </w:tbl>
    <w:p>
      <w:pPr>
        <w:pStyle w:val="Heading1"/>
      </w:pPr>
      <w:r>
        <w:t xml:space="preserve">4. Following a round</w:t>
      </w:r>
    </w:p>
    <w:p>
      <w:pPr>
        <w:spacing w:after="90" w:before="90"/>
      </w:pPr>
      <w:r>
        <w:rPr>
          <w:rFonts w:ascii="Arial" w:cs="Arial" w:eastAsia="Arial" w:hAnsi="Arial"/>
          <w:color w:val="1A1410"/>
          <w:sz w:val="21"/>
          <w:szCs w:val="21"/>
        </w:rPr>
        <w:t xml:space="preserve">Open a round from the Rounds list to see its envelope, the partners on its roster, and the reports as they are published. A round moves through five states.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Round status</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it means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Draft</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Being prepared by Adeso. Nothing is committed.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Awaiting signatures</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Submitted for Oversight Body sign-off. Two signatures are required.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Active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Signed. Partners are being cleared and money is moving.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Closed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cycle has finished and a closing summary has been written.</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Cancelled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Abandoned before activation. No money moved.</w:t>
            </w:r>
          </w:p>
        </w:tc>
      </w:tr>
    </w:tbl>
    <w:p>
      <w:pPr>
        <w:spacing w:after="120" w:before="0"/>
      </w:pPr>
    </w:p>
    <w:p>
      <w:pPr>
        <w:spacing w:after="90" w:before="90"/>
      </w:pPr>
      <w:r>
        <w:rPr>
          <w:rFonts w:ascii="Arial" w:cs="Arial" w:eastAsia="Arial" w:hAnsi="Arial"/>
          <w:color w:val="1A1410"/>
          <w:sz w:val="21"/>
          <w:szCs w:val="21"/>
        </w:rPr>
        <w:t xml:space="preserve">Within a round, each partner moves along their own path. The stage labels tell you exactly how far the money and the accountability have travelled: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Partner stage</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has happened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Nominated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organisation is in the register; nothing has been checked yet.</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Endorsements</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Community members have been asked to vouch for them.</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Endorsed + DD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Endorsements are in and due diligence is underway or complete.</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Route verified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payment route — bank, hawala or mobile money — has been verified.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Funds out</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Money has been released, with two signatures.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Reported &amp; verified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has reported and Adeso has accepted the report.</w:t>
            </w:r>
          </w:p>
        </w:tc>
      </w:tr>
    </w:tbl>
    <w:p>
      <w:pPr>
        <w:pStyle w:val="Heading1"/>
      </w:pPr>
      <w:r>
        <w:t xml:space="preserve">5. Reading a report</w:t>
      </w:r>
    </w:p>
    <w:p>
      <w:pPr>
        <w:spacing w:after="90" w:before="90"/>
      </w:pPr>
      <w:r>
        <w:rPr>
          <w:rFonts w:ascii="Arial" w:cs="Arial" w:eastAsia="Arial" w:hAnsi="Arial"/>
          <w:color w:val="1A1410"/>
          <w:sz w:val="21"/>
          <w:szCs w:val="21"/>
        </w:rPr>
        <w:t xml:space="preserve">A published report has three parts, and they answer different questions.</w:t>
      </w:r>
    </w:p>
    <w:p>
      <w:pPr>
        <w:pStyle w:val="ListParagraph"/>
        <w:numPr>
          <w:ilvl w:val="0"/>
          <w:numId w:val="2"/>
        </w:numPr>
        <w:spacing w:after="40" w:before="40"/>
      </w:pPr>
      <w:r>
        <w:rPr>
          <w:rFonts w:ascii="Arial" w:cs="Arial" w:eastAsia="Arial" w:hAnsi="Arial"/>
          <w:b/>
          <w:bCs/>
          <w:color w:val="1A1410"/>
          <w:sz w:val="21"/>
          <w:szCs w:val="21"/>
        </w:rPr>
        <w:t xml:space="preserve">The narrative. </w:t>
      </w:r>
      <w:r>
        <w:rPr>
          <w:rFonts w:ascii="Arial" w:cs="Arial" w:eastAsia="Arial" w:hAnsi="Arial"/>
          <w:color w:val="1A1410"/>
          <w:sz w:val="21"/>
          <w:szCs w:val="21"/>
        </w:rPr>
        <w:t xml:space="preserve">What the partner did, in English and Arabic. It is drafted from the partner’s own answers and evidence, then edited and approved by an Oversight Body member before you see it. It is their account, checked — not Adeso’s summary of what it hopes happened.</w:t>
      </w:r>
    </w:p>
    <w:p>
      <w:pPr>
        <w:pStyle w:val="ListParagraph"/>
        <w:numPr>
          <w:ilvl w:val="0"/>
          <w:numId w:val="2"/>
        </w:numPr>
        <w:spacing w:after="40" w:before="40"/>
      </w:pPr>
      <w:r>
        <w:rPr>
          <w:rFonts w:ascii="Arial" w:cs="Arial" w:eastAsia="Arial" w:hAnsi="Arial"/>
          <w:b/>
          <w:bCs/>
          <w:color w:val="1A1410"/>
          <w:sz w:val="21"/>
          <w:szCs w:val="21"/>
        </w:rPr>
        <w:t xml:space="preserve">The financials. </w:t>
      </w:r>
      <w:r>
        <w:rPr>
          <w:rFonts w:ascii="Arial" w:cs="Arial" w:eastAsia="Arial" w:hAnsi="Arial"/>
          <w:color w:val="1A1410"/>
          <w:sz w:val="21"/>
          <w:szCs w:val="21"/>
        </w:rPr>
        <w:t xml:space="preserve">Actual spending against the activities that were approved. Where spending was recorded in local currency, an exchange rate is applied and shown.</w:t>
      </w:r>
    </w:p>
    <w:p>
      <w:pPr>
        <w:pStyle w:val="ListParagraph"/>
        <w:numPr>
          <w:ilvl w:val="0"/>
          <w:numId w:val="2"/>
        </w:numPr>
        <w:spacing w:after="40" w:before="40"/>
      </w:pPr>
      <w:r>
        <w:rPr>
          <w:rFonts w:ascii="Arial" w:cs="Arial" w:eastAsia="Arial" w:hAnsi="Arial"/>
          <w:b/>
          <w:bCs/>
          <w:color w:val="1A1410"/>
          <w:sz w:val="21"/>
          <w:szCs w:val="21"/>
        </w:rPr>
        <w:t xml:space="preserve">The evidence. </w:t>
      </w:r>
      <w:r>
        <w:rPr>
          <w:rFonts w:ascii="Arial" w:cs="Arial" w:eastAsia="Arial" w:hAnsi="Arial"/>
          <w:color w:val="1A1410"/>
          <w:sz w:val="21"/>
          <w:szCs w:val="21"/>
        </w:rPr>
        <w:t xml:space="preserve">Photographs, files and voice recordings that passed safeguarding review. Everything starts internal; an item becomes visible to you only when someone has actively decided it is safe to share.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Please note — </w:t>
            </w:r>
            <w:r>
              <w:rPr>
                <w:rFonts w:ascii="Arial" w:cs="Arial" w:eastAsia="Arial" w:hAnsi="Arial"/>
                <w:color w:val="1A1410"/>
                <w:sz w:val="19"/>
                <w:szCs w:val="19"/>
              </w:rPr>
              <w:t xml:space="preserve">Reports are written by small organisations working in dangerous conditions, often on a phone, sometimes by voice because writing is a barrier. Judge them on what they tell you, not on their polish.</w:t>
            </w:r>
          </w:p>
        </w:tc>
      </w:tr>
    </w:tbl>
    <w:p>
      <w:pPr>
        <w:pStyle w:val="Heading1"/>
      </w:pPr>
      <w:r>
        <w:t xml:space="preserve">6. Outcomes: 90 days and 180 days</w:t>
      </w:r>
    </w:p>
    <w:p>
      <w:pPr>
        <w:spacing w:after="90" w:before="90"/>
      </w:pPr>
      <w:r>
        <w:rPr>
          <w:rFonts w:ascii="Arial" w:cs="Arial" w:eastAsia="Arial" w:hAnsi="Arial"/>
          <w:color w:val="1A1410"/>
          <w:sz w:val="21"/>
          <w:szCs w:val="21"/>
        </w:rPr>
        <w:t xml:space="preserve">Most reporting in this sector stops at delivery. Two later checks exist specifically to go past it.</w:t>
      </w:r>
    </w:p>
    <w:p>
      <w:pPr>
        <w:pStyle w:val="ListParagraph"/>
        <w:numPr>
          <w:ilvl w:val="0"/>
          <w:numId w:val="2"/>
        </w:numPr>
        <w:spacing w:after="40" w:before="40"/>
      </w:pPr>
      <w:r>
        <w:rPr>
          <w:rFonts w:ascii="Arial" w:cs="Arial" w:eastAsia="Arial" w:hAnsi="Arial"/>
          <w:b/>
          <w:bCs/>
          <w:color w:val="1A1410"/>
          <w:sz w:val="21"/>
          <w:szCs w:val="21"/>
        </w:rPr>
        <w:t xml:space="preserve">The 90-day outcome attestation. </w:t>
      </w:r>
      <w:r>
        <w:rPr>
          <w:rFonts w:ascii="Arial" w:cs="Arial" w:eastAsia="Arial" w:hAnsi="Arial"/>
          <w:color w:val="1A1410"/>
          <w:sz w:val="21"/>
          <w:szCs w:val="21"/>
        </w:rPr>
        <w:t xml:space="preserve">About three months after a report is accepted, the partner is asked what actually lasted: of the people they said they helped, how many are still in the same state; what held; what did not; and what would have happened anyway without the money. An Oversight Body member then verifies or disputes it.</w:t>
      </w:r>
    </w:p>
    <w:p>
      <w:pPr>
        <w:pStyle w:val="ListParagraph"/>
        <w:numPr>
          <w:ilvl w:val="0"/>
          <w:numId w:val="2"/>
        </w:numPr>
        <w:spacing w:after="40" w:before="40"/>
      </w:pPr>
      <w:r>
        <w:rPr>
          <w:rFonts w:ascii="Arial" w:cs="Arial" w:eastAsia="Arial" w:hAnsi="Arial"/>
          <w:b/>
          <w:bCs/>
          <w:color w:val="1A1410"/>
          <w:sz w:val="21"/>
          <w:szCs w:val="21"/>
        </w:rPr>
        <w:t xml:space="preserve">The 180-day round retrospective. </w:t>
      </w:r>
      <w:r>
        <w:rPr>
          <w:rFonts w:ascii="Arial" w:cs="Arial" w:eastAsia="Arial" w:hAnsi="Arial"/>
          <w:color w:val="1A1410"/>
          <w:sz w:val="21"/>
          <w:szCs w:val="21"/>
        </w:rPr>
        <w:t xml:space="preserve">Six months after a round closes, a retrospective PDF becomes available covering the envelope, partners served, outcome attestation statistics and common themes. The delay is the point — it is long enough for the attestations to be in.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Please note — </w:t>
            </w:r>
            <w:r>
              <w:rPr>
                <w:rFonts w:ascii="Arial" w:cs="Arial" w:eastAsia="Arial" w:hAnsi="Arial"/>
                <w:color w:val="1A1410"/>
                <w:sz w:val="19"/>
                <w:szCs w:val="19"/>
              </w:rPr>
              <w:t xml:space="preserve">The retrospective states its own limits on the page: it summarises platform-recorded data only. It is not an independent evaluation, and it does not attempt to be one.</w:t>
            </w:r>
          </w:p>
        </w:tc>
      </w:tr>
    </w:tbl>
    <w:p>
      <w:pPr>
        <w:pStyle w:val="Heading1"/>
      </w:pPr>
      <w:r>
        <w:t xml:space="preserve">7. What assurance you actually have</w:t>
      </w:r>
    </w:p>
    <w:p>
      <w:pPr>
        <w:spacing w:after="90" w:before="90"/>
      </w:pPr>
      <w:r>
        <w:rPr>
          <w:rFonts w:ascii="Arial" w:cs="Arial" w:eastAsia="Arial" w:hAnsi="Arial"/>
          <w:color w:val="1A1410"/>
          <w:sz w:val="21"/>
          <w:szCs w:val="21"/>
        </w:rPr>
        <w:t xml:space="preserve">Each control below is enforced by the system rather than left to diligence. The fund cannot proceed past one by choosing to.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Control</w:t>
            </w:r>
          </w:p>
        </w:tc>
        <w:tc>
          <w:tcPr>
            <w:tcW w:type="dxa" w:w="59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it prevents</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Two independent community endorsements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Funding an organisation that does not really exist, or is not trusted where it works.</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Conflict-of-interest disclosure by endorsers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relative or employee vouching for their own organisation unnoticed.</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Sanctions and adverse-media screening</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Funding a sanctioned entity, or one with a public record of harm.</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Verified payment route</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Money leaving to an unchecked account, broker or number.</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Two-person release</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Any single person moving money alone. The person who creates a disbursement cannot approve it.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Reporting obligation on every release</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Money going out with no obligation attached to it.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Oversight Body verdict on every report</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Reports accumulating unread.</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Independent third-party verification</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Only the funded party attesting to what happened. The verifier is never their own endorser, the sender, or a co-signer.</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90-day outcome attestation</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Mistaking delivery for durable effect.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Tamper-evident audit chain</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Silent editing of the record after the fact.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Grievance channel with a 72-hour clock</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Concerns having nowhere to go, or sitting unanswered.</w:t>
            </w:r>
          </w:p>
        </w:tc>
      </w:tr>
    </w:tbl>
    <w:p>
      <w:pPr>
        <w:spacing w:after="140" w:before="0"/>
      </w:pPr>
    </w:p>
    <w:p>
      <w:pPr>
        <w:pStyle w:val="Heading2"/>
      </w:pPr>
      <w:r>
        <w:t xml:space="preserve">What we do not claim</w:t>
      </w:r>
    </w:p>
    <w:p>
      <w:pPr>
        <w:spacing w:after="90" w:before="90"/>
      </w:pPr>
      <w:r>
        <w:rPr>
          <w:rFonts w:ascii="Arial" w:cs="Arial" w:eastAsia="Arial" w:hAnsi="Arial"/>
          <w:color w:val="1A1410"/>
          <w:sz w:val="21"/>
          <w:szCs w:val="21"/>
        </w:rPr>
        <w:t xml:space="preserve">An honest account of the limits is worth more to you than a longer list of controls.</w:t>
      </w:r>
    </w:p>
    <w:p>
      <w:pPr>
        <w:pStyle w:val="ListParagraph"/>
        <w:numPr>
          <w:ilvl w:val="0"/>
          <w:numId w:val="2"/>
        </w:numPr>
        <w:spacing w:after="40" w:before="40"/>
      </w:pPr>
      <w:r>
        <w:rPr>
          <w:rFonts w:ascii="Arial" w:cs="Arial" w:eastAsia="Arial" w:hAnsi="Arial"/>
          <w:color w:val="1A1410"/>
          <w:sz w:val="21"/>
          <w:szCs w:val="21"/>
        </w:rPr>
        <w:t xml:space="preserve">The reports describe what partners tell us, checked against the evidence they provide and, in some cases, an independent verifier. They are not audited financial statements.</w:t>
      </w:r>
    </w:p>
    <w:p>
      <w:pPr>
        <w:pStyle w:val="ListParagraph"/>
        <w:numPr>
          <w:ilvl w:val="0"/>
          <w:numId w:val="2"/>
        </w:numPr>
        <w:spacing w:after="40" w:before="40"/>
      </w:pPr>
      <w:r>
        <w:rPr>
          <w:rFonts w:ascii="Arial" w:cs="Arial" w:eastAsia="Arial" w:hAnsi="Arial"/>
          <w:color w:val="1A1410"/>
          <w:sz w:val="21"/>
          <w:szCs w:val="21"/>
        </w:rPr>
        <w:t xml:space="preserve">Community endorsement establishes that an organisation is real and trusted locally. It is not a capacity assessment.</w:t>
      </w:r>
    </w:p>
    <w:p>
      <w:pPr>
        <w:pStyle w:val="ListParagraph"/>
        <w:numPr>
          <w:ilvl w:val="0"/>
          <w:numId w:val="2"/>
        </w:numPr>
        <w:spacing w:after="40" w:before="40"/>
      </w:pPr>
      <w:r>
        <w:rPr>
          <w:rFonts w:ascii="Arial" w:cs="Arial" w:eastAsia="Arial" w:hAnsi="Arial"/>
          <w:color w:val="1A1410"/>
          <w:sz w:val="21"/>
          <w:szCs w:val="21"/>
        </w:rPr>
        <w:t xml:space="preserve">Screening covers published sanctions and adverse-media sources. It cannot see what is not published.</w:t>
      </w:r>
    </w:p>
    <w:p>
      <w:pPr>
        <w:pStyle w:val="ListParagraph"/>
        <w:numPr>
          <w:ilvl w:val="0"/>
          <w:numId w:val="2"/>
        </w:numPr>
        <w:spacing w:after="40" w:before="40"/>
      </w:pPr>
      <w:r>
        <w:rPr>
          <w:rFonts w:ascii="Arial" w:cs="Arial" w:eastAsia="Arial" w:hAnsi="Arial"/>
          <w:color w:val="1A1410"/>
          <w:sz w:val="21"/>
          <w:szCs w:val="21"/>
        </w:rPr>
        <w:t xml:space="preserve">The 90-day attestation is the partner’s own account of what lasted, verified by Adeso. It is not third-party impact evaluation.</w:t>
      </w:r>
    </w:p>
    <w:p>
      <w:pPr>
        <w:pStyle w:val="ListParagraph"/>
        <w:numPr>
          <w:ilvl w:val="0"/>
          <w:numId w:val="2"/>
        </w:numPr>
        <w:spacing w:after="40" w:before="40"/>
      </w:pPr>
      <w:r>
        <w:rPr>
          <w:rFonts w:ascii="Arial" w:cs="Arial" w:eastAsia="Arial" w:hAnsi="Arial"/>
          <w:color w:val="1A1410"/>
          <w:sz w:val="21"/>
          <w:szCs w:val="21"/>
        </w:rPr>
        <w:t xml:space="preserve">Sudan is an active conflict. Some partners will be unreachable for periods, and some activities will not go to plan. Where that happens you will see it flagged rather than smoothed over.</w:t>
      </w:r>
    </w:p>
    <w:p>
      <w:pPr>
        <w:pStyle w:val="Heading1"/>
      </w:pPr>
      <w:r>
        <w:t xml:space="preserve">8. Asking questions</w:t>
      </w:r>
    </w:p>
    <w:p>
      <w:pPr>
        <w:spacing w:after="90" w:before="90"/>
      </w:pPr>
      <w:r>
        <w:rPr>
          <w:rFonts w:ascii="Arial" w:cs="Arial" w:eastAsia="Arial" w:hAnsi="Arial"/>
          <w:color w:val="1A1410"/>
          <w:sz w:val="21"/>
          <w:szCs w:val="21"/>
        </w:rPr>
        <w:t xml:space="preserve">Three routes, depending on what you need.</w:t>
      </w:r>
    </w:p>
    <w:p>
      <w:pPr>
        <w:pStyle w:val="ListParagraph"/>
        <w:numPr>
          <w:ilvl w:val="0"/>
          <w:numId w:val="2"/>
        </w:numPr>
        <w:spacing w:after="40" w:before="40"/>
      </w:pPr>
      <w:r>
        <w:rPr>
          <w:rFonts w:ascii="Arial" w:cs="Arial" w:eastAsia="Arial" w:hAnsi="Arial"/>
          <w:b/>
          <w:bCs/>
          <w:color w:val="1A1410"/>
          <w:sz w:val="21"/>
          <w:szCs w:val="21"/>
        </w:rPr>
        <w:t xml:space="preserve">Ask AI, in your portal. </w:t>
      </w:r>
      <w:r>
        <w:rPr>
          <w:rFonts w:ascii="Arial" w:cs="Arial" w:eastAsia="Arial" w:hAnsi="Arial"/>
          <w:color w:val="1A1410"/>
          <w:sz w:val="21"/>
          <w:szCs w:val="21"/>
        </w:rPr>
        <w:t xml:space="preserve">Plain-language questions about your own rounds — how much of an envelope is spent, how many partners have reported, what the attestation rate is. It answers from your portfolio only, and it will tell you when it does not have the data rather than estimating.</w:t>
      </w:r>
    </w:p>
    <w:p>
      <w:pPr>
        <w:pStyle w:val="ListParagraph"/>
        <w:numPr>
          <w:ilvl w:val="0"/>
          <w:numId w:val="2"/>
        </w:numPr>
        <w:spacing w:after="40" w:before="40"/>
      </w:pPr>
      <w:r>
        <w:rPr>
          <w:rFonts w:ascii="Arial" w:cs="Arial" w:eastAsia="Arial" w:hAnsi="Arial"/>
          <w:b/>
          <w:bCs/>
          <w:color w:val="1A1410"/>
          <w:sz w:val="21"/>
          <w:szCs w:val="21"/>
        </w:rPr>
        <w:t xml:space="preserve">Adeso directly. </w:t>
      </w:r>
      <w:r>
        <w:rPr>
          <w:rFonts w:ascii="Arial" w:cs="Arial" w:eastAsia="Arial" w:hAnsi="Arial"/>
          <w:color w:val="1A1410"/>
          <w:sz w:val="21"/>
          <w:szCs w:val="21"/>
        </w:rPr>
        <w:t xml:space="preserve">For anything about a specific partner, a decision, or a report — including asking what evidence was withheld and why. Audit-chain extracts for your rounds are available on request.</w:t>
      </w:r>
    </w:p>
    <w:p>
      <w:pPr>
        <w:pStyle w:val="ListParagraph"/>
        <w:numPr>
          <w:ilvl w:val="0"/>
          <w:numId w:val="2"/>
        </w:numPr>
        <w:spacing w:after="40" w:before="40"/>
      </w:pPr>
      <w:r>
        <w:rPr>
          <w:rFonts w:ascii="Arial" w:cs="Arial" w:eastAsia="Arial" w:hAnsi="Arial"/>
          <w:b/>
          <w:bCs/>
          <w:color w:val="1A1410"/>
          <w:sz w:val="21"/>
          <w:szCs w:val="21"/>
        </w:rPr>
        <w:t xml:space="preserve">The grievance channel. </w:t>
      </w:r>
      <w:r>
        <w:rPr>
          <w:rFonts w:ascii="Arial" w:cs="Arial" w:eastAsia="Arial" w:hAnsi="Arial"/>
          <w:color w:val="1A1410"/>
          <w:sz w:val="21"/>
          <w:szCs w:val="21"/>
        </w:rPr>
        <w:t xml:space="preserve">If you have a concern about conduct, the fund runs a public channel that anyone can use, anonymously, with a 72-hour triage commitment. Ask Adeso for the link.</w:t>
      </w:r>
    </w:p>
    <w:p>
      <w:pPr>
        <w:pBdr>
          <w:bottom w:val="single" w:color="E7DCCE" w:sz="6" w:space="1"/>
        </w:pBdr>
        <w:spacing w:after="160" w:before="160"/>
      </w:pPr>
    </w:p>
    <w:p>
      <w:pPr>
        <w:pStyle w:val="Heading2"/>
      </w:pPr>
      <w:r>
        <w:t xml:space="preserve">Words you will see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Term</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Meaning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Oversight Body (OB)</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Adeso members who govern the fund and sign its decisions.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Round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One funding cycle: an envelope, a set of partners, a start and an end.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Envelope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money committed to a round.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community organisation receiving funds.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community member who vouches for a partner by answering three questions.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Due diligence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checks a partner passes before receiving money.</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Hawala</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trust-based money transfer network, widely used where banking is disrupted. A first-class payment route in this fund, verified like any other.</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Co-sign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second Oversight Body signature required to release money.</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Safeguarding gate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per-item decision on whether a piece of evidence may be shown to a donor.</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Attestation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statement someone formally stands behind.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Audit chain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tamper-evident log of every action taken in the fund.</w:t>
            </w:r>
          </w:p>
        </w:tc>
      </w:tr>
    </w:tbl>
    <w:p>
      <w:pPr>
        <w:spacing w:after="120" w:before="0"/>
      </w:pPr>
    </w:p>
    <w:p>
      <w:pPr>
        <w:spacing w:after="90" w:before="90"/>
      </w:pPr>
      <w:r>
        <w:rPr>
          <w:rFonts w:ascii="Arial" w:cs="Arial" w:eastAsia="Arial" w:hAnsi="Arial"/>
          <w:color w:val="6B655F"/>
          <w:sz w:val="21"/>
          <w:szCs w:val="21"/>
        </w:rPr>
        <w:t xml:space="preserve">Questions about your portfolio or about anything in this guide: your Adeso contact.</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6B655F"/>
        <w:sz w:val="16"/>
        <w:szCs w:val="16"/>
      </w:rPr>
      <w:t xml:space="preserve">Proximate Fund — Donor Guide · July 2026 · page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2D12"/>
      <w:sz w:val="38"/>
      <w:szCs w:val="38"/>
    </w:rPr>
  </w:style>
  <w:style w:type="paragraph" w:styleId="Heading2">
    <w:name w:val="Heading 2"/>
    <w:basedOn w:val="Normal"/>
    <w:next w:val="Normal"/>
    <w:qFormat/>
    <w:pPr>
      <w:spacing w:after="140" w:before="380"/>
      <w:outlineLvl w:val="1"/>
    </w:pPr>
    <w:rPr>
      <w:rFonts w:ascii="Arial" w:cs="Arial" w:eastAsia="Arial" w:hAnsi="Arial"/>
      <w:b/>
      <w:bCs/>
      <w:color w:val="C241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2026-07-22T02:08:13.621Z</dcterms:created>
  <dcterms:modified xsi:type="dcterms:W3CDTF">2026-07-22T02:08:13.624Z</dcterms:modified>
</cp:coreProperties>
</file>

<file path=docProps/custom.xml><?xml version="1.0" encoding="utf-8"?>
<Properties xmlns="http://schemas.openxmlformats.org/officeDocument/2006/custom-properties" xmlns:vt="http://schemas.openxmlformats.org/officeDocument/2006/docPropsVTypes"/>
</file>