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C2410C"/>
          <w:sz w:val="40"/>
        </w:rPr>
        <w:t>Proximate Fund — Platform Update</w:t>
      </w:r>
    </w:p>
    <w:p>
      <w:pPr>
        <w:spacing w:after="120"/>
      </w:pPr>
      <w:r>
        <w:rPr>
          <w:rFonts w:ascii="Arial" w:hAnsi="Arial"/>
          <w:b w:val="0"/>
          <w:i w:val="0"/>
          <w:color w:val="57534E"/>
          <w:sz w:val="21"/>
        </w:rPr>
        <w:t>27 July 2026  ·  proximate.kuja.org  ·  prepared for the Adeso / Proximate team</w:t>
      </w:r>
    </w:p>
    <w:p>
      <w:pPr>
        <w:spacing w:after="80"/>
      </w:pPr>
      <w:r>
        <w:rPr>
          <w:rFonts w:ascii="Arial" w:hAnsi="Arial"/>
          <w:b w:val="0"/>
          <w:i/>
          <w:color w:val="57534E"/>
          <w:sz w:val="21"/>
        </w:rPr>
        <w:t>This continues the 24 July update. It reports what has shipped since — chiefly the outcome of your review of the Oversight Body workflow — and restates the items from that update that are still open, so you do not need both documents.</w:t>
      </w:r>
    </w:p>
    <w:p>
      <w:pPr>
        <w:pStyle w:val="Heading1"/>
      </w:pPr>
      <w:r>
        <w:t>At a glance</w:t>
      </w:r>
    </w:p>
    <w:p>
      <w:pPr>
        <w:spacing w:after="160"/>
      </w:pPr>
      <w:r>
        <w:rPr>
          <w:rFonts w:ascii="Arial" w:hAnsi="Arial"/>
          <w:b w:val="0"/>
          <w:i w:val="0"/>
          <w:color w:val="1A1410"/>
          <w:sz w:val="21"/>
        </w:rPr>
        <w:t>After the 24 July release you sent a close review of the Oversight Body workflow. It carried one finding marked high — that a donor might be able to download the audit chain — and a set of smaller notes about the disbursement screens. This update says what came of each. The short version of the high finding: the audit chain was never exposed. The system was already refusing donors and platform administrators, on both reading and exporting it, and had been since it shipped. What the reviewer saw was that refusal — and a browser saving the refusal to a file that happened to be named audit-chain.json. A file with that name, sitting in Downloads, reasonably looked like a leak. It was the refusal, written to disk. We fixed the thing that let a safe refusal look like its opposite.</w:t>
      </w:r>
    </w:p>
    <w:p>
      <w:pPr>
        <w:spacing w:after="160"/>
      </w:pPr>
      <w:r>
        <w:rPr>
          <w:rFonts w:ascii="Arial" w:hAnsi="Arial"/>
          <w:b w:val="0"/>
          <w:i w:val="0"/>
          <w:color w:val="1A1410"/>
          <w:sz w:val="21"/>
        </w:rPr>
        <w:t>The disbursement notes are all addressed: the screen now scopes to the round, tells test and live partners apart, and shows a readiness checklist before anything is raised. And the platform’s language coverage, which the 24 July update left half finished, is now complete — every screen an operator can reach reads in Arabic, not only the round screens.</w:t>
      </w:r>
    </w:p>
    <w:p>
      <w:pPr>
        <w:pStyle w:val="Heading1"/>
      </w:pPr>
      <w:r>
        <w:t>What shipped</w:t>
      </w:r>
    </w:p>
    <w:p>
      <w:pPr>
        <w:pStyle w:val="Heading2"/>
      </w:pPr>
      <w:r>
        <w:t>1. The audit-chain finding — nothing left the system</w:t>
      </w:r>
    </w:p>
    <w:p>
      <w:pPr>
        <w:spacing w:after="160"/>
      </w:pPr>
      <w:r>
        <w:rPr>
          <w:rFonts w:ascii="Arial" w:hAnsi="Arial"/>
          <w:b w:val="0"/>
          <w:i w:val="0"/>
          <w:color w:val="1A1410"/>
          <w:sz w:val="21"/>
        </w:rPr>
        <w:t>The refusal was already correct. Donors and platform administrators cannot read the audit chain and cannot export it; that has been true and tested since the feature shipped. The problem was one layer up. The page that carried the “Export chain” button was drawn for everyone, and the button was a plain download link. When a donor clicked it, the browser did what browsers do with a download link — it saved whatever came back. What came back was the server’s “you are not allowed” response, and the browser saved it as audit-chain.json.</w:t>
      </w:r>
    </w:p>
    <w:p>
      <w:pPr>
        <w:spacing w:after="160"/>
      </w:pPr>
      <w:r>
        <w:rPr>
          <w:rFonts w:ascii="Arial" w:hAnsi="Arial"/>
          <w:b w:val="0"/>
          <w:i w:val="0"/>
          <w:color w:val="1A1410"/>
          <w:sz w:val="21"/>
        </w:rPr>
        <w:t>The page now checks first. A donor or platform administrator who opens it sees an “access restricted” panel and no button at all. The export link appears only once the page has loaded the chain for someone allowed to see it. A safe refusal can no longer produce a file that looks like a breach. We also added a test that pins the exact scenario from your review — a donor triggering the export — so it stays refused.</w:t>
      </w:r>
    </w:p>
    <w:p>
      <w:pPr>
        <w:pStyle w:val="Heading2"/>
      </w:pPr>
      <w:r>
        <w:t>2. Raising a disbursement — the notes you raised</w:t>
      </w:r>
    </w:p>
    <w:p>
      <w:pPr>
        <w:spacing w:after="160"/>
      </w:pPr>
      <w:r>
        <w:rPr>
          <w:rFonts w:ascii="Arial" w:hAnsi="Arial"/>
          <w:b w:val="0"/>
          <w:i w:val="0"/>
          <w:color w:val="1A1410"/>
          <w:sz w:val="21"/>
        </w:rPr>
        <w:t>The disbursement screens carried the most feedback. Each note is addressed:</w:t>
      </w:r>
    </w:p>
    <w:tbl>
      <w:tblPr>
        <w:tblStyle w:val="TableGrid"/>
        <w:tblW w:type="auto" w:w="0"/>
        <w:tblLook w:firstColumn="1" w:firstRow="1" w:lastColumn="0" w:lastRow="0" w:noHBand="0" w:noVBand="1" w:val="04A0"/>
      </w:tblPr>
      <w:tblGrid>
        <w:gridCol w:w="4320"/>
        <w:gridCol w:w="4320"/>
      </w:tblGrid>
      <w:tr>
        <w:tc>
          <w:tcPr>
            <w:tcW w:type="dxa" w:w="3168"/>
            <w:shd w:val="clear" w:fill="7C2D12"/>
          </w:tcPr>
          <w:p>
            <w:pPr>
              <w:spacing w:after="40"/>
            </w:pPr>
            <w:r/>
            <w:r>
              <w:rPr>
                <w:rFonts w:ascii="Arial" w:hAnsi="Arial"/>
                <w:b/>
                <w:color w:val="FFFFFF"/>
                <w:sz w:val="20"/>
              </w:rPr>
              <w:t>From your review</w:t>
            </w:r>
          </w:p>
        </w:tc>
        <w:tc>
          <w:tcPr>
            <w:tcW w:type="dxa" w:w="6624"/>
            <w:shd w:val="clear" w:fill="7C2D12"/>
          </w:tcPr>
          <w:p>
            <w:pPr>
              <w:spacing w:after="40"/>
            </w:pPr>
            <w:r/>
            <w:r>
              <w:rPr>
                <w:rFonts w:ascii="Arial" w:hAnsi="Arial"/>
                <w:b/>
                <w:color w:val="FFFFFF"/>
                <w:sz w:val="20"/>
              </w:rPr>
              <w:t>What changed</w:t>
            </w:r>
          </w:p>
        </w:tc>
      </w:tr>
      <w:tr>
        <w:tc>
          <w:tcPr>
            <w:tcW w:type="dxa" w:w="3168"/>
          </w:tcPr>
          <w:p>
            <w:pPr>
              <w:spacing w:after="40"/>
            </w:pPr>
            <w:r/>
            <w:r>
              <w:rPr>
                <w:rFonts w:ascii="Arial" w:hAnsi="Arial"/>
                <w:b w:val="0"/>
                <w:color w:val="1A1410"/>
                <w:sz w:val="20"/>
              </w:rPr>
              <w:t>The partner list was the whole fund</w:t>
            </w:r>
          </w:p>
        </w:tc>
        <w:tc>
          <w:tcPr>
            <w:tcW w:type="dxa" w:w="6624"/>
          </w:tcPr>
          <w:p>
            <w:pPr>
              <w:spacing w:after="40"/>
            </w:pPr>
            <w:r/>
            <w:r>
              <w:rPr>
                <w:rFonts w:ascii="Arial" w:hAnsi="Arial"/>
                <w:b w:val="0"/>
                <w:color w:val="1A1410"/>
                <w:sz w:val="20"/>
              </w:rPr>
              <w:t>Opening “new disbursement” from a round now lists only the partners the panel awarded in that round, with a line saying the list is scoped that way. You cannot accidentally pay a partner who was not awarded in the round you are working in.</w:t>
            </w:r>
          </w:p>
        </w:tc>
      </w:tr>
      <w:tr>
        <w:tc>
          <w:tcPr>
            <w:tcW w:type="dxa" w:w="3168"/>
          </w:tcPr>
          <w:p>
            <w:pPr>
              <w:spacing w:after="40"/>
            </w:pPr>
            <w:r/>
            <w:r>
              <w:rPr>
                <w:rFonts w:ascii="Arial" w:hAnsi="Arial"/>
                <w:b w:val="0"/>
                <w:color w:val="1A1410"/>
                <w:sz w:val="20"/>
              </w:rPr>
              <w:t>Test and live partners looked the same</w:t>
            </w:r>
          </w:p>
        </w:tc>
        <w:tc>
          <w:tcPr>
            <w:tcW w:type="dxa" w:w="6624"/>
          </w:tcPr>
          <w:p>
            <w:pPr>
              <w:spacing w:after="40"/>
            </w:pPr>
            <w:r/>
            <w:r>
              <w:rPr>
                <w:rFonts w:ascii="Arial" w:hAnsi="Arial"/>
                <w:b w:val="0"/>
                <w:color w:val="1A1410"/>
                <w:sz w:val="20"/>
              </w:rPr>
              <w:t>Any fixture or test partner now carries a small TEST tag, so a real payment is never raised against a demo record.</w:t>
            </w:r>
          </w:p>
        </w:tc>
      </w:tr>
      <w:tr>
        <w:tc>
          <w:tcPr>
            <w:tcW w:type="dxa" w:w="3168"/>
          </w:tcPr>
          <w:p>
            <w:pPr>
              <w:spacing w:after="40"/>
            </w:pPr>
            <w:r/>
            <w:r>
              <w:rPr>
                <w:rFonts w:ascii="Arial" w:hAnsi="Arial"/>
                <w:b w:val="0"/>
                <w:color w:val="1A1410"/>
                <w:sz w:val="20"/>
              </w:rPr>
              <w:t>No way to see if a partner was ready</w:t>
            </w:r>
          </w:p>
        </w:tc>
        <w:tc>
          <w:tcPr>
            <w:tcW w:type="dxa" w:w="6624"/>
          </w:tcPr>
          <w:p>
            <w:pPr>
              <w:spacing w:after="40"/>
            </w:pPr>
            <w:r/>
            <w:r>
              <w:rPr>
                <w:rFonts w:ascii="Arial" w:hAnsi="Arial"/>
                <w:b w:val="0"/>
                <w:color w:val="1A1410"/>
                <w:sz w:val="20"/>
              </w:rPr>
              <w:t>A readiness checklist now sits on the screen: partner cleared, panel award recorded, amount approved, contract opened, contract signed, verified payment route. It shows what is and is not in place for the chosen partner and round, so nothing is raised half-ready and you can see at a glance what is missing.</w:t>
            </w:r>
          </w:p>
        </w:tc>
      </w:tr>
      <w:tr>
        <w:tc>
          <w:tcPr>
            <w:tcW w:type="dxa" w:w="3168"/>
          </w:tcPr>
          <w:p>
            <w:pPr>
              <w:spacing w:after="40"/>
            </w:pPr>
            <w:r/>
            <w:r>
              <w:rPr>
                <w:rFonts w:ascii="Arial" w:hAnsi="Arial"/>
                <w:b w:val="0"/>
                <w:color w:val="1A1410"/>
                <w:sz w:val="20"/>
              </w:rPr>
              <w:t>The award rows did not look openable</w:t>
            </w:r>
          </w:p>
        </w:tc>
        <w:tc>
          <w:tcPr>
            <w:tcW w:type="dxa" w:w="6624"/>
          </w:tcPr>
          <w:p>
            <w:pPr>
              <w:spacing w:after="40"/>
            </w:pPr>
            <w:r/>
            <w:r>
              <w:rPr>
                <w:rFonts w:ascii="Arial" w:hAnsi="Arial"/>
                <w:b w:val="0"/>
                <w:color w:val="1A1410"/>
                <w:sz w:val="20"/>
              </w:rPr>
              <w:t>They now carry a chevron and a “tap to record the panel decision” prompt, so it is clear the row expands.</w:t>
            </w:r>
          </w:p>
        </w:tc>
      </w:tr>
      <w:tr>
        <w:tc>
          <w:tcPr>
            <w:tcW w:type="dxa" w:w="3168"/>
          </w:tcPr>
          <w:p>
            <w:pPr>
              <w:spacing w:after="40"/>
            </w:pPr>
            <w:r/>
            <w:r>
              <w:rPr>
                <w:rFonts w:ascii="Arial" w:hAnsi="Arial"/>
                <w:b w:val="0"/>
                <w:color w:val="1A1410"/>
                <w:sz w:val="20"/>
              </w:rPr>
              <w:t>Partner history was hard to reach</w:t>
            </w:r>
          </w:p>
        </w:tc>
        <w:tc>
          <w:tcPr>
            <w:tcW w:type="dxa" w:w="6624"/>
          </w:tcPr>
          <w:p>
            <w:pPr>
              <w:spacing w:after="40"/>
            </w:pPr>
            <w:r/>
            <w:r>
              <w:rPr>
                <w:rFonts w:ascii="Arial" w:hAnsi="Arial"/>
                <w:b w:val="0"/>
                <w:color w:val="1A1410"/>
                <w:sz w:val="20"/>
              </w:rPr>
              <w:t>The partner-history link is back on the round’s roster — a partner’s full timeline is one click from the round.</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fill="FBEDE6"/>
          </w:tcPr>
          <w:p>
            <w:r/>
            <w:r>
              <w:rPr>
                <w:rFonts w:ascii="Arial" w:hAnsi="Arial"/>
                <w:b/>
                <w:color w:val="C2410C"/>
                <w:sz w:val="20"/>
              </w:rPr>
              <w:t xml:space="preserve">Worth knowing — </w:t>
            </w:r>
            <w:r>
              <w:rPr>
                <w:rFonts w:ascii="Arial" w:hAnsi="Arial"/>
                <w:color w:val="1A1410"/>
                <w:sz w:val="20"/>
              </w:rPr>
              <w:t>The readiness checklist does not add new ways to block a payment. The rules that actually stop a disbursement — cleared, awarded, amount, contract, route — were already enforced at the moment you press the button. The checklist just shows them to you earlier, so nothing is raised half-ready.</w:t>
            </w:r>
          </w:p>
        </w:tc>
      </w:tr>
    </w:tbl>
    <w:p>
      <w:pPr>
        <w:spacing w:after="40"/>
      </w:pPr>
    </w:p>
    <w:p>
      <w:pPr>
        <w:pStyle w:val="Heading2"/>
      </w:pPr>
      <w:r>
        <w:t>3. Closeout, and a chat that failed quietly</w:t>
      </w:r>
    </w:p>
    <w:p>
      <w:pPr>
        <w:spacing w:after="160"/>
      </w:pPr>
      <w:r>
        <w:rPr>
          <w:rFonts w:ascii="Arial" w:hAnsi="Arial"/>
          <w:b w:val="0"/>
          <w:i w:val="0"/>
          <w:color w:val="1A1410"/>
          <w:sz w:val="21"/>
        </w:rPr>
        <w:t>Shipped in the same window, from an earlier note: a round’s closeout rule used to live in one place for what the screen showed and another for what the action allowed, so the two could quietly disagree. Closeout now reads from a single source, so what you see and what you can do can no longer drift apart. And the assistant chat, which could fail without saying so, now surfaces the failure instead of looking like it worked.</w:t>
      </w:r>
    </w:p>
    <w:p>
      <w:pPr>
        <w:pStyle w:val="Heading2"/>
      </w:pPr>
      <w:r>
        <w:t>4. Language — every screen now reads in Arabic</w:t>
      </w:r>
    </w:p>
    <w:p>
      <w:pPr>
        <w:spacing w:after="160"/>
      </w:pPr>
      <w:r>
        <w:rPr>
          <w:rFonts w:ascii="Arial" w:hAnsi="Arial"/>
          <w:b w:val="0"/>
          <w:i w:val="0"/>
          <w:color w:val="1A1410"/>
          <w:sz w:val="21"/>
        </w:rPr>
        <w:t>The 24 July update translated the round screens — 187 strings — and was careful to say the rest was still in English. This wave finished it. Every remaining screen an operator can reach, including the grant and donor-pack console and the internal operations screens, is now translated: 939 more strings, with all six languages kept in step and a check that fails the build if they drift.</w:t>
      </w:r>
    </w:p>
    <w:p>
      <w:pPr>
        <w:spacing w:after="160"/>
      </w:pPr>
      <w:r>
        <w:rPr>
          <w:rFonts w:ascii="Arial" w:hAnsi="Arial"/>
          <w:b w:val="0"/>
          <w:i w:val="0"/>
          <w:color w:val="1A1410"/>
          <w:sz w:val="21"/>
        </w:rPr>
        <w:t>An honest note on this. For Proximate what matters is Arabic and English, and both are now complete across every screen. The Arabic is translated to a high standard but has still not been read by a native Sudanese speaker — that review, flagged last time, is now larger and still owed. The other four languages this time carry real translations rather than English placeholders; those are a first pass, also awaiting review, and they are not screens Proximate uses.</w:t>
      </w:r>
    </w:p>
    <w:p>
      <w:pPr>
        <w:pStyle w:val="Heading1"/>
      </w:pPr>
      <w:r>
        <w:t>Decisions taken during the build</w:t>
      </w:r>
    </w:p>
    <w:p>
      <w:pPr>
        <w:spacing w:after="160"/>
      </w:pPr>
      <w:r>
        <w:rPr>
          <w:rFonts w:ascii="Arial" w:hAnsi="Arial"/>
          <w:b w:val="0"/>
          <w:i w:val="0"/>
          <w:color w:val="1A1410"/>
          <w:sz w:val="21"/>
        </w:rPr>
        <w:t>The points where the answer was not obvious, recorded so you can overturn any of them.</w:t>
      </w:r>
    </w:p>
    <w:tbl>
      <w:tblPr>
        <w:tblStyle w:val="TableGrid"/>
        <w:tblW w:type="auto" w:w="0"/>
        <w:tblLook w:firstColumn="1" w:firstRow="1" w:lastColumn="0" w:lastRow="0" w:noHBand="0" w:noVBand="1" w:val="04A0"/>
      </w:tblPr>
      <w:tblGrid>
        <w:gridCol w:w="4320"/>
        <w:gridCol w:w="4320"/>
      </w:tblGrid>
      <w:tr>
        <w:tc>
          <w:tcPr>
            <w:tcW w:type="dxa" w:w="3888"/>
            <w:shd w:val="clear" w:fill="7C2D12"/>
          </w:tcPr>
          <w:p>
            <w:pPr>
              <w:spacing w:after="40"/>
            </w:pPr>
            <w:r/>
            <w:r>
              <w:rPr>
                <w:rFonts w:ascii="Arial" w:hAnsi="Arial"/>
                <w:b/>
                <w:color w:val="FFFFFF"/>
                <w:sz w:val="20"/>
              </w:rPr>
              <w:t>Decision</w:t>
            </w:r>
          </w:p>
        </w:tc>
        <w:tc>
          <w:tcPr>
            <w:tcW w:type="dxa" w:w="5904"/>
            <w:shd w:val="clear" w:fill="7C2D12"/>
          </w:tcPr>
          <w:p>
            <w:pPr>
              <w:spacing w:after="40"/>
            </w:pPr>
            <w:r/>
            <w:r>
              <w:rPr>
                <w:rFonts w:ascii="Arial" w:hAnsi="Arial"/>
                <w:b/>
                <w:color w:val="FFFFFF"/>
                <w:sz w:val="20"/>
              </w:rPr>
              <w:t>Why</w:t>
            </w:r>
          </w:p>
        </w:tc>
      </w:tr>
      <w:tr>
        <w:tc>
          <w:tcPr>
            <w:tcW w:type="dxa" w:w="3888"/>
          </w:tcPr>
          <w:p>
            <w:pPr>
              <w:spacing w:after="40"/>
            </w:pPr>
            <w:r/>
            <w:r>
              <w:rPr>
                <w:rFonts w:ascii="Arial" w:hAnsi="Arial"/>
                <w:b w:val="0"/>
                <w:color w:val="1A1410"/>
                <w:sz w:val="20"/>
              </w:rPr>
              <w:t>The audit page refuses before it draws, rather than hiding the button.</w:t>
            </w:r>
          </w:p>
        </w:tc>
        <w:tc>
          <w:tcPr>
            <w:tcW w:type="dxa" w:w="5904"/>
          </w:tcPr>
          <w:p>
            <w:pPr>
              <w:spacing w:after="40"/>
            </w:pPr>
            <w:r/>
            <w:r>
              <w:rPr>
                <w:rFonts w:ascii="Arial" w:hAnsi="Arial"/>
                <w:b w:val="0"/>
                <w:color w:val="1A1410"/>
                <w:sz w:val="20"/>
              </w:rPr>
              <w:t>A hidden button can still be found. Checking permission first and showing “access restricted” means there is nothing to find, and it matches how the system already behaved underneath.</w:t>
            </w:r>
          </w:p>
        </w:tc>
      </w:tr>
      <w:tr>
        <w:tc>
          <w:tcPr>
            <w:tcW w:type="dxa" w:w="3888"/>
          </w:tcPr>
          <w:p>
            <w:pPr>
              <w:spacing w:after="40"/>
            </w:pPr>
            <w:r/>
            <w:r>
              <w:rPr>
                <w:rFonts w:ascii="Arial" w:hAnsi="Arial"/>
                <w:b w:val="0"/>
                <w:color w:val="1A1410"/>
                <w:sz w:val="20"/>
              </w:rPr>
              <w:t>The readiness checklist warns; it does not add new blocks.</w:t>
            </w:r>
          </w:p>
        </w:tc>
        <w:tc>
          <w:tcPr>
            <w:tcW w:type="dxa" w:w="5904"/>
          </w:tcPr>
          <w:p>
            <w:pPr>
              <w:spacing w:after="40"/>
            </w:pPr>
            <w:r/>
            <w:r>
              <w:rPr>
                <w:rFonts w:ascii="Arial" w:hAnsi="Arial"/>
                <w:b w:val="0"/>
                <w:color w:val="1A1410"/>
                <w:sz w:val="20"/>
              </w:rPr>
              <w:t>The real gate on a payment was already there. Adding a second, softer gate that could disagree with it would be the split-brain problem we have been removing elsewhere, not fixing it.</w:t>
            </w:r>
          </w:p>
        </w:tc>
      </w:tr>
      <w:tr>
        <w:tc>
          <w:tcPr>
            <w:tcW w:type="dxa" w:w="3888"/>
          </w:tcPr>
          <w:p>
            <w:pPr>
              <w:spacing w:after="40"/>
            </w:pPr>
            <w:r/>
            <w:r>
              <w:rPr>
                <w:rFonts w:ascii="Arial" w:hAnsi="Arial"/>
                <w:b w:val="0"/>
                <w:color w:val="1A1410"/>
                <w:sz w:val="20"/>
              </w:rPr>
              <w:t>We shipped translations for the four non-Arabic languages, where the last update chose English placeholders.</w:t>
            </w:r>
          </w:p>
        </w:tc>
        <w:tc>
          <w:tcPr>
            <w:tcW w:type="dxa" w:w="5904"/>
          </w:tcPr>
          <w:p>
            <w:pPr>
              <w:spacing w:after="40"/>
            </w:pPr>
            <w:r/>
            <w:r>
              <w:rPr>
                <w:rFonts w:ascii="Arial" w:hAnsi="Arial"/>
                <w:b w:val="0"/>
                <w:color w:val="1A1410"/>
                <w:sz w:val="20"/>
              </w:rPr>
              <w:t>For Proximate this changes nothing — you work in Arabic and English, both complete. For the wider platform a clearly-first-pass translation is more useful than English, as long as nobody calls it final; it is flagged for review, not presented as done. If you would rather those four revert to placeholders until a person has read them, that is a one-line change.</w:t>
            </w:r>
          </w:p>
        </w:tc>
      </w:tr>
    </w:tbl>
    <w:p>
      <w:pPr>
        <w:spacing w:after="40"/>
      </w:pPr>
    </w:p>
    <w:p>
      <w:pPr>
        <w:pStyle w:val="Heading1"/>
      </w:pPr>
      <w:r>
        <w:t>Still open — carried over from 24 July</w:t>
      </w:r>
    </w:p>
    <w:tbl>
      <w:tblPr>
        <w:tblStyle w:val="TableGrid"/>
        <w:tblW w:type="auto" w:w="0"/>
        <w:tblLook w:firstColumn="1" w:firstRow="1" w:lastColumn="0" w:lastRow="0" w:noHBand="0" w:noVBand="1" w:val="04A0"/>
      </w:tblPr>
      <w:tblGrid>
        <w:gridCol w:w="8640"/>
      </w:tblGrid>
      <w:tr>
        <w:tc>
          <w:tcPr>
            <w:tcW w:type="dxa" w:w="8640"/>
            <w:shd w:val="clear" w:fill="FBE9E7"/>
          </w:tcPr>
          <w:p>
            <w:r/>
            <w:r>
              <w:rPr>
                <w:rFonts w:ascii="Arial" w:hAnsi="Arial"/>
                <w:b/>
                <w:color w:val="C2410C"/>
                <w:sz w:val="20"/>
              </w:rPr>
              <w:t xml:space="preserve">Needs someone — </w:t>
            </w:r>
            <w:r>
              <w:rPr>
                <w:rFonts w:ascii="Arial" w:hAnsi="Arial"/>
                <w:color w:val="1A1410"/>
                <w:sz w:val="20"/>
              </w:rPr>
              <w:t>The weekly backup job for the Proximate data still has not run. The live fund holds 62 real partners and roughly 100 documents. The job exists and is correct; it needs someone with GitHub access to enable it, and it is a ten-minute task. This remains the highest-value open item on the list.</w:t>
            </w:r>
          </w:p>
        </w:tc>
      </w:tr>
    </w:tbl>
    <w:p>
      <w:pPr>
        <w:spacing w:after="40"/>
      </w:pPr>
    </w:p>
    <w:p>
      <w:pPr>
        <w:spacing w:after="160"/>
      </w:pPr>
      <w:r>
        <w:rPr>
          <w:rFonts w:ascii="Arial" w:hAnsi="Arial"/>
          <w:b w:val="0"/>
          <w:i w:val="0"/>
          <w:color w:val="1A1410"/>
          <w:sz w:val="21"/>
        </w:rPr>
        <w:t>These items are not code and were not part of this wave. They stand as they did in the 24 July update; none was revisited here.</w:t>
      </w:r>
    </w:p>
    <w:tbl>
      <w:tblPr>
        <w:tblStyle w:val="TableGrid"/>
        <w:tblW w:type="auto" w:w="0"/>
        <w:tblLook w:firstColumn="1" w:firstRow="1" w:lastColumn="0" w:lastRow="0" w:noHBand="0" w:noVBand="1" w:val="04A0"/>
      </w:tblPr>
      <w:tblGrid>
        <w:gridCol w:w="2880"/>
        <w:gridCol w:w="2880"/>
        <w:gridCol w:w="2880"/>
      </w:tblGrid>
      <w:tr>
        <w:tc>
          <w:tcPr>
            <w:tcW w:type="dxa" w:w="3024"/>
            <w:shd w:val="clear" w:fill="7C2D12"/>
          </w:tcPr>
          <w:p>
            <w:pPr>
              <w:spacing w:after="40"/>
            </w:pPr>
            <w:r/>
            <w:r>
              <w:rPr>
                <w:rFonts w:ascii="Arial" w:hAnsi="Arial"/>
                <w:b/>
                <w:color w:val="FFFFFF"/>
                <w:sz w:val="20"/>
              </w:rPr>
              <w:t>Item</w:t>
            </w:r>
          </w:p>
        </w:tc>
        <w:tc>
          <w:tcPr>
            <w:tcW w:type="dxa" w:w="1584"/>
            <w:shd w:val="clear" w:fill="7C2D12"/>
          </w:tcPr>
          <w:p>
            <w:pPr>
              <w:spacing w:after="40"/>
            </w:pPr>
            <w:r/>
            <w:r>
              <w:rPr>
                <w:rFonts w:ascii="Arial" w:hAnsi="Arial"/>
                <w:b/>
                <w:color w:val="FFFFFF"/>
                <w:sz w:val="20"/>
              </w:rPr>
              <w:t>Who</w:t>
            </w:r>
          </w:p>
        </w:tc>
        <w:tc>
          <w:tcPr>
            <w:tcW w:type="dxa" w:w="5184"/>
            <w:shd w:val="clear" w:fill="7C2D12"/>
          </w:tcPr>
          <w:p>
            <w:pPr>
              <w:spacing w:after="40"/>
            </w:pPr>
            <w:r/>
            <w:r>
              <w:rPr>
                <w:rFonts w:ascii="Arial" w:hAnsi="Arial"/>
                <w:b/>
                <w:color w:val="FFFFFF"/>
                <w:sz w:val="20"/>
              </w:rPr>
              <w:t>Detail</w:t>
            </w:r>
          </w:p>
        </w:tc>
      </w:tr>
      <w:tr>
        <w:tc>
          <w:tcPr>
            <w:tcW w:type="dxa" w:w="3024"/>
          </w:tcPr>
          <w:p>
            <w:pPr>
              <w:spacing w:after="40"/>
            </w:pPr>
            <w:r/>
            <w:r>
              <w:rPr>
                <w:rFonts w:ascii="Arial" w:hAnsi="Arial"/>
                <w:b w:val="0"/>
                <w:color w:val="1A1410"/>
                <w:sz w:val="20"/>
              </w:rPr>
              <w:t>Weekly backup has never run</w:t>
            </w:r>
          </w:p>
        </w:tc>
        <w:tc>
          <w:tcPr>
            <w:tcW w:type="dxa" w:w="1584"/>
          </w:tcPr>
          <w:p>
            <w:pPr>
              <w:spacing w:after="40"/>
            </w:pPr>
            <w:r/>
            <w:r>
              <w:rPr>
                <w:rFonts w:ascii="Arial" w:hAnsi="Arial"/>
                <w:b w:val="0"/>
                <w:color w:val="1A1410"/>
                <w:sz w:val="20"/>
              </w:rPr>
              <w:t>IT / GitHub</w:t>
            </w:r>
          </w:p>
        </w:tc>
        <w:tc>
          <w:tcPr>
            <w:tcW w:type="dxa" w:w="5184"/>
          </w:tcPr>
          <w:p>
            <w:pPr>
              <w:spacing w:after="40"/>
            </w:pPr>
            <w:r/>
            <w:r>
              <w:rPr>
                <w:rFonts w:ascii="Arial" w:hAnsi="Arial"/>
                <w:b w:val="0"/>
                <w:color w:val="1A1410"/>
                <w:sz w:val="20"/>
              </w:rPr>
              <w:t>The job is written and correct but absent from the run history — unstarted, not failing. 62 real partners and ~100 documents currently unbacked-up.</w:t>
            </w:r>
          </w:p>
        </w:tc>
      </w:tr>
      <w:tr>
        <w:tc>
          <w:tcPr>
            <w:tcW w:type="dxa" w:w="3024"/>
          </w:tcPr>
          <w:p>
            <w:pPr>
              <w:spacing w:after="40"/>
            </w:pPr>
            <w:r/>
            <w:r>
              <w:rPr>
                <w:rFonts w:ascii="Arial" w:hAnsi="Arial"/>
                <w:b w:val="0"/>
                <w:color w:val="1A1410"/>
                <w:sz w:val="20"/>
              </w:rPr>
              <w:t>Full sanctions sweep has never run</w:t>
            </w:r>
          </w:p>
        </w:tc>
        <w:tc>
          <w:tcPr>
            <w:tcW w:type="dxa" w:w="1584"/>
          </w:tcPr>
          <w:p>
            <w:pPr>
              <w:spacing w:after="40"/>
            </w:pPr>
            <w:r/>
            <w:r>
              <w:rPr>
                <w:rFonts w:ascii="Arial" w:hAnsi="Arial"/>
                <w:b w:val="0"/>
                <w:color w:val="1A1410"/>
                <w:sz w:val="20"/>
              </w:rPr>
              <w:t>IT / GitHub</w:t>
            </w:r>
          </w:p>
        </w:tc>
        <w:tc>
          <w:tcPr>
            <w:tcW w:type="dxa" w:w="5184"/>
          </w:tcPr>
          <w:p>
            <w:pPr>
              <w:spacing w:after="40"/>
            </w:pPr>
            <w:r/>
            <w:r>
              <w:rPr>
                <w:rFonts w:ascii="Arial" w:hAnsi="Arial"/>
                <w:b w:val="0"/>
                <w:color w:val="1A1410"/>
                <w:sz w:val="20"/>
              </w:rPr>
              <w:t>The Monday re-screen does run; the full sweep does not.</w:t>
            </w:r>
          </w:p>
        </w:tc>
      </w:tr>
      <w:tr>
        <w:tc>
          <w:tcPr>
            <w:tcW w:type="dxa" w:w="3024"/>
          </w:tcPr>
          <w:p>
            <w:pPr>
              <w:spacing w:after="40"/>
            </w:pPr>
            <w:r/>
            <w:r>
              <w:rPr>
                <w:rFonts w:ascii="Arial" w:hAnsi="Arial"/>
                <w:b w:val="0"/>
                <w:color w:val="1A1410"/>
                <w:sz w:val="20"/>
              </w:rPr>
              <w:t>Outbound email not configured</w:t>
            </w:r>
          </w:p>
        </w:tc>
        <w:tc>
          <w:tcPr>
            <w:tcW w:type="dxa" w:w="1584"/>
          </w:tcPr>
          <w:p>
            <w:pPr>
              <w:spacing w:after="40"/>
            </w:pPr>
            <w:r/>
            <w:r>
              <w:rPr>
                <w:rFonts w:ascii="Arial" w:hAnsi="Arial"/>
                <w:b w:val="0"/>
                <w:color w:val="1A1410"/>
                <w:sz w:val="20"/>
              </w:rPr>
              <w:t>IT</w:t>
            </w:r>
          </w:p>
        </w:tc>
        <w:tc>
          <w:tcPr>
            <w:tcW w:type="dxa" w:w="5184"/>
          </w:tcPr>
          <w:p>
            <w:pPr>
              <w:spacing w:after="40"/>
            </w:pPr>
            <w:r/>
            <w:r>
              <w:rPr>
                <w:rFonts w:ascii="Arial" w:hAnsi="Arial"/>
                <w:b w:val="0"/>
                <w:color w:val="1A1410"/>
                <w:sz w:val="20"/>
              </w:rPr>
              <w:t>No SMTP or SendGrid on the production service. Anything the system would send by email goes nowhere. WhatsApp and SMS are unaffected and work.</w:t>
            </w:r>
          </w:p>
        </w:tc>
      </w:tr>
      <w:tr>
        <w:tc>
          <w:tcPr>
            <w:tcW w:type="dxa" w:w="3024"/>
          </w:tcPr>
          <w:p>
            <w:pPr>
              <w:spacing w:after="40"/>
            </w:pPr>
            <w:r/>
            <w:r>
              <w:rPr>
                <w:rFonts w:ascii="Arial" w:hAnsi="Arial"/>
                <w:b w:val="0"/>
                <w:color w:val="1A1410"/>
                <w:sz w:val="20"/>
              </w:rPr>
              <w:t>WhatsApp templates pending</w:t>
            </w:r>
          </w:p>
        </w:tc>
        <w:tc>
          <w:tcPr>
            <w:tcW w:type="dxa" w:w="1584"/>
          </w:tcPr>
          <w:p>
            <w:pPr>
              <w:spacing w:after="40"/>
            </w:pPr>
            <w:r/>
            <w:r>
              <w:rPr>
                <w:rFonts w:ascii="Arial" w:hAnsi="Arial"/>
                <w:b w:val="0"/>
                <w:color w:val="1A1410"/>
                <w:sz w:val="20"/>
              </w:rPr>
              <w:t>Meta</w:t>
            </w:r>
          </w:p>
        </w:tc>
        <w:tc>
          <w:tcPr>
            <w:tcW w:type="dxa" w:w="5184"/>
          </w:tcPr>
          <w:p>
            <w:pPr>
              <w:spacing w:after="40"/>
            </w:pPr>
            <w:r/>
            <w:r>
              <w:rPr>
                <w:rFonts w:ascii="Arial" w:hAnsi="Arial"/>
                <w:b w:val="0"/>
                <w:color w:val="1A1410"/>
                <w:sz w:val="20"/>
              </w:rPr>
              <w:t>The sender number is live and messaging works. Six utility templates still await Meta approval; until they clear, some automated sends fall back to SMS.</w:t>
            </w:r>
          </w:p>
        </w:tc>
      </w:tr>
      <w:tr>
        <w:tc>
          <w:tcPr>
            <w:tcW w:type="dxa" w:w="3024"/>
          </w:tcPr>
          <w:p>
            <w:pPr>
              <w:spacing w:after="40"/>
            </w:pPr>
            <w:r/>
            <w:r>
              <w:rPr>
                <w:rFonts w:ascii="Arial" w:hAnsi="Arial"/>
                <w:b w:val="0"/>
                <w:color w:val="1A1410"/>
                <w:sz w:val="20"/>
              </w:rPr>
              <w:t>Object storage not configured</w:t>
            </w:r>
          </w:p>
        </w:tc>
        <w:tc>
          <w:tcPr>
            <w:tcW w:type="dxa" w:w="1584"/>
          </w:tcPr>
          <w:p>
            <w:pPr>
              <w:spacing w:after="40"/>
            </w:pPr>
            <w:r/>
            <w:r>
              <w:rPr>
                <w:rFonts w:ascii="Arial" w:hAnsi="Arial"/>
                <w:b w:val="0"/>
                <w:color w:val="1A1410"/>
                <w:sz w:val="20"/>
              </w:rPr>
              <w:t>IT</w:t>
            </w:r>
          </w:p>
        </w:tc>
        <w:tc>
          <w:tcPr>
            <w:tcW w:type="dxa" w:w="5184"/>
          </w:tcPr>
          <w:p>
            <w:pPr>
              <w:spacing w:after="40"/>
            </w:pPr>
            <w:r/>
            <w:r>
              <w:rPr>
                <w:rFonts w:ascii="Arial" w:hAnsi="Arial"/>
                <w:b w:val="0"/>
                <w:color w:val="1A1410"/>
                <w:sz w:val="20"/>
              </w:rPr>
              <w:t>Uploaded documents and evidence photos sit on the service’s own disk rather than in object storage. It works, but is not where this should sit long term.</w:t>
            </w:r>
          </w:p>
        </w:tc>
      </w:tr>
    </w:tbl>
    <w:p>
      <w:pPr>
        <w:spacing w:after="40"/>
      </w:pPr>
    </w:p>
    <w:p>
      <w:pPr>
        <w:pStyle w:val="Heading1"/>
      </w:pPr>
      <w:r>
        <w:t>What this wave adds to that list</w:t>
      </w:r>
    </w:p>
    <w:tbl>
      <w:tblPr>
        <w:tblStyle w:val="TableGrid"/>
        <w:tblW w:type="auto" w:w="0"/>
        <w:tblLook w:firstColumn="1" w:firstRow="1" w:lastColumn="0" w:lastRow="0" w:noHBand="0" w:noVBand="1" w:val="04A0"/>
      </w:tblPr>
      <w:tblGrid>
        <w:gridCol w:w="2880"/>
        <w:gridCol w:w="2880"/>
        <w:gridCol w:w="2880"/>
      </w:tblGrid>
      <w:tr>
        <w:tc>
          <w:tcPr>
            <w:tcW w:type="dxa" w:w="3024"/>
            <w:shd w:val="clear" w:fill="7C2D12"/>
          </w:tcPr>
          <w:p>
            <w:pPr>
              <w:spacing w:after="40"/>
            </w:pPr>
            <w:r/>
            <w:r>
              <w:rPr>
                <w:rFonts w:ascii="Arial" w:hAnsi="Arial"/>
                <w:b/>
                <w:color w:val="FFFFFF"/>
                <w:sz w:val="20"/>
              </w:rPr>
              <w:t>Item</w:t>
            </w:r>
          </w:p>
        </w:tc>
        <w:tc>
          <w:tcPr>
            <w:tcW w:type="dxa" w:w="1584"/>
            <w:shd w:val="clear" w:fill="7C2D12"/>
          </w:tcPr>
          <w:p>
            <w:pPr>
              <w:spacing w:after="40"/>
            </w:pPr>
            <w:r/>
            <w:r>
              <w:rPr>
                <w:rFonts w:ascii="Arial" w:hAnsi="Arial"/>
                <w:b/>
                <w:color w:val="FFFFFF"/>
                <w:sz w:val="20"/>
              </w:rPr>
              <w:t>Who</w:t>
            </w:r>
          </w:p>
        </w:tc>
        <w:tc>
          <w:tcPr>
            <w:tcW w:type="dxa" w:w="5184"/>
            <w:shd w:val="clear" w:fill="7C2D12"/>
          </w:tcPr>
          <w:p>
            <w:pPr>
              <w:spacing w:after="40"/>
            </w:pPr>
            <w:r/>
            <w:r>
              <w:rPr>
                <w:rFonts w:ascii="Arial" w:hAnsi="Arial"/>
                <w:b/>
                <w:color w:val="FFFFFF"/>
                <w:sz w:val="20"/>
              </w:rPr>
              <w:t>Detail</w:t>
            </w:r>
          </w:p>
        </w:tc>
      </w:tr>
      <w:tr>
        <w:tc>
          <w:tcPr>
            <w:tcW w:type="dxa" w:w="3024"/>
          </w:tcPr>
          <w:p>
            <w:pPr>
              <w:spacing w:after="40"/>
            </w:pPr>
            <w:r/>
            <w:r>
              <w:rPr>
                <w:rFonts w:ascii="Arial" w:hAnsi="Arial"/>
                <w:b w:val="0"/>
                <w:color w:val="1A1410"/>
                <w:sz w:val="20"/>
              </w:rPr>
              <w:t>Re-test the two things you raised</w:t>
            </w:r>
          </w:p>
        </w:tc>
        <w:tc>
          <w:tcPr>
            <w:tcW w:type="dxa" w:w="1584"/>
          </w:tcPr>
          <w:p>
            <w:pPr>
              <w:spacing w:after="40"/>
            </w:pPr>
            <w:r/>
            <w:r>
              <w:rPr>
                <w:rFonts w:ascii="Arial" w:hAnsi="Arial"/>
                <w:b w:val="0"/>
                <w:color w:val="1A1410"/>
                <w:sz w:val="20"/>
              </w:rPr>
              <w:t>Proximate</w:t>
            </w:r>
          </w:p>
        </w:tc>
        <w:tc>
          <w:tcPr>
            <w:tcW w:type="dxa" w:w="5184"/>
          </w:tcPr>
          <w:p>
            <w:pPr>
              <w:spacing w:after="40"/>
            </w:pPr>
            <w:r/>
            <w:r>
              <w:rPr>
                <w:rFonts w:ascii="Arial" w:hAnsi="Arial"/>
                <w:b w:val="0"/>
                <w:color w:val="1A1410"/>
                <w:sz w:val="20"/>
              </w:rPr>
              <w:t>Open the audit chain signed in as a donor — you should now see “access restricted”, not a download. Raise a disbursement from a round — the partner list should be scoped to that round’s awards, with the readiness checklist.</w:t>
            </w:r>
          </w:p>
        </w:tc>
      </w:tr>
      <w:tr>
        <w:tc>
          <w:tcPr>
            <w:tcW w:type="dxa" w:w="3024"/>
          </w:tcPr>
          <w:p>
            <w:pPr>
              <w:spacing w:after="40"/>
            </w:pPr>
            <w:r/>
            <w:r>
              <w:rPr>
                <w:rFonts w:ascii="Arial" w:hAnsi="Arial"/>
                <w:b w:val="0"/>
                <w:color w:val="1A1410"/>
                <w:sz w:val="20"/>
              </w:rPr>
              <w:t>Native Sudanese-Arabic read</w:t>
            </w:r>
          </w:p>
        </w:tc>
        <w:tc>
          <w:tcPr>
            <w:tcW w:type="dxa" w:w="1584"/>
          </w:tcPr>
          <w:p>
            <w:pPr>
              <w:spacing w:after="40"/>
            </w:pPr>
            <w:r/>
            <w:r>
              <w:rPr>
                <w:rFonts w:ascii="Arial" w:hAnsi="Arial"/>
                <w:b w:val="0"/>
                <w:color w:val="1A1410"/>
                <w:sz w:val="20"/>
              </w:rPr>
              <w:t>Proximate</w:t>
            </w:r>
          </w:p>
        </w:tc>
        <w:tc>
          <w:tcPr>
            <w:tcW w:type="dxa" w:w="5184"/>
          </w:tcPr>
          <w:p>
            <w:pPr>
              <w:spacing w:after="40"/>
            </w:pPr>
            <w:r/>
            <w:r>
              <w:rPr>
                <w:rFonts w:ascii="Arial" w:hAnsi="Arial"/>
                <w:b w:val="0"/>
                <w:color w:val="1A1410"/>
                <w:sz w:val="20"/>
              </w:rPr>
              <w:t>The Arabic set is now much larger than the 187 strings noted last time. It is properly translated but has not yet been read by a native speaker. The Arabic partner guide is in the same position.</w:t>
            </w:r>
          </w:p>
        </w:tc>
      </w:tr>
    </w:tbl>
    <w:p>
      <w:pPr>
        <w:spacing w:after="40"/>
      </w:pPr>
    </w:p>
    <w:p>
      <w:pPr>
        <w:pStyle w:val="Heading1"/>
      </w:pPr>
      <w:r>
        <w:t>How this was checked</w:t>
      </w:r>
    </w:p>
    <w:p>
      <w:pPr>
        <w:pStyle w:val="ListBullet"/>
        <w:spacing w:after="80"/>
      </w:pPr>
      <w:r>
        <w:rPr>
          <w:rFonts w:ascii="Arial" w:hAnsi="Arial"/>
          <w:color w:val="1A1410"/>
          <w:sz w:val="21"/>
        </w:rPr>
        <w:t>The security matrix (25 checks) passes: a donor and a platform administrator are refused on both reading and exporting the audit chain — including the exact “Export chain” action from your review — while the Oversight Body is allowed. Full regression, 117 of 117.</w:t>
      </w:r>
    </w:p>
    <w:p>
      <w:pPr>
        <w:pStyle w:val="ListBullet"/>
        <w:spacing w:after="80"/>
      </w:pPr>
      <w:r>
        <w:rPr>
          <w:rFonts w:ascii="Arial" w:hAnsi="Arial"/>
          <w:color w:val="1A1410"/>
          <w:sz w:val="21"/>
        </w:rPr>
        <w:t>The disbursement screen was confirmed on the live site to scope its partner list to the round and to show the readiness checklist.</w:t>
      </w:r>
    </w:p>
    <w:p>
      <w:pPr>
        <w:pStyle w:val="ListBullet"/>
        <w:spacing w:after="80"/>
      </w:pPr>
      <w:r>
        <w:rPr>
          <w:rFonts w:ascii="Arial" w:hAnsi="Arial"/>
          <w:color w:val="1A1410"/>
          <w:sz w:val="21"/>
        </w:rPr>
        <w:t>Language: every screen compiles; 939 new strings are present in all six languages with no drift, and a check confirms every placeholder ({name}, {amount}, and so on) survived translation intact. The live site was confirmed to be serving the new Arabic text, and loads with no errors.</w:t>
      </w:r>
    </w:p>
    <w:p>
      <w:pPr>
        <w:spacing w:after="160" w:before="80"/>
      </w:pPr>
      <w:r>
        <w:rPr>
          <w:rFonts w:ascii="Arial" w:hAnsi="Arial"/>
          <w:b w:val="0"/>
          <w:i w:val="0"/>
          <w:color w:val="57534E"/>
          <w:sz w:val="20"/>
        </w:rPr>
        <w:t>Deployed and running as build ae7db8ec2 — the workflow fixes and the language completion. A documentation-only commit (f9d02398) sits on top.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Arial" w:hAnsi="Arial"/>
      <w:color w:val="1A141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C2410C"/>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41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