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32"/>
        </w:rPr>
        <w:t>Platform Update — QA Fixes, Cleaner Pages, and the QCF Grant Goes Live</w:t>
      </w:r>
    </w:p>
    <w:p>
      <w:pPr>
        <w:spacing w:after="160"/>
      </w:pPr>
      <w:r>
        <w:rPr>
          <w:i/>
          <w:color w:val="555555"/>
          <w:sz w:val="19"/>
        </w:rPr>
        <w:t>Everything shipped 15–16 July 2026  ·  all changes live and verified in production</w:t>
      </w:r>
    </w:p>
    <w:p>
      <w:pPr>
        <w:spacing w:before="240" w:after="60"/>
      </w:pPr>
      <w:r>
        <w:rPr>
          <w:b/>
          <w:color w:val="C2410C"/>
          <w:sz w:val="26"/>
        </w:rPr>
        <w:t>Summary</w:t>
      </w:r>
    </w:p>
    <w:p>
      <w:pPr>
        <w:spacing w:after="80"/>
      </w:pPr>
      <w:r>
        <w:t>Two days, four workstreams: the QA team’s findings were all fixed; the two busiest screens were redesigned after feedback; the real $2M QCF grant that funds the Proximate pilot is now fully in the system and tied to the Blue Nile round; and QCF has its own donor portal login where it can watch the round and download its reports. The Blue Nile round now has money, a donor, a panel roster, and 62 partner organizations — the endorsement pipeline is the remaining step before disbursements.</w:t>
      </w:r>
    </w:p>
    <w:p>
      <w:pPr>
        <w:spacing w:before="240" w:after="60"/>
      </w:pPr>
      <w:r>
        <w:rPr>
          <w:b/>
          <w:color w:val="C2410C"/>
          <w:sz w:val="26"/>
        </w:rPr>
        <w:t>1. All QA findings fixed</w:t>
      </w:r>
    </w:p>
    <w:p>
      <w:pPr>
        <w:pStyle w:val="ListBullet"/>
        <w:spacing w:after="40"/>
      </w:pPr>
      <w:r>
        <w:rPr>
          <w:b/>
        </w:rPr>
        <w:t xml:space="preserve">Search crash (High): </w:t>
      </w:r>
      <w:r>
        <w:t>the global search palette took the page down on first click. Root-caused to a shared dialog component and fixed — verified working with zero console errors.</w:t>
      </w:r>
    </w:p>
    <w:p>
      <w:pPr>
        <w:pStyle w:val="ListBullet"/>
        <w:spacing w:after="40"/>
      </w:pPr>
      <w:r>
        <w:rPr>
          <w:b/>
        </w:rPr>
        <w:t xml:space="preserve">Dark mode (Medium): </w:t>
      </w:r>
      <w:r>
        <w:t>login and public pages could never go dark because the theme was only applied by a button inside the app. Dark mode now applies on every page at first paint.</w:t>
      </w:r>
    </w:p>
    <w:p>
      <w:pPr>
        <w:pStyle w:val="ListBullet"/>
        <w:spacing w:after="40"/>
      </w:pPr>
      <w:r>
        <w:rPr>
          <w:b/>
        </w:rPr>
        <w:t xml:space="preserve">Translations (Medium): </w:t>
      </w:r>
      <w:r>
        <w:t>all public and partner-facing pages were already translated — QA had hit internal admin consoles. The Partners console is now translated in all six languages (2,788 strings each); the remaining admin screens are listed in the backlog, user-facing ones first.</w:t>
      </w:r>
    </w:p>
    <w:p>
      <w:pPr>
        <w:pStyle w:val="ListBullet"/>
        <w:spacing w:after="40"/>
      </w:pPr>
      <w:r>
        <w:rPr>
          <w:b/>
        </w:rPr>
        <w:t xml:space="preserve">The four “API-only” features: </w:t>
      </w:r>
      <w:r>
        <w:t>Nominate Partner and donor Follow buttons were built; FSP registration and Assign Verifier already existed — the QA test pack should be refreshed.</w:t>
      </w:r>
    </w:p>
    <w:p>
      <w:pPr>
        <w:spacing w:after="40"/>
      </w:pPr>
      <w:r>
        <w:t>Details in: QA_Fixes_Search_DarkMode_Translations_2026-07-15.docx</w:t>
      </w:r>
    </w:p>
    <w:p>
      <w:pPr>
        <w:spacing w:before="240" w:after="60"/>
      </w:pPr>
      <w:r>
        <w:rPr>
          <w:b/>
          <w:color w:val="C2410C"/>
          <w:sz w:val="26"/>
        </w:rPr>
        <w:t>2. Cleaner grant and round pages (feedback: “too busy”)</w:t>
      </w:r>
    </w:p>
    <w:p>
      <w:pPr>
        <w:pStyle w:val="ListBullet"/>
        <w:spacing w:after="40"/>
      </w:pPr>
      <w:r>
        <w:rPr>
          <w:b/>
        </w:rPr>
        <w:t xml:space="preserve">Round activity: </w:t>
      </w:r>
      <w:r>
        <w:t>the card that showed hundreds of raw system codes now rolls activity up into readable counts (“Evidence file attached ×98”) plus the six most recent events in plain English. Every system event now has a human-readable label.</w:t>
      </w:r>
    </w:p>
    <w:p>
      <w:pPr>
        <w:pStyle w:val="ListBullet"/>
        <w:spacing w:after="40"/>
      </w:pPr>
      <w:r>
        <w:rPr>
          <w:b/>
        </w:rPr>
        <w:t xml:space="preserve">Grant page: </w:t>
      </w:r>
      <w:r>
        <w:t>the raw AI-extraction data is collapsed behind a single line (click to inspect), and empty sections take one quiet line instead of a tall box.</w:t>
      </w:r>
    </w:p>
    <w:p>
      <w:pPr>
        <w:spacing w:before="240" w:after="60"/>
      </w:pPr>
      <w:r>
        <w:rPr>
          <w:b/>
          <w:color w:val="C2410C"/>
          <w:sz w:val="26"/>
        </w:rPr>
        <w:t>3. The QCF grant is fully in the system</w:t>
      </w:r>
    </w:p>
    <w:p>
      <w:pPr>
        <w:spacing w:after="80"/>
      </w:pPr>
      <w:r>
        <w:t>The signed agreement with Quadrature Climate Foundation (via Myriad USA, ref 01-21-000480) was uploaded and the system’s AI read the contract — every extracted term was checked against the document before saving:</w:t>
      </w:r>
    </w:p>
    <w:p>
      <w:pPr>
        <w:pStyle w:val="ListBullet"/>
        <w:spacing w:after="40"/>
      </w:pPr>
      <w:r>
        <w:rPr>
          <w:b/>
        </w:rPr>
        <w:t xml:space="preserve">$2,000,000 over two years </w:t>
      </w:r>
      <w:r>
        <w:t>(1 May 2025 – 30 Apr 2027), annual reporting, signed PDF attached to the record.</w:t>
      </w:r>
    </w:p>
    <w:p>
      <w:pPr>
        <w:pStyle w:val="ListBullet"/>
        <w:spacing w:after="40"/>
      </w:pPr>
      <w:r>
        <w:rPr>
          <w:b/>
        </w:rPr>
        <w:t xml:space="preserve">Money fully received: </w:t>
      </w:r>
      <w:r>
        <w:t>payment 1 ($1,138,605, Jul 2025) and payment 2 ($861,395, 10 Jul 2026) are both recorded — $0 outstanding from the donor.</w:t>
      </w:r>
    </w:p>
    <w:p>
      <w:pPr>
        <w:pStyle w:val="ListBullet"/>
        <w:spacing w:after="40"/>
      </w:pPr>
      <w:r>
        <w:rPr>
          <w:b/>
        </w:rPr>
        <w:t xml:space="preserve">First report on record: </w:t>
      </w:r>
      <w:r>
        <w:t>the annual narrative + financial report (due 31 May 2026) was completed before this record existed; it is logged as submitted, marked retroactive, and the audit chain says so honestly. When QCF acknowledges it, one click moves it to accepted; attach the sent PDF when a copy is at hand.</w:t>
      </w:r>
    </w:p>
    <w:p>
      <w:pPr>
        <w:pStyle w:val="ListBullet"/>
        <w:spacing w:after="40"/>
      </w:pPr>
      <w:r>
        <w:rPr>
          <w:b/>
        </w:rPr>
        <w:t xml:space="preserve">Deliverables tracked: </w:t>
      </w:r>
      <w:r>
        <w:t>the agreement’s own targets (50 mutual aid groups in Year 1, 200+ by Year 3, $5M additional funding, and more) now sit on the grant page and will be measured against live system data.</w:t>
      </w:r>
    </w:p>
    <w:p>
      <w:pPr>
        <w:pStyle w:val="ListBullet"/>
        <w:spacing w:after="40"/>
      </w:pPr>
      <w:r>
        <w:rPr>
          <w:b/>
        </w:rPr>
        <w:t xml:space="preserve">Compliance terms captured: </w:t>
      </w:r>
      <w:r>
        <w:t>the AI also extracted 15 obligations worth knowing — sanctions screening on all partners (the system already does this automatically), separate accounts, 7-year record retention, a 20% cap on moving budget between categories without QCF consent, and prior written consent for any use of QCF’s name or logo.</w:t>
      </w:r>
    </w:p>
    <w:p>
      <w:pPr>
        <w:pStyle w:val="ListBullet"/>
        <w:spacing w:after="40"/>
      </w:pPr>
      <w:r>
        <w:rPr>
          <w:b/>
        </w:rPr>
        <w:t xml:space="preserve">Tied to Blue Nile: </w:t>
      </w:r>
      <w:r>
        <w:t>the full $2M is allocated to the Blue Nile Cycle. When later rounds draw on this grant, the allocation gets split — the note on the record says so.</w:t>
      </w:r>
    </w:p>
    <w:p>
      <w:pPr>
        <w:spacing w:before="240" w:after="60"/>
      </w:pPr>
      <w:r>
        <w:rPr>
          <w:b/>
          <w:color w:val="C2410C"/>
          <w:sz w:val="26"/>
        </w:rPr>
        <w:t>4. QCF has its own window into the round</w:t>
      </w:r>
    </w:p>
    <w:p>
      <w:pPr>
        <w:spacing w:after="80"/>
      </w:pPr>
      <w:r>
        <w:t>A donor login was created for QCF (grants@qc.foundation — credentials shared with Idiris separately; QCF should change the password on first sign-in). Logged in as QCF, we verified they see exactly what a donor should:</w:t>
      </w:r>
    </w:p>
    <w:p>
      <w:pPr>
        <w:pStyle w:val="ListBullet"/>
        <w:spacing w:after="40"/>
      </w:pPr>
      <w:r>
        <w:rPr>
          <w:b/>
        </w:rPr>
        <w:t xml:space="preserve">Their portal </w:t>
      </w:r>
      <w:r>
        <w:t>shows the $2M committed envelope, the Blue Nile round they are following, live progress (disbursed, partners served, attestation rate), and one-click access to the round report and closing PDF — the donor report the system builds from real round data with a tamper-evidence anchor embedded.</w:t>
      </w:r>
    </w:p>
    <w:p>
      <w:pPr>
        <w:pStyle w:val="ListBullet"/>
        <w:spacing w:after="40"/>
      </w:pPr>
      <w:r>
        <w:rPr>
          <w:b/>
        </w:rPr>
        <w:t xml:space="preserve">And nothing more: </w:t>
      </w:r>
      <w:r>
        <w:t>donors cannot see partner bank details, intake forms, or internal due-diligence notes. That boundary is enforced on the server and re-tested on every release.</w:t>
      </w:r>
    </w:p>
    <w:p>
      <w:pPr>
        <w:spacing w:before="240" w:after="60"/>
      </w:pPr>
      <w:r>
        <w:rPr>
          <w:b/>
          <w:color w:val="C2410C"/>
          <w:sz w:val="26"/>
        </w:rPr>
        <w:t>What happens next</w:t>
      </w:r>
    </w:p>
    <w:p>
      <w:pPr>
        <w:spacing w:after="40"/>
      </w:pPr>
      <w:r>
        <w:t>The round is funded and the donor is watching — the remaining work is the partner pipeline: recruit community endorsers (the long pole), collect two conflict-of-interest-clear endorsements per partner, clear due diligence, verify payment routes, and start disbursing. The step-by-step guide with screenshots is in Blue_Nile_OB_Runbook_2026-07-15.docx.</w:t>
      </w:r>
    </w:p>
    <w:p>
      <w:pPr>
        <w:spacing w:before="200"/>
      </w:pPr>
      <w:r>
        <w:rPr>
          <w:b/>
          <w:color w:val="1B7A3D"/>
          <w:sz w:val="21"/>
        </w:rPr>
        <w:t>Bottom line: the QA slate is clean, the noisiest screens are readable, and for the first time the full chain is live in one system — donor agreement → funding → round → 62 partners → donor visibility. Money can start moving as soon as partners clear endorsement.</w:t>
      </w:r>
    </w:p>
    <w:p>
      <w:pPr>
        <w:spacing w:before="200"/>
      </w:pPr>
      <w:r>
        <w:rPr>
          <w:i/>
          <w:color w:val="555555"/>
          <w:sz w:val="16"/>
        </w:rPr>
        <w:t>Production builds fae8d2eba + d85f388e2 · regression gate 89/89 · every change verified live · all records on the tamper-evident audit chain · prepared by the engineering team, 16 July 2026.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