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30"/>
        </w:rPr>
        <w:t>Blue Nile Cycle — From Nominated to Funded</w:t>
      </w:r>
    </w:p>
    <w:p>
      <w:pPr>
        <w:spacing w:after="120"/>
      </w:pPr>
      <w:r>
        <w:rPr>
          <w:i/>
          <w:color w:val="555555"/>
          <w:sz w:val="18"/>
        </w:rPr>
        <w:t>One-page Oversight Body runbook  ·  the system enforces this order, so it is also the order of work  ·  15 July 2026</w:t>
      </w:r>
    </w:p>
    <w:p>
      <w:pPr>
        <w:spacing w:before="140" w:after="20"/>
      </w:pPr>
      <w:r>
        <w:rPr>
          <w:b/>
          <w:color w:val="1F3864"/>
          <w:sz w:val="22"/>
        </w:rPr>
        <w:t>1.  Triage the register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Partners (sidebar) — the Partners console</w:t>
      </w:r>
    </w:p>
    <w:p>
      <w:pPr>
        <w:pStyle w:val="ListBullet"/>
        <w:spacing w:after="20"/>
      </w:pPr>
      <w:r>
        <w:rPr>
          <w:sz w:val="19"/>
        </w:rPr>
        <w:t>Collect Partner Information Forms for the 22 name-only orgs and drop them on "Import PIFs" (each becomes a full record automatically), or park those orgs for a later round.</w:t>
      </w:r>
    </w:p>
    <w:p>
      <w:pPr>
        <w:pStyle w:val="ListBullet"/>
        <w:spacing w:after="20"/>
      </w:pPr>
      <w:r>
        <w:rPr>
          <w:sz w:val="19"/>
        </w:rPr>
        <w:t>Chase the two PIFs with no readable bank section (Al Takafol, Soblasaw) and re-import.</w:t>
      </w:r>
    </w:p>
    <w:p>
      <w:pPr>
        <w:pStyle w:val="ListBullet"/>
        <w:spacing w:after="20"/>
      </w:pPr>
      <w:r>
        <w:rPr>
          <w:sz w:val="19"/>
        </w:rPr>
        <w:t>Settle the 6 possible duplicate name-pairs before endorsements attach to the wrong record.</w:t>
      </w:r>
    </w:p>
    <w:p>
      <w:pPr>
        <w:spacing w:before="140" w:after="20"/>
      </w:pPr>
      <w:r>
        <w:rPr>
          <w:b/>
          <w:color w:val="1F3864"/>
          <w:sz w:val="22"/>
        </w:rPr>
        <w:t>2.  Register and approve endorsers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Share /proximate/endorse/register with community members; approve under Endorsers (sidebar)</w:t>
      </w:r>
    </w:p>
    <w:p>
      <w:pPr>
        <w:pStyle w:val="ListBullet"/>
        <w:spacing w:after="20"/>
      </w:pPr>
      <w:r>
        <w:rPr>
          <w:sz w:val="19"/>
        </w:rPr>
        <w:t>Real community members from Kurmuk / Geisan / Damazin self-register (locality + conflict-of-interest self-disclosure).</w:t>
      </w:r>
    </w:p>
    <w:p>
      <w:pPr>
        <w:pStyle w:val="ListBullet"/>
        <w:spacing w:after="20"/>
      </w:pPr>
      <w:r>
        <w:rPr>
          <w:sz w:val="19"/>
        </w:rPr>
        <w:t>The OB reviews each pending endorser against their disclosed COI signals and approves or rejects with a reason.</w:t>
      </w:r>
    </w:p>
    <w:p>
      <w:pPr>
        <w:pStyle w:val="ListBullet"/>
        <w:spacing w:after="20"/>
      </w:pPr>
      <w:r>
        <w:rPr>
          <w:sz w:val="19"/>
        </w:rPr>
        <w:t>This is the round’s long pole — it is outreach work, not software work. Start it first.</w:t>
      </w:r>
    </w:p>
    <w:p>
      <w:pPr>
        <w:spacing w:before="140" w:after="20"/>
      </w:pPr>
      <w:r>
        <w:rPr>
          <w:b/>
          <w:color w:val="1F3864"/>
          <w:sz w:val="22"/>
        </w:rPr>
        <w:t>3.  Collect 2 endorsements per partner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Each partner’s page — endorsers answer 3 questions at the bottom</w:t>
      </w:r>
    </w:p>
    <w:p>
      <w:pPr>
        <w:pStyle w:val="ListBullet"/>
        <w:spacing w:after="20"/>
      </w:pPr>
      <w:r>
        <w:rPr>
          <w:sz w:val="19"/>
        </w:rPr>
        <w:t>Is the group real? Do you trust them with money? Would communities accept aid from them? (voice notes supported).</w:t>
      </w:r>
    </w:p>
    <w:p>
      <w:pPr>
        <w:pStyle w:val="ListBullet"/>
        <w:spacing w:after="20"/>
      </w:pPr>
      <w:r>
        <w:rPr>
          <w:sz w:val="19"/>
        </w:rPr>
        <w:t>Conflict-of-interest is checked automatically at submit; a partner needs 2 COI-clear endorsements to progress. Nothing else can bypass this gate.</w:t>
      </w:r>
    </w:p>
    <w:p>
      <w:pPr>
        <w:spacing w:before="140" w:after="20"/>
      </w:pPr>
      <w:r>
        <w:rPr>
          <w:b/>
          <w:color w:val="1F3864"/>
          <w:sz w:val="22"/>
        </w:rPr>
        <w:t>4.  Due-diligence clearance + payment route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Same partner page — evidence panels and Disbursement methods</w:t>
      </w:r>
    </w:p>
    <w:p>
      <w:pPr>
        <w:pStyle w:val="ListBullet"/>
        <w:spacing w:after="20"/>
      </w:pPr>
      <w:r>
        <w:rPr>
          <w:sz w:val="19"/>
        </w:rPr>
        <w:t>Review what is already there: sanctions screen (all 62 ran clear on import), sam.gov screenshots, media-verification verdict.</w:t>
      </w:r>
    </w:p>
    <w:p>
      <w:pPr>
        <w:pStyle w:val="ListBullet"/>
        <w:spacing w:after="20"/>
      </w:pPr>
      <w:r>
        <w:rPr>
          <w:sz w:val="19"/>
        </w:rPr>
        <w:t>Easiest first cohort: the 9 partners with a positive social footprint. No-footprint verdicts are normal for small CBOs — one extra check, not a rejection.</w:t>
      </w:r>
    </w:p>
    <w:p>
      <w:pPr>
        <w:pStyle w:val="ListBullet"/>
        <w:spacing w:after="20"/>
      </w:pPr>
      <w:r>
        <w:rPr>
          <w:sz w:val="19"/>
        </w:rPr>
        <w:t>Then "Add method" (bank / hawala / mobile money — the bank details are in each partner’s PIF on the same page) and run bank verification. Disbursement stays blocked until this is done.</w:t>
      </w:r>
    </w:p>
    <w:p>
      <w:pPr>
        <w:spacing w:before="140" w:after="20"/>
      </w:pPr>
      <w:r>
        <w:rPr>
          <w:b/>
          <w:color w:val="1F3864"/>
          <w:sz w:val="22"/>
        </w:rPr>
        <w:t>5.  Appoint the panel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Rounds &amp; disbursements → Blue Nile Cycle — Panel roster</w:t>
      </w:r>
    </w:p>
    <w:p>
      <w:pPr>
        <w:pStyle w:val="ListBullet"/>
        <w:spacing w:after="20"/>
      </w:pPr>
      <w:r>
        <w:rPr>
          <w:sz w:val="19"/>
        </w:rPr>
        <w:t>Move the 5 candidates (Hamdan, Ibrahim Saeed, Nahla Elbedry, Zahra Haidar, Shaima Ahmed) from candidate → vetted → appointed.</w:t>
      </w:r>
    </w:p>
    <w:p>
      <w:pPr>
        <w:spacing w:before="140" w:after="20"/>
      </w:pPr>
      <w:r>
        <w:rPr>
          <w:b/>
          <w:color w:val="1F3864"/>
          <w:sz w:val="22"/>
        </w:rPr>
        <w:t>6.  Fund the round and record disbursements</w:t>
      </w:r>
    </w:p>
    <w:p>
      <w:pPr>
        <w:spacing w:after="40"/>
      </w:pPr>
      <w:r>
        <w:rPr>
          <w:b/>
          <w:sz w:val="18"/>
        </w:rPr>
        <w:t xml:space="preserve">Where: </w:t>
      </w:r>
      <w:r>
        <w:rPr>
          <w:color w:val="C2410C"/>
          <w:sz w:val="18"/>
        </w:rPr>
        <w:t>Grants from donors (allocation) → All disbursements → Record a disbursement</w:t>
      </w:r>
    </w:p>
    <w:p>
      <w:pPr>
        <w:pStyle w:val="ListBullet"/>
        <w:spacing w:after="20"/>
      </w:pPr>
      <w:r>
        <w:rPr>
          <w:sz w:val="19"/>
        </w:rPr>
        <w:t>The Blue Nile round has no donor allocation yet — link a donor grant to it first.</w:t>
      </w:r>
    </w:p>
    <w:p>
      <w:pPr>
        <w:pStyle w:val="ListBullet"/>
        <w:spacing w:after="20"/>
      </w:pPr>
      <w:r>
        <w:rPr>
          <w:sz w:val="19"/>
        </w:rPr>
        <w:t>Each disbursement picks the partner’s verified route, sets a report window (default 14 days) and the ISF-gate attestation; amounts above $10k automatically require extra co-signatures.</w:t>
      </w:r>
    </w:p>
    <w:p>
      <w:pPr>
        <w:pStyle w:val="ListBullet"/>
        <w:spacing w:after="20"/>
      </w:pPr>
      <w:r>
        <w:rPr>
          <w:sz w:val="19"/>
        </w:rPr>
        <w:t>The partner gets a WhatsApp-friendly token link to report back — no login needed.</w:t>
      </w:r>
    </w:p>
    <w:p>
      <w:pPr>
        <w:spacing w:before="160"/>
      </w:pPr>
      <w:r>
        <w:rPr>
          <w:b/>
          <w:color w:val="1B7A3D"/>
          <w:sz w:val="20"/>
        </w:rPr>
        <w:t>Suggested first wave: run the 9 positive-footprint partners through steps 3–6 end to end before scaling to all 62. Every partner page shows a "why blocked" banner telling you the exact missing step.</w:t>
      </w:r>
      <w:r>
        <w:br w:type="page"/>
      </w:r>
    </w:p>
    <w:p>
      <w:pPr>
        <w:spacing w:before="0" w:after="40"/>
      </w:pPr>
      <w:r>
        <w:rPr>
          <w:b/>
          <w:color w:val="C2410C"/>
          <w:sz w:val="26"/>
        </w:rPr>
        <w:t>Visual guide — where each step lives</w:t>
      </w:r>
    </w:p>
    <w:p>
      <w:r>
        <w:rPr>
          <w:i/>
          <w:color w:val="555555"/>
          <w:sz w:val="17"/>
        </w:rPr>
        <w:t>Live production screenshots, taken as the Oversight Body seat on 15 July 2026. The partner shown in step 3/4 is a demo record — no real bank data appears here.</w:t>
      </w:r>
    </w:p>
    <w:p>
      <w:pPr>
        <w:spacing w:before="160" w:after="40"/>
      </w:pPr>
      <w:r>
        <w:rPr>
          <w:b/>
          <w:color w:val="1F3864"/>
          <w:sz w:val="21"/>
        </w:rPr>
        <w:t>Step 1 — Partners console — triage, "Import PIFs", "Nominate partner", status filters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artners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3864"/>
          <w:sz w:val="21"/>
        </w:rPr>
        <w:t>Step 2 — Endorser self-registration (share this link) …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endorser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3864"/>
          <w:sz w:val="21"/>
        </w:rPr>
        <w:t>Step 2 — … and the OB approval queue under "Endorsers"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endorser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3864"/>
          <w:sz w:val="21"/>
        </w:rPr>
        <w:t>Step 3+4 — Partner page — endorsements, disbursement methods ("Add method" + verified badge), media verification ("Record check"), due-diligence evidence upload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_payment_ro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3864"/>
          <w:sz w:val="21"/>
        </w:rPr>
        <w:t>Step 5 — Blue Nile round page — evidence pack and Panel roster with the 5 candidates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round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color w:val="1F3864"/>
          <w:sz w:val="21"/>
        </w:rPr>
        <w:t>Step 6 — "Record a disbursement" — partner, round, amount, report window, ISF-gate attestation</w:t>
      </w:r>
    </w:p>
    <w:p>
      <w:r>
        <w:drawing>
          <wp:inline xmlns:a="http://schemas.openxmlformats.org/drawingml/2006/main" xmlns:pic="http://schemas.openxmlformats.org/drawingml/2006/picture">
            <wp:extent cx="6309360" cy="4239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new_disburs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3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i/>
          <w:color w:val="555555"/>
          <w:sz w:val="16"/>
        </w:rPr>
        <w:t>Prepared by the engineering team · production build fae8d2eba · every action above is recorded on the tamper-evident audit chain.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