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2"/>
        </w:rPr>
        <w:t>Competitive Brief — Humentum "Due Diligence Passporting"</w:t>
      </w:r>
    </w:p>
    <w:p>
      <w:pPr>
        <w:spacing w:after="160"/>
      </w:pPr>
      <w:r>
        <w:rPr>
          <w:i/>
          <w:color w:val="555555"/>
          <w:sz w:val="19"/>
        </w:rPr>
        <w:t>What it is, whether it threatens Kuja, and what we should do  ·  9 July 2026</w:t>
      </w:r>
    </w:p>
    <w:p>
      <w:pPr>
        <w:spacing w:before="160" w:after="40"/>
      </w:pPr>
      <w:r>
        <w:rPr>
          <w:b/>
          <w:color w:val="C2410C"/>
          <w:sz w:val="22"/>
        </w:rPr>
        <w:t>What it is</w:t>
      </w:r>
    </w:p>
    <w:p>
      <w:pPr>
        <w:spacing w:after="80"/>
      </w:pPr>
      <w:r>
        <w:rPr>
          <w:sz w:val="20"/>
        </w:rPr>
        <w:t>A free Excel checklist for vetting NGOs, backed by seven large charities (Humentum with the "Charter for Change" group: CAFOD, Christian Aid, CRS, Tearfund, Trócaire, SCIAF, Kerk in Actie). One funder completes it about an NGO; other funders then agree to accept it instead of repeating their own checks. It is live now.</w:t>
      </w:r>
    </w:p>
    <w:p>
      <w:pPr>
        <w:spacing w:before="160" w:after="40"/>
      </w:pPr>
      <w:r>
        <w:rPr>
          <w:b/>
          <w:color w:val="C2410C"/>
          <w:sz w:val="22"/>
        </w:rPr>
        <w:t>Why it matters to us</w:t>
      </w:r>
    </w:p>
    <w:p>
      <w:pPr>
        <w:spacing w:after="80"/>
      </w:pPr>
      <w:r>
        <w:rPr>
          <w:sz w:val="20"/>
        </w:rPr>
        <w:t>It targets the exact problem Kuja solves — NGOs having to prove they are trustworthy over and over to every funder. So it competes on the idea. But it is only a spreadsheet plus a goodwill agreement to honour it.</w:t>
      </w:r>
    </w:p>
    <w:p>
      <w:pPr>
        <w:spacing w:before="160" w:after="40"/>
      </w:pPr>
      <w:r>
        <w:rPr>
          <w:b/>
          <w:color w:val="C2410C"/>
          <w:sz w:val="22"/>
        </w:rPr>
        <w:t>Why Kuja is stronger</w:t>
      </w:r>
    </w:p>
    <w:p>
      <w:pPr>
        <w:pStyle w:val="ListBullet"/>
        <w:spacing w:after="40"/>
      </w:pPr>
      <w:r>
        <w:rPr>
          <w:b/>
          <w:sz w:val="20"/>
        </w:rPr>
        <w:t xml:space="preserve">Verifiable, not editable.  </w:t>
      </w:r>
      <w:r>
        <w:rPr>
          <w:sz w:val="20"/>
        </w:rPr>
        <w:t>A spreadsheet can be changed by anyone. Kuja's Capacity Passport is signed and tamper-evident, so its results can be proven genuine.</w:t>
      </w:r>
    </w:p>
    <w:p>
      <w:pPr>
        <w:pStyle w:val="ListBullet"/>
        <w:spacing w:after="40"/>
      </w:pPr>
      <w:r>
        <w:rPr>
          <w:b/>
          <w:sz w:val="20"/>
        </w:rPr>
        <w:t xml:space="preserve">Live, not a snapshot.  </w:t>
      </w:r>
      <w:r>
        <w:rPr>
          <w:sz w:val="20"/>
        </w:rPr>
        <w:t>Their file is out of date the day it is signed. Kuja keeps the profile current and re-checks sanctions and expiry automatically.</w:t>
      </w:r>
    </w:p>
    <w:p>
      <w:pPr>
        <w:pStyle w:val="ListBullet"/>
        <w:spacing w:after="40"/>
      </w:pPr>
      <w:r>
        <w:rPr>
          <w:b/>
          <w:sz w:val="20"/>
        </w:rPr>
        <w:t xml:space="preserve">The whole journey, not just the check.  </w:t>
      </w:r>
      <w:r>
        <w:rPr>
          <w:sz w:val="20"/>
        </w:rPr>
        <w:t>Their tool stops at "is this NGO okay?" Kuja keeps going — moving the money, tracking the reporting, and keeping the audit trail.</w:t>
      </w:r>
    </w:p>
    <w:p>
      <w:pPr>
        <w:spacing w:before="160" w:after="40"/>
      </w:pPr>
      <w:r>
        <w:rPr>
          <w:b/>
          <w:color w:val="C2410C"/>
          <w:sz w:val="22"/>
        </w:rPr>
        <w:t>The angle that favours us (NEAR)</w:t>
      </w:r>
    </w:p>
    <w:p>
      <w:pPr>
        <w:spacing w:after="80"/>
      </w:pPr>
      <w:r>
        <w:rPr>
          <w:sz w:val="20"/>
        </w:rPr>
        <w:t>Their tool is something large Northern charities fill in about local NGOs and keep on file. NEAR is the network of those local NGOs. Kuja/NEAR can offer the same passport but owned and controlled by the local organisation itself — which is exactly NEAR's "shift power to local actors" mission, expressed as a product.</w:t>
      </w:r>
    </w:p>
    <w:p>
      <w:pPr>
        <w:spacing w:before="160" w:after="40"/>
      </w:pPr>
      <w:r>
        <w:rPr>
          <w:b/>
          <w:color w:val="C2410C"/>
          <w:sz w:val="22"/>
        </w:rPr>
        <w:t>What we recommend</w:t>
      </w:r>
    </w:p>
    <w:p>
      <w:pPr>
        <w:spacing w:after="80"/>
      </w:pPr>
      <w:r>
        <w:rPr>
          <w:sz w:val="20"/>
        </w:rPr>
        <w:t>Don't compete with it — plug into it. Add a one-click "Export my profile as the Humentum passport" to Kuja. If their format becomes the sector's common language, Kuja being able to speak it becomes a selling point rather than a threat. It is a small build, because Kuja already collects the same information.</w:t>
      </w:r>
    </w:p>
    <w:p>
      <w:pPr>
        <w:spacing w:before="160" w:after="40"/>
      </w:pPr>
      <w:r>
        <w:rPr>
          <w:b/>
          <w:color w:val="C2410C"/>
          <w:sz w:val="22"/>
        </w:rPr>
        <w:t>Bottom line</w:t>
      </w:r>
    </w:p>
    <w:p>
      <w:pPr>
        <w:spacing w:after="40"/>
      </w:pPr>
      <w:r>
        <w:rPr>
          <w:b/>
          <w:color w:val="1B7A3D"/>
          <w:sz w:val="20"/>
        </w:rPr>
        <w:t>Not a threat to fear. Seven major charities building this is proof the whole sector now wants portable, reusable trust — which is what Kuja already does, only verifiable, current, and wired into the actual funding workflow.</w:t>
      </w:r>
    </w:p>
    <w:p>
      <w:pPr>
        <w:spacing w:before="200"/>
      </w:pPr>
      <w:r>
        <w:rPr>
          <w:i/>
          <w:color w:val="555555"/>
          <w:sz w:val="16"/>
        </w:rPr>
        <w:t>Sources: humentum.org/due-diligence-passporting and the Charter for Change passporting tool (reviewed 9 Jul 2026). Prepared by the engineering team.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