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2"/>
        </w:rPr>
        <w:t>Proximate Fund — Own Domain + Go-Live Setup</w:t>
      </w:r>
    </w:p>
    <w:p>
      <w:pPr>
        <w:spacing w:after="160"/>
      </w:pPr>
      <w:r>
        <w:rPr>
          <w:i/>
          <w:color w:val="555555"/>
          <w:sz w:val="19"/>
        </w:rPr>
        <w:t>16 July 2026  ·  Railway side complete — one DNS change left, then a short go-live checklist</w:t>
      </w:r>
    </w:p>
    <w:p>
      <w:pPr>
        <w:spacing w:before="240" w:after="60"/>
      </w:pPr>
      <w:r>
        <w:rPr>
          <w:b/>
          <w:color w:val="C2410C"/>
          <w:sz w:val="26"/>
        </w:rPr>
        <w:t>Summary</w:t>
      </w:r>
    </w:p>
    <w:p>
      <w:pPr>
        <w:spacing w:after="80"/>
      </w:pPr>
      <w:r>
        <w:t>Proximate will get its own web address: proximate.adesoafrica.org. Visitors to that address land directly on the Proximate-branded login (Arabic-first) and see only Proximate data — no tenant switcher, no shared URL. The platform has supported this since the tenant was created; today the domain was registered on our hosting (Railway), so the only remaining step is two DNS records at the adesoafrica.org DNS provider. While setting this up we also found and fixed a real problem: the platform’s scheduled automation had been failing silently every day.</w:t>
      </w:r>
    </w:p>
    <w:p>
      <w:pPr>
        <w:spacing w:before="240" w:after="60"/>
      </w:pPr>
      <w:r>
        <w:rPr>
          <w:b/>
          <w:color w:val="C2410C"/>
          <w:sz w:val="26"/>
        </w:rPr>
        <w:t>Step 1 — Add two DNS records (IT / whoever manages adesoafrica.org)</w:t>
      </w:r>
    </w:p>
    <w:p>
      <w:pPr>
        <w:spacing w:after="80"/>
      </w:pPr>
      <w:r>
        <w:t>At the DNS provider for adesoafrica.org, add:</w:t>
      </w:r>
    </w:p>
    <w:p>
      <w:pPr>
        <w:pStyle w:val="ListBullet"/>
        <w:spacing w:after="40"/>
      </w:pPr>
      <w:r>
        <w:rPr>
          <w:b/>
        </w:rPr>
        <w:t xml:space="preserve">Record 1 (routes the traffic):  </w:t>
      </w:r>
      <w:r>
        <w:t>Type CNAME  ·  Name "proximate"  ·  Value "2483qpw6.up.railway.app"  ·  TTL 300</w:t>
      </w:r>
    </w:p>
    <w:p>
      <w:pPr>
        <w:pStyle w:val="ListBullet"/>
        <w:spacing w:after="40"/>
      </w:pPr>
      <w:r>
        <w:rPr>
          <w:b/>
        </w:rPr>
        <w:t xml:space="preserve">Record 2 (proves we own it):  </w:t>
      </w:r>
      <w:r>
        <w:t>Type TXT  ·  Name "_railway-verify.proximate"  ·  Value:</w:t>
      </w:r>
    </w:p>
    <w:p>
      <w:pPr>
        <w:spacing w:after="40"/>
        <w:ind w:left="360"/>
      </w:pPr>
      <w:r>
        <w:rPr>
          <w:rFonts w:ascii="Consolas" w:hAnsi="Consolas"/>
          <w:sz w:val="18"/>
        </w:rPr>
        <w:t>railway-verify=railway-verify=d1ea0bbcb17004deb6e5cc4c0c7103c01a408ddf768524859a3233b006466c90</w:t>
      </w:r>
    </w:p>
    <w:p>
      <w:pPr>
        <w:spacing w:after="40"/>
      </w:pPr>
      <w:r>
        <w:t>If the provider rejects the TXT value, copy it directly from Railway → project "clever-cooperation" → service "web" → Settings → Networking → Domains — that panel is the source of truth. The HTTPS certificate is issued automatically once the records propagate (usually under 30 minutes). Nothing needs restarting.</w:t>
      </w:r>
    </w:p>
    <w:p>
      <w:pPr>
        <w:spacing w:before="240" w:after="60"/>
      </w:pPr>
      <w:r>
        <w:rPr>
          <w:b/>
          <w:color w:val="C2410C"/>
          <w:sz w:val="26"/>
        </w:rPr>
        <w:t>Step 2 — Verify (anyone, ~30 min after the DNS change)</w:t>
      </w:r>
    </w:p>
    <w:p>
      <w:pPr>
        <w:pStyle w:val="ListBullet"/>
        <w:spacing w:after="40"/>
      </w:pPr>
      <w:r>
        <w:rPr>
          <w:b/>
        </w:rPr>
        <w:t xml:space="preserve">Open </w:t>
      </w:r>
      <w:r>
        <w:t>https://proximate.adesoafrica.org — the login page should show the Proximate brand with Arabic as the default language, without selecting anything.</w:t>
      </w:r>
    </w:p>
    <w:p>
      <w:pPr>
        <w:pStyle w:val="ListBullet"/>
        <w:spacing w:after="40"/>
      </w:pPr>
      <w:r>
        <w:rPr>
          <w:b/>
        </w:rPr>
        <w:t xml:space="preserve">Log in </w:t>
      </w:r>
      <w:r>
        <w:t>with a Proximate account (e.g. the OB seat) and confirm the dashboard shows Proximate data.</w:t>
      </w:r>
    </w:p>
    <w:p>
      <w:pPr>
        <w:pStyle w:val="ListBullet"/>
        <w:spacing w:after="40"/>
      </w:pPr>
      <w:r>
        <w:rPr>
          <w:b/>
        </w:rPr>
        <w:t xml:space="preserve">If a tester’s browser shows the wrong tenant: </w:t>
      </w:r>
      <w:r>
        <w:t>they previously used the tenant switcher — clear the browser’s saved override (site data) once.</w:t>
      </w:r>
    </w:p>
    <w:p>
      <w:pPr>
        <w:spacing w:before="240" w:after="60"/>
      </w:pPr>
      <w:r>
        <w:rPr>
          <w:b/>
          <w:color w:val="C2410C"/>
          <w:sz w:val="26"/>
        </w:rPr>
        <w:t>Fixed today — scheduled automation was silently failing</w:t>
      </w:r>
    </w:p>
    <w:p>
      <w:pPr>
        <w:spacing w:after="40"/>
      </w:pPr>
      <w:r>
        <w:t>The platform runs scheduled jobs: creating the next donor report on each grant’s cadence, reminding partners about due reports, weekly sanctions re-screening of all partners, donor retrospective notices, and more. These jobs authenticate with a shared secret that was never installed on the server — so every run had been quietly rejected. The secret is now set on both sides and verified live: the reporting job ran successfully, walked all 9 grants, and created the 2 next report rows that were owed. From today these jobs run on their schedules.</w:t>
      </w:r>
    </w:p>
    <w:p>
      <w:pPr>
        <w:spacing w:before="240" w:after="60"/>
      </w:pPr>
      <w:r>
        <w:rPr>
          <w:b/>
          <w:color w:val="C2410C"/>
          <w:sz w:val="26"/>
        </w:rPr>
        <w:t>Remaining go-live checklist (priority order)</w:t>
      </w:r>
    </w:p>
    <w:p>
      <w:pPr>
        <w:pStyle w:val="ListBullet"/>
        <w:spacing w:after="40"/>
      </w:pPr>
      <w:r>
        <w:rPr>
          <w:b/>
        </w:rPr>
        <w:t xml:space="preserve">1. Email sending (highest impact). </w:t>
      </w:r>
      <w:r>
        <w:t>Notifications — report reminders, retrospective notices, donor closing packs — are currently recorded in the system but not emailed, because no email provider is configured. Needed: a SendGrid API key set on the server, a sender address (noreply@adesoafrica.org), and SendGrid’s sender-verification DNS records — best added in the same DNS session as Step 1.</w:t>
      </w:r>
    </w:p>
    <w:p>
      <w:pPr>
        <w:pStyle w:val="ListBullet"/>
        <w:spacing w:after="40"/>
      </w:pPr>
      <w:r>
        <w:rPr>
          <w:b/>
        </w:rPr>
        <w:t xml:space="preserve">2. WhatsApp notifications. </w:t>
      </w:r>
      <w:r>
        <w:t>The sender number is live; six message templates await Meta approval. Once approved, the approved template IDs get wired in (already tracked with IT).</w:t>
      </w:r>
    </w:p>
    <w:p>
      <w:pPr>
        <w:pStyle w:val="ListBullet"/>
        <w:spacing w:after="40"/>
      </w:pPr>
      <w:r>
        <w:rPr>
          <w:b/>
        </w:rPr>
        <w:t xml:space="preserve">3. QCF password. </w:t>
      </w:r>
      <w:r>
        <w:t>QCF should change their temporary password on first sign-in (grants@qc.foundation).</w:t>
      </w:r>
    </w:p>
    <w:p>
      <w:pPr>
        <w:pStyle w:val="ListBullet"/>
        <w:spacing w:after="40"/>
      </w:pPr>
      <w:r>
        <w:rPr>
          <w:b/>
        </w:rPr>
        <w:t xml:space="preserve">4. Demo data policy. </w:t>
      </w:r>
      <w:r>
        <w:t>The system currently re-seeds demo fixtures (demo partners, demo rounds, demo logins) on every restart — good for demos, wrong for a public domain. Before external users are invited, we flip one switch to stop the re-seeding and archive the demo/UAT rounds so consoles show only real data. One-line change, reversible.</w:t>
      </w:r>
    </w:p>
    <w:p>
      <w:pPr>
        <w:pStyle w:val="ListBullet"/>
        <w:spacing w:after="40"/>
      </w:pPr>
      <w:r>
        <w:rPr>
          <w:b/>
        </w:rPr>
        <w:t xml:space="preserve">5. Branding. </w:t>
      </w:r>
      <w:r>
        <w:t>The tenant colour is a placeholder violet. When the Proximate brand spec exists (logo + colour), it is a small update.</w:t>
      </w:r>
    </w:p>
    <w:p>
      <w:pPr>
        <w:pStyle w:val="ListBullet"/>
        <w:spacing w:after="40"/>
      </w:pPr>
      <w:r>
        <w:rPr>
          <w:b/>
        </w:rPr>
        <w:t xml:space="preserve">6. Optional. </w:t>
      </w:r>
      <w:r>
        <w:t>proximate.kuja.org can be added as a second address later with the same two-record process on kuja.org.</w:t>
      </w:r>
    </w:p>
    <w:p>
      <w:pPr>
        <w:spacing w:before="200"/>
      </w:pPr>
      <w:r>
        <w:rPr>
          <w:b/>
          <w:color w:val="1B7A3D"/>
          <w:sz w:val="21"/>
        </w:rPr>
        <w:t>Bottom line: one DNS change away from Proximate having its own front door, and the daily automation that keeps reporting honest is now actually running. The rest of the checklist is configuration, not development — no code changes required for any of it.</w:t>
      </w:r>
    </w:p>
    <w:p>
      <w:pPr>
        <w:spacing w:before="200"/>
      </w:pPr>
      <w:r>
        <w:rPr>
          <w:i/>
          <w:color w:val="555555"/>
          <w:sz w:val="16"/>
        </w:rPr>
        <w:t>Technical companion in the repo: docs/PROXIMATE_DOMAIN_SETUP.md (exact records, verification commands, env-var names). Domain registered + cron secret installed and verified 16 July 2026 · prepared by the engineering team.</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